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0.png" ContentType="image/png"/>
  <Override PartName="/word/media/rId70.png" ContentType="image/png"/>
  <Override PartName="/word/media/rId91.png" ContentType="image/png"/>
  <Override PartName="/word/media/rId93.png" ContentType="image/png"/>
  <Override PartName="/word/media/rId97.png" ContentType="image/png"/>
  <Override PartName="/word/media/rId99.png" ContentType="image/png"/>
  <Override PartName="/word/media/rId103.png" ContentType="image/png"/>
  <Override PartName="/word/media/rId108.png" ContentType="image/png"/>
  <Override PartName="/word/media/rId110.png" ContentType="image/png"/>
  <Override PartName="/word/media/rId114.png" ContentType="image/png"/>
  <Override PartName="/word/media/rId116.png" ContentType="image/png"/>
  <Override PartName="/word/media/rId120.png" ContentType="image/png"/>
  <Override PartName="/word/media/rId122.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76.png" ContentType="image/png"/>
  <Override PartName="/word/media/rId72.png" ContentType="image/png"/>
  <Override PartName="/word/media/rId74.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89.png" ContentType="image/png"/>
  <Override PartName="/word/media/rId95.png" ContentType="image/png"/>
  <Override PartName="/word/media/rId101.png" ContentType="image/png"/>
  <Override PartName="/word/media/rId106.png" ContentType="image/png"/>
  <Override PartName="/word/media/rId112.png" ContentType="image/png"/>
  <Override PartName="/word/media/rId118.png" ContentType="image/png"/>
  <Override PartName="/word/media/rId124.png" ContentType="image/png"/>
  <Override PartName="/word/media/rId26.png" ContentType="image/png"/>
  <Override PartName="/word/media/rId82.png" ContentType="image/png"/>
  <Override PartName="/word/media/rId85.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03</w:t>
      </w:r>
      <w:r>
        <w:t xml:space="preserve"> </w:t>
      </w:r>
      <w:r>
        <w:t xml:space="preserve">June,</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pPr>
        <w:pStyle w:val="BodyText"/>
      </w:pPr>
      <w:r>
        <w:t xml:space="preserve">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(Encyclopaedia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pPr>
        <w:pStyle w:val="BodyText"/>
      </w:pPr>
      <w:r>
        <w:t xml:space="preserve">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Republicans so challengers are few and far between, but for the same reasons, there was an even broader field than 2016 Republicans, with 29 Democratic candidates officially announcing their campaigns.</w:t>
      </w:r>
    </w:p>
    <w:p>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organizations (and other invested parties) to be able to accurately predict who will be declaring candidacy before any announcements take place.</w:t>
      </w:r>
    </w:p>
    <w:p>
      <w:pPr>
        <w:pStyle w:val="Heading1"/>
      </w:pPr>
      <w:bookmarkStart w:id="22" w:name="analysis-and-models"/>
      <w:bookmarkEnd w:id="22"/>
      <w:r>
        <w:t xml:space="preserve">Analysis and Models</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1286418"/>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1286418"/>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4223084"/>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4223084"/>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4323336"/>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4323336"/>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by-party"/>
      <w:bookmarkEnd w:id="31"/>
      <w:r>
        <w:t xml:space="preserve">Fig.4 Key Attributes by Party</w:t>
      </w:r>
    </w:p>
    <w:p>
      <w:pPr>
        <w:pStyle w:val="Figure"/>
      </w:pPr>
      <w:r>
        <w:drawing>
          <wp:inline>
            <wp:extent cx="5909911" cy="680936"/>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09911" cy="680936"/>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4680923"/>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4680923"/>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4439904"/>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4439904"/>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3387579"/>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3387579"/>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3432411"/>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3432411"/>
                    </a:xfrm>
                    <a:prstGeom prst="rect">
                      <a:avLst/>
                    </a:prstGeom>
                    <a:noFill/>
                    <a:ln w="9525">
                      <a:noFill/>
                      <a:headEnd/>
                      <a:tailEnd/>
                    </a:ln>
                  </pic:spPr>
                </pic:pic>
              </a:graphicData>
            </a:graphic>
          </wp:inline>
        </w:drawing>
      </w:r>
    </w:p>
    <w:p>
      <w:pPr>
        <w:pStyle w:val="FirstParagraph"/>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4254366" cy="3397717"/>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4254366" cy="3397717"/>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956294"/>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956294"/>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4360244" cy="3311090"/>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4360244" cy="3311090"/>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4163345"/>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4163345"/>
                    </a:xfrm>
                    <a:prstGeom prst="rect">
                      <a:avLst/>
                    </a:prstGeom>
                    <a:noFill/>
                    <a:ln w="9525">
                      <a:noFill/>
                      <a:headEnd/>
                      <a:tailEnd/>
                    </a:ln>
                  </pic:spPr>
                </pic:pic>
              </a:graphicData>
            </a:graphic>
          </wp:inline>
        </w:drawing>
      </w:r>
    </w:p>
    <w:p>
      <w:pPr>
        <w:pStyle w:val="FirstParagraph"/>
      </w:pPr>
      <w: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t xml:space="preserve">Non-candidate tweets contain the following words in greater proportion:</w:t>
      </w:r>
    </w:p>
    <w:p>
      <w:pPr>
        <w:pStyle w:val="Compact"/>
        <w:numPr>
          <w:numId w:val="1004"/>
          <w:ilvl w:val="0"/>
        </w:numPr>
      </w:pPr>
      <w:r>
        <w:t xml:space="preserve">support | vote | proud</w:t>
      </w:r>
    </w:p>
    <w:p>
      <w:pPr>
        <w:pStyle w:val="FirstParagraph"/>
      </w:pPr>
      <w: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3936732" cy="2791326"/>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3936732" cy="2791326"/>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4148488" cy="2945330"/>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4148488" cy="2945330"/>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3850105" cy="2849077"/>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3850105" cy="2849077"/>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4071486" cy="297420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4071486" cy="2974206"/>
                    </a:xfrm>
                    <a:prstGeom prst="rect">
                      <a:avLst/>
                    </a:prstGeom>
                    <a:noFill/>
                    <a:ln w="9525">
                      <a:noFill/>
                      <a:headEnd/>
                      <a:tailEnd/>
                    </a:ln>
                  </pic:spPr>
                </pic:pic>
              </a:graphicData>
            </a:graphic>
          </wp:inline>
        </w:drawing>
      </w:r>
    </w:p>
    <w:p>
      <w:pPr>
        <w:pStyle w:val="FirstParagraph"/>
      </w:pPr>
      <w: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4109987" cy="2829827"/>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4109987" cy="2829827"/>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4032985" cy="2791326"/>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4032985" cy="2791326"/>
                    </a:xfrm>
                    <a:prstGeom prst="rect">
                      <a:avLst/>
                    </a:prstGeom>
                    <a:noFill/>
                    <a:ln w="9525">
                      <a:noFill/>
                      <a:headEnd/>
                      <a:tailEnd/>
                    </a:ln>
                  </pic:spPr>
                </pic:pic>
              </a:graphicData>
            </a:graphic>
          </wp:inline>
        </w:drawing>
      </w:r>
    </w:p>
    <w:p>
      <w:pPr>
        <w:pStyle w:val="FirstParagraph"/>
      </w:pPr>
      <w: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3298970"/>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3298970"/>
                    </a:xfrm>
                    <a:prstGeom prst="rect">
                      <a:avLst/>
                    </a:prstGeom>
                    <a:noFill/>
                    <a:ln w="9525">
                      <a:noFill/>
                      <a:headEnd/>
                      <a:tailEnd/>
                    </a:ln>
                  </pic:spPr>
                </pic:pic>
              </a:graphicData>
            </a:graphic>
          </wp:inline>
        </w:drawing>
      </w:r>
    </w:p>
    <w:p>
      <w:pPr>
        <w:pStyle w:val="FirstParagraph"/>
      </w:pPr>
      <w:r>
        <w:t xml:space="preserve">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pPr>
        <w:pStyle w:val="BodyText"/>
      </w:pPr>
      <w:r>
        <w:t xml:space="preserve">Non-candidates (red labels) in the candidates (green) cluster:</w:t>
      </w:r>
    </w:p>
    <w:p>
      <w:pPr>
        <w:pStyle w:val="Compact"/>
        <w:numPr>
          <w:numId w:val="1006"/>
          <w:ilvl w:val="1"/>
        </w:numPr>
      </w:pPr>
      <w:r>
        <w:t xml:space="preserve">SenSchumer | SenMarky | HillaryClinton | keithellison | PramilaJayapal | IlhanMN | MartinOMalley | lessig | GovMikeHuckabee | RandPaul | RepThomasMassie | ScottWalker | marcorubio | JimWebbUSA | tedcruz | TedYoho | GovHowardDean | RepGosar | MarkMeadows | LindseyGrahamSC | RepAlGreen</w:t>
      </w:r>
    </w:p>
    <w:p>
      <w:pPr>
        <w:pStyle w:val="FirstParagraph"/>
      </w:pPr>
      <w:r>
        <w:t xml:space="preserve">Candidates (green labels) in the non-candidates (red) cluster:</w:t>
      </w:r>
    </w:p>
    <w:p>
      <w:pPr>
        <w:pStyle w:val="Compact"/>
        <w:numPr>
          <w:numId w:val="1008"/>
          <w:ilvl w:val="1"/>
        </w:numPr>
      </w:pPr>
      <w:r>
        <w:t xml:space="preserve">MauriceGravel | WayneMessam | MarkSanford</w:t>
      </w:r>
    </w:p>
    <w:p>
      <w:pPr>
        <w:pStyle w:val="FirstParagraph"/>
      </w:pPr>
      <w:r>
        <w:t xml:space="preserve">Top terms in each cluster were identified using mean term frequency.</w:t>
      </w:r>
    </w:p>
    <w:p>
      <w:pPr>
        <w:pStyle w:val="Heading4"/>
      </w:pPr>
      <w:bookmarkStart w:id="71" w:name="fig.24-top-features-candidates-cluster"/>
      <w:bookmarkEnd w:id="71"/>
      <w:r>
        <w:t xml:space="preserve">Fig.24 Top Features: Candidates Cluster</w:t>
      </w:r>
    </w:p>
    <w:p>
      <w:pPr>
        <w:pStyle w:val="Figure"/>
      </w:pPr>
      <w:r>
        <w:drawing>
          <wp:inline>
            <wp:extent cx="4533498" cy="2897204"/>
            <wp:effectExtent b="0" l="0" r="0" t="0"/>
            <wp:docPr descr="" id="1" name="Picture"/>
            <a:graphic>
              <a:graphicData uri="http://schemas.openxmlformats.org/drawingml/2006/picture">
                <pic:pic>
                  <pic:nvPicPr>
                    <pic:cNvPr descr="img/plt_top_features_clust_candidates.png" id="0" name="Picture"/>
                    <pic:cNvPicPr>
                      <a:picLocks noChangeArrowheads="1" noChangeAspect="1"/>
                    </pic:cNvPicPr>
                  </pic:nvPicPr>
                  <pic:blipFill>
                    <a:blip r:embed="rId72"/>
                    <a:stretch>
                      <a:fillRect/>
                    </a:stretch>
                  </pic:blipFill>
                  <pic:spPr bwMode="auto">
                    <a:xfrm>
                      <a:off x="0" y="0"/>
                      <a:ext cx="4533498" cy="2897204"/>
                    </a:xfrm>
                    <a:prstGeom prst="rect">
                      <a:avLst/>
                    </a:prstGeom>
                    <a:noFill/>
                    <a:ln w="9525">
                      <a:noFill/>
                      <a:headEnd/>
                      <a:tailEnd/>
                    </a:ln>
                  </pic:spPr>
                </pic:pic>
              </a:graphicData>
            </a:graphic>
          </wp:inline>
        </w:drawing>
      </w:r>
    </w:p>
    <w:p>
      <w:pPr>
        <w:pStyle w:val="Heading4"/>
      </w:pPr>
      <w:bookmarkStart w:id="73" w:name="fig.25-top-features-non-candidates-cluster"/>
      <w:bookmarkEnd w:id="73"/>
      <w:r>
        <w:t xml:space="preserve">Fig.25 Top Features: Non-Candidates Cluster</w:t>
      </w:r>
    </w:p>
    <w:p>
      <w:pPr>
        <w:pStyle w:val="Figure"/>
      </w:pPr>
      <w:r>
        <w:drawing>
          <wp:inline>
            <wp:extent cx="4610501" cy="2868328"/>
            <wp:effectExtent b="0" l="0" r="0" t="0"/>
            <wp:docPr descr="" id="1" name="Picture"/>
            <a:graphic>
              <a:graphicData uri="http://schemas.openxmlformats.org/drawingml/2006/picture">
                <pic:pic>
                  <pic:nvPicPr>
                    <pic:cNvPr descr="img/plt_top_features_clust_noncandidates.png" id="0" name="Picture"/>
                    <pic:cNvPicPr>
                      <a:picLocks noChangeArrowheads="1" noChangeAspect="1"/>
                    </pic:cNvPicPr>
                  </pic:nvPicPr>
                  <pic:blipFill>
                    <a:blip r:embed="rId74"/>
                    <a:stretch>
                      <a:fillRect/>
                    </a:stretch>
                  </pic:blipFill>
                  <pic:spPr bwMode="auto">
                    <a:xfrm>
                      <a:off x="0" y="0"/>
                      <a:ext cx="4610501" cy="2868328"/>
                    </a:xfrm>
                    <a:prstGeom prst="rect">
                      <a:avLst/>
                    </a:prstGeom>
                    <a:noFill/>
                    <a:ln w="9525">
                      <a:noFill/>
                      <a:headEnd/>
                      <a:tailEnd/>
                    </a:ln>
                  </pic:spPr>
                </pic:pic>
              </a:graphicData>
            </a:graphic>
          </wp:inline>
        </w:drawing>
      </w:r>
    </w:p>
    <w:p>
      <w:pPr>
        <w:pStyle w:val="FirstParagraph"/>
      </w:pPr>
      <w:r>
        <w:t xml:space="preserve">Top terms that best distinguish clusters were identified using the F-statistic on the mean difference in groups.</w:t>
      </w:r>
    </w:p>
    <w:p>
      <w:pPr>
        <w:pStyle w:val="Heading4"/>
      </w:pPr>
      <w:bookmarkStart w:id="75" w:name="fig.26-top-distinctive-terms-for-clustering"/>
      <w:bookmarkEnd w:id="75"/>
      <w:r>
        <w:t xml:space="preserve">Fig.26 Top Distinctive Terms for Clustering</w:t>
      </w:r>
    </w:p>
    <w:p>
      <w:pPr>
        <w:pStyle w:val="Figure"/>
      </w:pPr>
      <w:r>
        <w:drawing>
          <wp:inline>
            <wp:extent cx="4572000" cy="2887578"/>
            <wp:effectExtent b="0" l="0" r="0" t="0"/>
            <wp:docPr descr="" id="1" name="Picture"/>
            <a:graphic>
              <a:graphicData uri="http://schemas.openxmlformats.org/drawingml/2006/picture">
                <pic:pic>
                  <pic:nvPicPr>
                    <pic:cNvPr descr="img/plt_top_distinctive_terms.png" id="0" name="Picture"/>
                    <pic:cNvPicPr>
                      <a:picLocks noChangeArrowheads="1" noChangeAspect="1"/>
                    </pic:cNvPicPr>
                  </pic:nvPicPr>
                  <pic:blipFill>
                    <a:blip r:embed="rId76"/>
                    <a:stretch>
                      <a:fillRect/>
                    </a:stretch>
                  </pic:blipFill>
                  <pic:spPr bwMode="auto">
                    <a:xfrm>
                      <a:off x="0" y="0"/>
                      <a:ext cx="4572000" cy="2887578"/>
                    </a:xfrm>
                    <a:prstGeom prst="rect">
                      <a:avLst/>
                    </a:prstGeom>
                    <a:noFill/>
                    <a:ln w="9525">
                      <a:noFill/>
                      <a:headEnd/>
                      <a:tailEnd/>
                    </a:ln>
                  </pic:spPr>
                </pic:pic>
              </a:graphicData>
            </a:graphic>
          </wp:inline>
        </w:drawing>
      </w:r>
    </w:p>
    <w:p>
      <w:pPr>
        <w:pStyle w:val="Heading3"/>
      </w:pPr>
      <w:bookmarkStart w:id="77" w:name="models"/>
      <w:bookmarkEnd w:id="77"/>
      <w:r>
        <w:t xml:space="preserve">Models</w:t>
      </w:r>
    </w:p>
    <w:p>
      <w:pPr>
        <w:pStyle w:val="FirstParagraph"/>
      </w:pPr>
      <w:r>
        <w:t xml:space="preserve">Numerous models were created using several different approaches for configuring the data. A limited amount of initial preprocessing was required, as the vectorizer functions were leveraged to do the majority of the cleaning. Web addresses, retweets (</w:t>
      </w:r>
      <w:r>
        <w:t xml:space="preserve">“</w:t>
      </w:r>
      <w:r>
        <w:t xml:space="preserve">rt</w:t>
      </w:r>
      <w:r>
        <w:t xml:space="preserve">”</w:t>
      </w:r>
      <w:r>
        <w:t xml:space="preserve">), and ampersands (</w:t>
      </w:r>
      <w:r>
        <w:t xml:space="preserve">“</w:t>
      </w:r>
      <w:r>
        <w:t xml:space="preserve">amp</w:t>
      </w:r>
      <w:r>
        <w:t xml:space="preserve">”</w:t>
      </w:r>
      <w:r>
        <w:t xml:space="preserve">) were removed from the text.</w:t>
      </w:r>
    </w:p>
    <w:p>
      <w:pPr>
        <w:pStyle w:val="BodyText"/>
      </w:pPr>
      <w:r>
        <w:t xml:space="preserve">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pPr>
        <w:pStyle w:val="Heading3"/>
      </w:pPr>
      <w:bookmarkStart w:id="78" w:name="strategy-1-api-balancing-bias-mitigation"/>
      <w:bookmarkEnd w:id="78"/>
      <w:r>
        <w:t xml:space="preserve">Strategy 1: API Balancing &amp; Bias Mitigation</w:t>
      </w:r>
    </w:p>
    <w:p>
      <w:pPr>
        <w:pStyle w:val="FirstParagraph"/>
      </w:pPr>
      <w:r>
        <w:t xml:space="preserve">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dataframe.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downselecting of Tweets from the original dataset, which may lead to degraded model results.</w:t>
      </w:r>
    </w:p>
    <w:p>
      <w:pPr>
        <w:pStyle w:val="Heading4"/>
      </w:pPr>
      <w:bookmarkStart w:id="79" w:name="fig.27-flow-of-data-for-the-first-set-of-models"/>
      <w:bookmarkEnd w:id="79"/>
      <w:r>
        <w:t xml:space="preserve">Fig.27 Flow of data for the first set of models</w:t>
      </w:r>
    </w:p>
    <w:p>
      <w:pPr>
        <w:pStyle w:val="Figure"/>
      </w:pPr>
      <w:r>
        <w:drawing>
          <wp:inline>
            <wp:extent cx="5943600" cy="1491998"/>
            <wp:effectExtent b="0" l="0" r="0" t="0"/>
            <wp:docPr descr="" id="1" name="Picture"/>
            <a:graphic>
              <a:graphicData uri="http://schemas.openxmlformats.org/drawingml/2006/picture">
                <pic:pic>
                  <pic:nvPicPr>
                    <pic:cNvPr descr="img/model_data_flow1.png" id="0" name="Picture"/>
                    <pic:cNvPicPr>
                      <a:picLocks noChangeArrowheads="1" noChangeAspect="1"/>
                    </pic:cNvPicPr>
                  </pic:nvPicPr>
                  <pic:blipFill>
                    <a:blip r:embed="rId80"/>
                    <a:stretch>
                      <a:fillRect/>
                    </a:stretch>
                  </pic:blipFill>
                  <pic:spPr bwMode="auto">
                    <a:xfrm>
                      <a:off x="0" y="0"/>
                      <a:ext cx="5943600" cy="1491998"/>
                    </a:xfrm>
                    <a:prstGeom prst="rect">
                      <a:avLst/>
                    </a:prstGeom>
                    <a:noFill/>
                    <a:ln w="9525">
                      <a:noFill/>
                      <a:headEnd/>
                      <a:tailEnd/>
                    </a:ln>
                  </pic:spPr>
                </pic:pic>
              </a:graphicData>
            </a:graphic>
          </wp:inline>
        </w:drawing>
      </w:r>
    </w:p>
    <w:p>
      <w:pPr>
        <w:pStyle w:val="FirstParagraph"/>
      </w:pPr>
      <w:r>
        <w:rPr>
          <w:b/>
        </w:rPr>
        <w:t xml:space="preserve">Model 1</w:t>
      </w:r>
    </w:p>
    <w:p>
      <w:pPr>
        <w:pStyle w:val="BodyText"/>
      </w:pPr>
      <w:r>
        <w:t xml:space="preserve">The first model within this set used CountVectorizer with default settings to represent a base model. This resulted in a term document matrix of over 23,000 features across the 68 handles. As previously mentioned, CountVectorizer performs the majority of preprocessing, including removing special characters, punctuation, and tokenization. The data was then split into training and test sets at 70% and 30%, respectively. A multinomial Naïve Bayes (MNB) model with a Laplace of 1 was instantiated as the classifier. The model was trained and predicted on the test set with 5-fold cross validation.</w:t>
      </w:r>
    </w:p>
    <w:p>
      <w:pPr>
        <w:pStyle w:val="BodyText"/>
      </w:pPr>
      <w:r>
        <w:rPr>
          <w:b/>
        </w:rPr>
        <w:t xml:space="preserve">Model 2</w:t>
      </w:r>
    </w:p>
    <w:p>
      <w:pPr>
        <w:pStyle w:val="BodyText"/>
      </w:pPr>
      <w:r>
        <w:t xml:space="preserve">The second model within this set also used CountVectorizer, this time adding Porter Stemmer with the intent of combining similar words within the data to provide more informative features. Stopwords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a MNB model containing a Laplace of 1. The model was trained and predicted on the test set with 5-fold cross validation.</w:t>
      </w:r>
    </w:p>
    <w:p>
      <w:pPr>
        <w:pStyle w:val="BodyText"/>
      </w:pPr>
      <w:r>
        <w:rPr>
          <w:b/>
        </w:rPr>
        <w:t xml:space="preserve">Model 3</w:t>
      </w:r>
    </w:p>
    <w:p>
      <w:pPr>
        <w:pStyle w:val="BodyText"/>
      </w:pPr>
      <w:r>
        <w:t xml:space="preserve">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pPr>
        <w:pStyle w:val="Heading4"/>
      </w:pPr>
      <w:bookmarkStart w:id="81" w:name="fig.28-model-3-svm-grid-search-parameters"/>
      <w:bookmarkEnd w:id="81"/>
      <w:r>
        <w:t xml:space="preserve">Fig.28 Model #3 | SVM Grid Search Parameters</w:t>
      </w:r>
    </w:p>
    <w:p>
      <w:pPr>
        <w:pStyle w:val="Figure"/>
      </w:pPr>
      <w:r>
        <w:drawing>
          <wp:inline>
            <wp:extent cx="2584502" cy="1518961"/>
            <wp:effectExtent b="0" l="0" r="0" t="0"/>
            <wp:docPr descr="" id="1" name="Picture"/>
            <a:graphic>
              <a:graphicData uri="http://schemas.openxmlformats.org/drawingml/2006/picture">
                <pic:pic>
                  <pic:nvPicPr>
                    <pic:cNvPr descr="img/table_svm_grid_search1.png" id="0" name="Picture"/>
                    <pic:cNvPicPr>
                      <a:picLocks noChangeArrowheads="1" noChangeAspect="1"/>
                    </pic:cNvPicPr>
                  </pic:nvPicPr>
                  <pic:blipFill>
                    <a:blip r:embed="rId82"/>
                    <a:stretch>
                      <a:fillRect/>
                    </a:stretch>
                  </pic:blipFill>
                  <pic:spPr bwMode="auto">
                    <a:xfrm>
                      <a:off x="0" y="0"/>
                      <a:ext cx="2584502" cy="1518961"/>
                    </a:xfrm>
                    <a:prstGeom prst="rect">
                      <a:avLst/>
                    </a:prstGeom>
                    <a:noFill/>
                    <a:ln w="9525">
                      <a:noFill/>
                      <a:headEnd/>
                      <a:tailEnd/>
                    </a:ln>
                  </pic:spPr>
                </pic:pic>
              </a:graphicData>
            </a:graphic>
          </wp:inline>
        </w:drawing>
      </w:r>
    </w:p>
    <w:p>
      <w:pPr>
        <w:pStyle w:val="FirstParagraph"/>
      </w:pPr>
      <w:r>
        <w:t xml:space="preserve">Other models were tried under this approach but excluded from this report due to poor results. Some of these variations include the use of TfidfVectorizer, removing any non-alphabetic characters (e.g. numbers), n-grams, and setting maximum document frequencies.</w:t>
      </w:r>
    </w:p>
    <w:p>
      <w:pPr>
        <w:pStyle w:val="Heading3"/>
      </w:pPr>
      <w:bookmarkStart w:id="83" w:name="strategy-2-all-tweets-through-last-announcement"/>
      <w:bookmarkEnd w:id="83"/>
      <w:r>
        <w:t xml:space="preserve">Strategy 2: All Tweets through Last Announcement</w:t>
      </w:r>
    </w:p>
    <w:p>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pPr>
        <w:pStyle w:val="BodyText"/>
      </w:pPr>
      <w:r>
        <w:rPr>
          <w:b/>
        </w:rPr>
        <w:t xml:space="preserve">Model 4</w:t>
      </w:r>
    </w:p>
    <w:p>
      <w:pPr>
        <w:pStyle w:val="BodyText"/>
      </w:pPr>
      <w:r>
        <w:t xml:space="preserve">The fourth model mimicked the first model above in that it was treated as a base model containing default parameters of the CountVectorizer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a MNB classifier with a Laplace value of 1.</w:t>
      </w:r>
    </w:p>
    <w:p>
      <w:pPr>
        <w:pStyle w:val="BodyText"/>
      </w:pPr>
      <w:r>
        <w:rPr>
          <w:b/>
        </w:rPr>
        <w:t xml:space="preserve">Model 5</w:t>
      </w:r>
    </w:p>
    <w:p>
      <w:pPr>
        <w:pStyle w:val="BodyText"/>
      </w:pPr>
      <w:r>
        <w:t xml:space="preserve">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a MNB classifier with a Laplace value of 1.</w:t>
      </w:r>
    </w:p>
    <w:p>
      <w:pPr>
        <w:pStyle w:val="BodyText"/>
      </w:pPr>
      <w:r>
        <w:rPr>
          <w:b/>
        </w:rPr>
        <w:t xml:space="preserve">Model 6</w:t>
      </w:r>
    </w:p>
    <w:p>
      <w:pPr>
        <w:pStyle w:val="BodyText"/>
      </w:pPr>
      <w:r>
        <w:t xml:space="preserve">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pPr>
        <w:pStyle w:val="Heading4"/>
      </w:pPr>
      <w:bookmarkStart w:id="84" w:name="fig.29-model-6-svm-grid-search-parameters"/>
      <w:bookmarkEnd w:id="84"/>
      <w:r>
        <w:t xml:space="preserve">Fig.29 Model #6 | SVM Grid Search Parameters</w:t>
      </w:r>
    </w:p>
    <w:p>
      <w:pPr>
        <w:pStyle w:val="Figure"/>
      </w:pPr>
      <w:r>
        <w:drawing>
          <wp:inline>
            <wp:extent cx="2019044" cy="1202834"/>
            <wp:effectExtent b="0" l="0" r="0" t="0"/>
            <wp:docPr descr="" id="1" name="Picture"/>
            <a:graphic>
              <a:graphicData uri="http://schemas.openxmlformats.org/drawingml/2006/picture">
                <pic:pic>
                  <pic:nvPicPr>
                    <pic:cNvPr descr="img/table_svm_grid_search2.png" id="0" name="Picture"/>
                    <pic:cNvPicPr>
                      <a:picLocks noChangeArrowheads="1" noChangeAspect="1"/>
                    </pic:cNvPicPr>
                  </pic:nvPicPr>
                  <pic:blipFill>
                    <a:blip r:embed="rId85"/>
                    <a:stretch>
                      <a:fillRect/>
                    </a:stretch>
                  </pic:blipFill>
                  <pic:spPr bwMode="auto">
                    <a:xfrm>
                      <a:off x="0" y="0"/>
                      <a:ext cx="2019044" cy="1202834"/>
                    </a:xfrm>
                    <a:prstGeom prst="rect">
                      <a:avLst/>
                    </a:prstGeom>
                    <a:noFill/>
                    <a:ln w="9525">
                      <a:noFill/>
                      <a:headEnd/>
                      <a:tailEnd/>
                    </a:ln>
                  </pic:spPr>
                </pic:pic>
              </a:graphicData>
            </a:graphic>
          </wp:inline>
        </w:drawing>
      </w:r>
    </w:p>
    <w:p>
      <w:pPr>
        <w:pStyle w:val="Heading1"/>
      </w:pPr>
      <w:bookmarkStart w:id="86" w:name="results"/>
      <w:bookmarkEnd w:id="86"/>
      <w:r>
        <w:t xml:space="preserve">Results</w:t>
      </w:r>
    </w:p>
    <w:p>
      <w:pPr>
        <w:pStyle w:val="Heading3"/>
      </w:pPr>
      <w:bookmarkStart w:id="87" w:name="strategy-1"/>
      <w:bookmarkEnd w:id="87"/>
      <w:r>
        <w:t xml:space="preserve">Strategy 1</w:t>
      </w:r>
    </w:p>
    <w:p>
      <w:pPr>
        <w:pStyle w:val="FirstParagraph"/>
      </w:pPr>
      <w:r>
        <w:rPr>
          <w:b/>
        </w:rPr>
        <w:t xml:space="preserve">Model 1</w:t>
      </w:r>
    </w:p>
    <w:p>
      <w:pPr>
        <w:pStyle w:val="BodyText"/>
      </w:pPr>
      <w:r>
        <w:t xml:space="preserve">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pPr>
        <w:pStyle w:val="Heading4"/>
      </w:pPr>
      <w:bookmarkStart w:id="88" w:name="fig.30-model-1-confusion-matrix-of-an-example-fold"/>
      <w:bookmarkEnd w:id="88"/>
      <w:r>
        <w:t xml:space="preserve">Fig.30 Model #1 | Confusion Matrix of an Example Fold</w:t>
      </w:r>
    </w:p>
    <w:p>
      <w:pPr>
        <w:pStyle w:val="Figure"/>
      </w:pPr>
      <w:r>
        <w:drawing>
          <wp:inline>
            <wp:extent cx="2153055" cy="743361"/>
            <wp:effectExtent b="0" l="0" r="0" t="0"/>
            <wp:docPr descr="" id="1" name="Picture"/>
            <a:graphic>
              <a:graphicData uri="http://schemas.openxmlformats.org/drawingml/2006/picture">
                <pic:pic>
                  <pic:nvPicPr>
                    <pic:cNvPr descr="img/table_model1_cm.png" id="0" name="Picture"/>
                    <pic:cNvPicPr>
                      <a:picLocks noChangeArrowheads="1" noChangeAspect="1"/>
                    </pic:cNvPicPr>
                  </pic:nvPicPr>
                  <pic:blipFill>
                    <a:blip r:embed="rId89"/>
                    <a:stretch>
                      <a:fillRect/>
                    </a:stretch>
                  </pic:blipFill>
                  <pic:spPr bwMode="auto">
                    <a:xfrm>
                      <a:off x="0" y="0"/>
                      <a:ext cx="2153055" cy="743361"/>
                    </a:xfrm>
                    <a:prstGeom prst="rect">
                      <a:avLst/>
                    </a:prstGeom>
                    <a:noFill/>
                    <a:ln w="9525">
                      <a:noFill/>
                      <a:headEnd/>
                      <a:tailEnd/>
                    </a:ln>
                  </pic:spPr>
                </pic:pic>
              </a:graphicData>
            </a:graphic>
          </wp:inline>
        </w:drawing>
      </w:r>
    </w:p>
    <w:p>
      <w:pPr>
        <w:pStyle w:val="FirstParagraph"/>
      </w:pPr>
      <w:r>
        <w:t xml:space="preserve">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pPr>
        <w:pStyle w:val="Heading4"/>
      </w:pPr>
      <w:bookmarkStart w:id="90" w:name="fig.31-model-1-roc-curve-of-an-example-fold"/>
      <w:bookmarkEnd w:id="90"/>
      <w:r>
        <w:t xml:space="preserve">Fig.31 Model #1 | ROC Curve of an Example Fold</w:t>
      </w:r>
    </w:p>
    <w:p>
      <w:pPr>
        <w:pStyle w:val="Figure"/>
      </w:pPr>
      <w:r>
        <w:drawing>
          <wp:inline>
            <wp:extent cx="2610678" cy="1835426"/>
            <wp:effectExtent b="0" l="0" r="0" t="0"/>
            <wp:docPr descr="" id="1" name="Picture"/>
            <a:graphic>
              <a:graphicData uri="http://schemas.openxmlformats.org/drawingml/2006/picture">
                <pic:pic>
                  <pic:nvPicPr>
                    <pic:cNvPr descr="img/plt_model1_roc.png" id="0" name="Picture"/>
                    <pic:cNvPicPr>
                      <a:picLocks noChangeArrowheads="1" noChangeAspect="1"/>
                    </pic:cNvPicPr>
                  </pic:nvPicPr>
                  <pic:blipFill>
                    <a:blip r:embed="rId91"/>
                    <a:stretch>
                      <a:fillRect/>
                    </a:stretch>
                  </pic:blipFill>
                  <pic:spPr bwMode="auto">
                    <a:xfrm>
                      <a:off x="0" y="0"/>
                      <a:ext cx="2610678" cy="1835426"/>
                    </a:xfrm>
                    <a:prstGeom prst="rect">
                      <a:avLst/>
                    </a:prstGeom>
                    <a:noFill/>
                    <a:ln w="9525">
                      <a:noFill/>
                      <a:headEnd/>
                      <a:tailEnd/>
                    </a:ln>
                  </pic:spPr>
                </pic:pic>
              </a:graphicData>
            </a:graphic>
          </wp:inline>
        </w:drawing>
      </w:r>
    </w:p>
    <w:p>
      <w:pPr>
        <w:pStyle w:val="FirstParagraph"/>
      </w:pPr>
      <w:r>
        <w:t xml:space="preserve">Figure 32 shows the top 10 most indicative words for each class. The values here are expressed in plain odds, meaning that every time the word</w:t>
      </w:r>
      <w:r>
        <w:t xml:space="preserve"> </w:t>
      </w:r>
      <w:r>
        <w:t xml:space="preserve">“</w:t>
      </w:r>
      <w:r>
        <w:t xml:space="preserve">the</w:t>
      </w:r>
      <w:r>
        <w:t xml:space="preserve">”</w:t>
      </w:r>
      <w:r>
        <w:t xml:space="preserve"> </w:t>
      </w:r>
      <w:r>
        <w:t xml:space="preserve">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pPr>
        <w:pStyle w:val="Heading4"/>
      </w:pPr>
      <w:bookmarkStart w:id="92" w:name="fig.32-model-1-top-most-indicative-words"/>
      <w:bookmarkEnd w:id="92"/>
      <w:r>
        <w:t xml:space="preserve">Fig.32 Model #1 | Top Most Indicative Words</w:t>
      </w:r>
    </w:p>
    <w:p>
      <w:pPr>
        <w:pStyle w:val="Figure"/>
      </w:pPr>
      <w:r>
        <w:drawing>
          <wp:inline>
            <wp:extent cx="2465172" cy="1841156"/>
            <wp:effectExtent b="0" l="0" r="0" t="0"/>
            <wp:docPr descr="" id="1" name="Picture"/>
            <a:graphic>
              <a:graphicData uri="http://schemas.openxmlformats.org/drawingml/2006/picture">
                <pic:pic>
                  <pic:nvPicPr>
                    <pic:cNvPr descr="img/plt_model1_topwords.png" id="0" name="Picture"/>
                    <pic:cNvPicPr>
                      <a:picLocks noChangeArrowheads="1" noChangeAspect="1"/>
                    </pic:cNvPicPr>
                  </pic:nvPicPr>
                  <pic:blipFill>
                    <a:blip r:embed="rId93"/>
                    <a:stretch>
                      <a:fillRect/>
                    </a:stretch>
                  </pic:blipFill>
                  <pic:spPr bwMode="auto">
                    <a:xfrm>
                      <a:off x="0" y="0"/>
                      <a:ext cx="2465172" cy="1841156"/>
                    </a:xfrm>
                    <a:prstGeom prst="rect">
                      <a:avLst/>
                    </a:prstGeom>
                    <a:noFill/>
                    <a:ln w="9525">
                      <a:noFill/>
                      <a:headEnd/>
                      <a:tailEnd/>
                    </a:ln>
                  </pic:spPr>
                </pic:pic>
              </a:graphicData>
            </a:graphic>
          </wp:inline>
        </w:drawing>
      </w:r>
    </w:p>
    <w:p>
      <w:pPr>
        <w:pStyle w:val="FirstParagraph"/>
      </w:pPr>
      <w:r>
        <w:rPr>
          <w:b/>
        </w:rPr>
        <w:t xml:space="preserve">Model 2</w:t>
      </w:r>
    </w:p>
    <w:p>
      <w:pPr>
        <w:pStyle w:val="BodyText"/>
      </w:pPr>
      <w:r>
        <w:t xml:space="preserve">The second model saw an increase in the 5-fold cross validation accuracy to 80%. Again, looking at the outcome of a sample fold in Figure 33 reveals that the model struggles with non-candidates, although not as much as Model 1.</w:t>
      </w:r>
    </w:p>
    <w:p>
      <w:pPr>
        <w:pStyle w:val="Heading4"/>
      </w:pPr>
      <w:bookmarkStart w:id="94" w:name="fig.33-model-2-confusion-matrix-of-an-example-fold"/>
      <w:bookmarkEnd w:id="94"/>
      <w:r>
        <w:t xml:space="preserve">Fig.33 Model #2 | Confusion Matrix of an Example Fold</w:t>
      </w:r>
    </w:p>
    <w:p>
      <w:pPr>
        <w:pStyle w:val="Figure"/>
      </w:pPr>
      <w:r>
        <w:drawing>
          <wp:inline>
            <wp:extent cx="1969948" cy="638238"/>
            <wp:effectExtent b="0" l="0" r="0" t="0"/>
            <wp:docPr descr="" id="1" name="Picture"/>
            <a:graphic>
              <a:graphicData uri="http://schemas.openxmlformats.org/drawingml/2006/picture">
                <pic:pic>
                  <pic:nvPicPr>
                    <pic:cNvPr descr="img/table_model2_cm.png" id="0" name="Picture"/>
                    <pic:cNvPicPr>
                      <a:picLocks noChangeArrowheads="1" noChangeAspect="1"/>
                    </pic:cNvPicPr>
                  </pic:nvPicPr>
                  <pic:blipFill>
                    <a:blip r:embed="rId95"/>
                    <a:stretch>
                      <a:fillRect/>
                    </a:stretch>
                  </pic:blipFill>
                  <pic:spPr bwMode="auto">
                    <a:xfrm>
                      <a:off x="0" y="0"/>
                      <a:ext cx="1969948" cy="638238"/>
                    </a:xfrm>
                    <a:prstGeom prst="rect">
                      <a:avLst/>
                    </a:prstGeom>
                    <a:noFill/>
                    <a:ln w="9525">
                      <a:noFill/>
                      <a:headEnd/>
                      <a:tailEnd/>
                    </a:ln>
                  </pic:spPr>
                </pic:pic>
              </a:graphicData>
            </a:graphic>
          </wp:inline>
        </w:drawing>
      </w:r>
    </w:p>
    <w:p>
      <w:pPr>
        <w:pStyle w:val="FirstParagraph"/>
      </w:pPr>
      <w:r>
        <w:t xml:space="preserve">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pPr>
        <w:pStyle w:val="Heading4"/>
      </w:pPr>
      <w:bookmarkStart w:id="96" w:name="fig.34-model-2-roc-curve-of-an-example-fold"/>
      <w:bookmarkEnd w:id="96"/>
      <w:r>
        <w:t xml:space="preserve">Fig.34 Model #2 | ROC Curve of an Example Fold</w:t>
      </w:r>
    </w:p>
    <w:p>
      <w:pPr>
        <w:pStyle w:val="Figure"/>
      </w:pPr>
      <w:r>
        <w:drawing>
          <wp:inline>
            <wp:extent cx="2604052" cy="1842052"/>
            <wp:effectExtent b="0" l="0" r="0" t="0"/>
            <wp:docPr descr="" id="1" name="Picture"/>
            <a:graphic>
              <a:graphicData uri="http://schemas.openxmlformats.org/drawingml/2006/picture">
                <pic:pic>
                  <pic:nvPicPr>
                    <pic:cNvPr descr="img/plt_model2_roc.png" id="0" name="Picture"/>
                    <pic:cNvPicPr>
                      <a:picLocks noChangeArrowheads="1" noChangeAspect="1"/>
                    </pic:cNvPicPr>
                  </pic:nvPicPr>
                  <pic:blipFill>
                    <a:blip r:embed="rId97"/>
                    <a:stretch>
                      <a:fillRect/>
                    </a:stretch>
                  </pic:blipFill>
                  <pic:spPr bwMode="auto">
                    <a:xfrm>
                      <a:off x="0" y="0"/>
                      <a:ext cx="2604052" cy="1842052"/>
                    </a:xfrm>
                    <a:prstGeom prst="rect">
                      <a:avLst/>
                    </a:prstGeom>
                    <a:noFill/>
                    <a:ln w="9525">
                      <a:noFill/>
                      <a:headEnd/>
                      <a:tailEnd/>
                    </a:ln>
                  </pic:spPr>
                </pic:pic>
              </a:graphicData>
            </a:graphic>
          </wp:inline>
        </w:drawing>
      </w:r>
    </w:p>
    <w:p>
      <w:pPr>
        <w:pStyle w:val="FirstParagraph"/>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w:t>
      </w:r>
      <w:r>
        <w:t xml:space="preserve"> </w:t>
      </w:r>
      <w:r>
        <w:t xml:space="preserve">“</w:t>
      </w:r>
      <w:r>
        <w:t xml:space="preserve">today</w:t>
      </w:r>
      <w:r>
        <w:t xml:space="preserve">”</w:t>
      </w:r>
      <w:r>
        <w:t xml:space="preserve">,</w:t>
      </w:r>
      <w:r>
        <w:t xml:space="preserve"> </w:t>
      </w:r>
      <w:r>
        <w:t xml:space="preserve">“</w:t>
      </w:r>
      <w:r>
        <w:t xml:space="preserve">thank</w:t>
      </w:r>
      <w:r>
        <w:t xml:space="preserve">”</w:t>
      </w:r>
      <w:r>
        <w:t xml:space="preserve">, and</w:t>
      </w:r>
      <w:r>
        <w:t xml:space="preserve"> </w:t>
      </w:r>
      <w:r>
        <w:t xml:space="preserve">“</w:t>
      </w:r>
      <w:r>
        <w:t xml:space="preserve">great</w:t>
      </w:r>
      <w:r>
        <w:t xml:space="preserve">”</w:t>
      </w:r>
      <w:r>
        <w:t xml:space="preserve"> </w:t>
      </w:r>
      <w:r>
        <w:t xml:space="preserve">among those who were predicted to not run, and</w:t>
      </w:r>
      <w:r>
        <w:t xml:space="preserve"> </w:t>
      </w:r>
      <w:r>
        <w:t xml:space="preserve">“</w:t>
      </w:r>
      <w:r>
        <w:t xml:space="preserve">trump</w:t>
      </w:r>
      <w:r>
        <w:t xml:space="preserve">”</w:t>
      </w:r>
      <w:r>
        <w:t xml:space="preserve">,</w:t>
      </w:r>
      <w:r>
        <w:t xml:space="preserve"> </w:t>
      </w:r>
      <w:r>
        <w:t xml:space="preserve">“</w:t>
      </w:r>
      <w:r>
        <w:t xml:space="preserve">need</w:t>
      </w:r>
      <w:r>
        <w:t xml:space="preserve">”</w:t>
      </w:r>
      <w:r>
        <w:t xml:space="preserve">, and</w:t>
      </w:r>
      <w:r>
        <w:t xml:space="preserve"> </w:t>
      </w:r>
      <w:r>
        <w:t xml:space="preserve">“</w:t>
      </w:r>
      <w:r>
        <w:t xml:space="preserve">peopl</w:t>
      </w:r>
      <w:r>
        <w:t xml:space="preserve">”</w:t>
      </w:r>
      <w:r>
        <w:t xml:space="preserve"> </w:t>
      </w:r>
      <w:r>
        <w:t xml:space="preserve">(stemmed from</w:t>
      </w:r>
      <w:r>
        <w:t xml:space="preserve"> </w:t>
      </w:r>
      <w:r>
        <w:t xml:space="preserve">“</w:t>
      </w:r>
      <w:r>
        <w:t xml:space="preserve">people</w:t>
      </w:r>
      <w:r>
        <w:t xml:space="preserve">”</w:t>
      </w:r>
      <w:r>
        <w:t xml:space="preserve">) among those who were predicted to run.</w:t>
      </w:r>
    </w:p>
    <w:p>
      <w:pPr>
        <w:pStyle w:val="Heading4"/>
      </w:pPr>
      <w:bookmarkStart w:id="98" w:name="fig.35-model-2-most-indicative-words"/>
      <w:bookmarkEnd w:id="98"/>
      <w:r>
        <w:t xml:space="preserve">Fig.35 Model #2 | Most Indicative Words</w:t>
      </w:r>
    </w:p>
    <w:p>
      <w:pPr>
        <w:pStyle w:val="Figure"/>
      </w:pPr>
      <w:r>
        <w:drawing>
          <wp:inline>
            <wp:extent cx="2442491" cy="1841073"/>
            <wp:effectExtent b="0" l="0" r="0" t="0"/>
            <wp:docPr descr="" id="1" name="Picture"/>
            <a:graphic>
              <a:graphicData uri="http://schemas.openxmlformats.org/drawingml/2006/picture">
                <pic:pic>
                  <pic:nvPicPr>
                    <pic:cNvPr descr="img/plt_model2_topwords.png" id="0" name="Picture"/>
                    <pic:cNvPicPr>
                      <a:picLocks noChangeArrowheads="1" noChangeAspect="1"/>
                    </pic:cNvPicPr>
                  </pic:nvPicPr>
                  <pic:blipFill>
                    <a:blip r:embed="rId99"/>
                    <a:stretch>
                      <a:fillRect/>
                    </a:stretch>
                  </pic:blipFill>
                  <pic:spPr bwMode="auto">
                    <a:xfrm>
                      <a:off x="0" y="0"/>
                      <a:ext cx="2442491" cy="1841073"/>
                    </a:xfrm>
                    <a:prstGeom prst="rect">
                      <a:avLst/>
                    </a:prstGeom>
                    <a:noFill/>
                    <a:ln w="9525">
                      <a:noFill/>
                      <a:headEnd/>
                      <a:tailEnd/>
                    </a:ln>
                  </pic:spPr>
                </pic:pic>
              </a:graphicData>
            </a:graphic>
          </wp:inline>
        </w:drawing>
      </w:r>
    </w:p>
    <w:p>
      <w:pPr>
        <w:pStyle w:val="FirstParagraph"/>
      </w:pPr>
      <w:r>
        <w:rPr>
          <w:b/>
        </w:rPr>
        <w:t xml:space="preserve">Model 3</w:t>
      </w:r>
    </w:p>
    <w:p>
      <w:pPr>
        <w:pStyle w:val="BodyText"/>
      </w:pPr>
      <w:r>
        <w:t xml:space="preserve">The third model, which used the same data as Model 2 but with an SVM classifier regressed in performance. The 5-fold cross validation on testing data was 76%, a slight decrease compared to the previous model. In fact this classifier was closer in performance to the first model (Figure 36).</w:t>
      </w:r>
    </w:p>
    <w:p>
      <w:pPr>
        <w:pStyle w:val="Heading4"/>
      </w:pPr>
      <w:bookmarkStart w:id="100" w:name="fig.36-model-3-confusion-matrix-of-an-example-fold"/>
      <w:bookmarkEnd w:id="100"/>
      <w:r>
        <w:t xml:space="preserve">Fig.36 Model #3 | Confusion Matrix of an Example Fold</w:t>
      </w:r>
    </w:p>
    <w:p>
      <w:pPr>
        <w:pStyle w:val="Figure"/>
      </w:pPr>
      <w:r>
        <w:drawing>
          <wp:inline>
            <wp:extent cx="1890169" cy="644375"/>
            <wp:effectExtent b="0" l="0" r="0" t="0"/>
            <wp:docPr descr="" id="1" name="Picture"/>
            <a:graphic>
              <a:graphicData uri="http://schemas.openxmlformats.org/drawingml/2006/picture">
                <pic:pic>
                  <pic:nvPicPr>
                    <pic:cNvPr descr="img/table_model3_cm.png" id="0" name="Picture"/>
                    <pic:cNvPicPr>
                      <a:picLocks noChangeArrowheads="1" noChangeAspect="1"/>
                    </pic:cNvPicPr>
                  </pic:nvPicPr>
                  <pic:blipFill>
                    <a:blip r:embed="rId101"/>
                    <a:stretch>
                      <a:fillRect/>
                    </a:stretch>
                  </pic:blipFill>
                  <pic:spPr bwMode="auto">
                    <a:xfrm>
                      <a:off x="0" y="0"/>
                      <a:ext cx="1890169" cy="644375"/>
                    </a:xfrm>
                    <a:prstGeom prst="rect">
                      <a:avLst/>
                    </a:prstGeom>
                    <a:noFill/>
                    <a:ln w="9525">
                      <a:noFill/>
                      <a:headEnd/>
                      <a:tailEnd/>
                    </a:ln>
                  </pic:spPr>
                </pic:pic>
              </a:graphicData>
            </a:graphic>
          </wp:inline>
        </w:drawing>
      </w:r>
    </w:p>
    <w:p>
      <w:pPr>
        <w:pStyle w:val="FirstParagraph"/>
      </w:pPr>
      <w:r>
        <w:t xml:space="preserve">Once again, the model performed better at predicting those who ran, and incorrectly predicted those who did not. The AUC of those who ran is 0.86, as shown in Figure 37.</w:t>
      </w:r>
    </w:p>
    <w:p>
      <w:pPr>
        <w:pStyle w:val="Heading4"/>
      </w:pPr>
      <w:bookmarkStart w:id="102" w:name="fig.37-model-3-roc-curve-of-an-example-fold"/>
      <w:bookmarkEnd w:id="102"/>
      <w:r>
        <w:t xml:space="preserve">Fig.37 Model #3 | ROC Curve of an Example Fold</w:t>
      </w:r>
    </w:p>
    <w:p>
      <w:pPr>
        <w:pStyle w:val="Figure"/>
      </w:pPr>
      <w:r>
        <w:drawing>
          <wp:inline>
            <wp:extent cx="2604052" cy="1842052"/>
            <wp:effectExtent b="0" l="0" r="0" t="0"/>
            <wp:docPr descr="" id="1" name="Picture"/>
            <a:graphic>
              <a:graphicData uri="http://schemas.openxmlformats.org/drawingml/2006/picture">
                <pic:pic>
                  <pic:nvPicPr>
                    <pic:cNvPr descr="img/plt_model3_roc.png" id="0" name="Picture"/>
                    <pic:cNvPicPr>
                      <a:picLocks noChangeArrowheads="1" noChangeAspect="1"/>
                    </pic:cNvPicPr>
                  </pic:nvPicPr>
                  <pic:blipFill>
                    <a:blip r:embed="rId103"/>
                    <a:stretch>
                      <a:fillRect/>
                    </a:stretch>
                  </pic:blipFill>
                  <pic:spPr bwMode="auto">
                    <a:xfrm>
                      <a:off x="0" y="0"/>
                      <a:ext cx="2604052" cy="1842052"/>
                    </a:xfrm>
                    <a:prstGeom prst="rect">
                      <a:avLst/>
                    </a:prstGeom>
                    <a:noFill/>
                    <a:ln w="9525">
                      <a:noFill/>
                      <a:headEnd/>
                      <a:tailEnd/>
                    </a:ln>
                  </pic:spPr>
                </pic:pic>
              </a:graphicData>
            </a:graphic>
          </wp:inline>
        </w:drawing>
      </w:r>
    </w:p>
    <w:p>
      <w:pPr>
        <w:pStyle w:val="FirstParagraph"/>
      </w:pPr>
      <w:r>
        <w:t xml:space="preserve">Overall, in the first set of models, the second model, containing the MNB model with stopwords removed, stemmed features, and a minimum document frequency of 10% performed the best. See Figure 47 for a tabular view of the various models and their performance.</w:t>
      </w:r>
    </w:p>
    <w:p>
      <w:pPr>
        <w:pStyle w:val="Heading3"/>
      </w:pPr>
      <w:bookmarkStart w:id="104" w:name="strategy-2"/>
      <w:bookmarkEnd w:id="104"/>
      <w:r>
        <w:t xml:space="preserve">Strategy 2</w:t>
      </w:r>
    </w:p>
    <w:p>
      <w:pPr>
        <w:pStyle w:val="FirstParagraph"/>
      </w:pPr>
      <w:r>
        <w:rPr>
          <w:b/>
        </w:rPr>
        <w:t xml:space="preserve">Model 4</w:t>
      </w:r>
    </w:p>
    <w:p>
      <w:pPr>
        <w:pStyle w:val="BodyText"/>
      </w:pPr>
      <w:r>
        <w:t xml:space="preserve">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w:t>
      </w:r>
      <w:r>
        <w:t xml:space="preserve"> </w:t>
      </w:r>
      <w:r>
        <w:t xml:space="preserve">“</w:t>
      </w:r>
      <w:r>
        <w:t xml:space="preserve">didn’t run</w:t>
      </w:r>
      <w:r>
        <w:t xml:space="preserve">”</w:t>
      </w:r>
      <w:r>
        <w:t xml:space="preserve"> </w:t>
      </w:r>
      <w:r>
        <w:t xml:space="preserve">class is 91%, a significant improvement over previous models. The F1-score is being used in this second set of models due to the unbalanced nature of the classes.</w:t>
      </w:r>
    </w:p>
    <w:p>
      <w:pPr>
        <w:pStyle w:val="Heading4"/>
      </w:pPr>
      <w:bookmarkStart w:id="105" w:name="fig.38-model-4-confusion-matrix-classification-report-of-an-example-fold"/>
      <w:bookmarkEnd w:id="105"/>
      <w:r>
        <w:t xml:space="preserve">Fig.38 Model #4 | Confusion Matrix &amp; Classification Report of an Example Fold</w:t>
      </w:r>
    </w:p>
    <w:p>
      <w:pPr>
        <w:pStyle w:val="Figure"/>
      </w:pPr>
      <w:r>
        <w:drawing>
          <wp:inline>
            <wp:extent cx="4093320" cy="644375"/>
            <wp:effectExtent b="0" l="0" r="0" t="0"/>
            <wp:docPr descr="" id="1" name="Picture"/>
            <a:graphic>
              <a:graphicData uri="http://schemas.openxmlformats.org/drawingml/2006/picture">
                <pic:pic>
                  <pic:nvPicPr>
                    <pic:cNvPr descr="img/table_model4_cm_clf_report.png" id="0" name="Picture"/>
                    <pic:cNvPicPr>
                      <a:picLocks noChangeArrowheads="1" noChangeAspect="1"/>
                    </pic:cNvPicPr>
                  </pic:nvPicPr>
                  <pic:blipFill>
                    <a:blip r:embed="rId106"/>
                    <a:stretch>
                      <a:fillRect/>
                    </a:stretch>
                  </pic:blipFill>
                  <pic:spPr bwMode="auto">
                    <a:xfrm>
                      <a:off x="0" y="0"/>
                      <a:ext cx="4093320" cy="644375"/>
                    </a:xfrm>
                    <a:prstGeom prst="rect">
                      <a:avLst/>
                    </a:prstGeom>
                    <a:noFill/>
                    <a:ln w="9525">
                      <a:noFill/>
                      <a:headEnd/>
                      <a:tailEnd/>
                    </a:ln>
                  </pic:spPr>
                </pic:pic>
              </a:graphicData>
            </a:graphic>
          </wp:inline>
        </w:drawing>
      </w:r>
    </w:p>
    <w:p>
      <w:pPr>
        <w:pStyle w:val="FirstParagraph"/>
      </w:pPr>
      <w:r>
        <w:t xml:space="preserve">The AUCs (Figure 39) for the two classes are not only close to each other but they are also around 0.90, suggesting good model performance based on the MNB classifier.</w:t>
      </w:r>
    </w:p>
    <w:p>
      <w:pPr>
        <w:pStyle w:val="Heading4"/>
      </w:pPr>
      <w:bookmarkStart w:id="107" w:name="fig.39-model-4-roc-curve"/>
      <w:bookmarkEnd w:id="107"/>
      <w:r>
        <w:t xml:space="preserve">Fig.39 Model #4 | ROC Curve</w:t>
      </w:r>
    </w:p>
    <w:p>
      <w:pPr>
        <w:pStyle w:val="Figure"/>
      </w:pPr>
      <w:r>
        <w:drawing>
          <wp:inline>
            <wp:extent cx="2604052" cy="1842052"/>
            <wp:effectExtent b="0" l="0" r="0" t="0"/>
            <wp:docPr descr="" id="1" name="Picture"/>
            <a:graphic>
              <a:graphicData uri="http://schemas.openxmlformats.org/drawingml/2006/picture">
                <pic:pic>
                  <pic:nvPicPr>
                    <pic:cNvPr descr="img/plt_model4_roc.png" id="0" name="Picture"/>
                    <pic:cNvPicPr>
                      <a:picLocks noChangeArrowheads="1" noChangeAspect="1"/>
                    </pic:cNvPicPr>
                  </pic:nvPicPr>
                  <pic:blipFill>
                    <a:blip r:embed="rId108"/>
                    <a:stretch>
                      <a:fillRect/>
                    </a:stretch>
                  </pic:blipFill>
                  <pic:spPr bwMode="auto">
                    <a:xfrm>
                      <a:off x="0" y="0"/>
                      <a:ext cx="2604052" cy="1842052"/>
                    </a:xfrm>
                    <a:prstGeom prst="rect">
                      <a:avLst/>
                    </a:prstGeom>
                    <a:noFill/>
                    <a:ln w="9525">
                      <a:noFill/>
                      <a:headEnd/>
                      <a:tailEnd/>
                    </a:ln>
                  </pic:spPr>
                </pic:pic>
              </a:graphicData>
            </a:graphic>
          </wp:inline>
        </w:drawing>
      </w:r>
    </w:p>
    <w:p>
      <w:pPr>
        <w:pStyle w:val="FirstParagraph"/>
      </w:pPr>
      <w:r>
        <w:t xml:space="preserve">The most indicative words for the fourth model in Figure 40 show a general split compared to the most indicative words from the first model. Besides the first two words (</w:t>
      </w:r>
      <w:r>
        <w:t xml:space="preserve">“</w:t>
      </w:r>
      <w:r>
        <w:t xml:space="preserve">the</w:t>
      </w:r>
      <w:r>
        <w:t xml:space="preserve">”</w:t>
      </w:r>
      <w:r>
        <w:t xml:space="preserve"> </w:t>
      </w:r>
      <w:r>
        <w:t xml:space="preserve">and</w:t>
      </w:r>
      <w:r>
        <w:t xml:space="preserve"> </w:t>
      </w:r>
      <w:r>
        <w:t xml:space="preserve">“</w:t>
      </w:r>
      <w:r>
        <w:t xml:space="preserve">to</w:t>
      </w:r>
      <w:r>
        <w:t xml:space="preserve">”</w:t>
      </w:r>
      <w:r>
        <w:t xml:space="preserve">), both classes roughly have the same odds.</w:t>
      </w:r>
    </w:p>
    <w:p>
      <w:pPr>
        <w:pStyle w:val="Heading4"/>
      </w:pPr>
      <w:bookmarkStart w:id="109" w:name="fig.40-model-4-most-indicative-words"/>
      <w:bookmarkEnd w:id="109"/>
      <w:r>
        <w:t xml:space="preserve">Fig.40 Model #4 | Most Indicative Words</w:t>
      </w:r>
    </w:p>
    <w:p>
      <w:pPr>
        <w:pStyle w:val="Figure"/>
      </w:pPr>
      <w:r>
        <w:drawing>
          <wp:inline>
            <wp:extent cx="2587557" cy="1841770"/>
            <wp:effectExtent b="0" l="0" r="0" t="0"/>
            <wp:docPr descr="" id="1" name="Picture"/>
            <a:graphic>
              <a:graphicData uri="http://schemas.openxmlformats.org/drawingml/2006/picture">
                <pic:pic>
                  <pic:nvPicPr>
                    <pic:cNvPr descr="img/plt_model4_topwords.png" id="0" name="Picture"/>
                    <pic:cNvPicPr>
                      <a:picLocks noChangeArrowheads="1" noChangeAspect="1"/>
                    </pic:cNvPicPr>
                  </pic:nvPicPr>
                  <pic:blipFill>
                    <a:blip r:embed="rId110"/>
                    <a:stretch>
                      <a:fillRect/>
                    </a:stretch>
                  </pic:blipFill>
                  <pic:spPr bwMode="auto">
                    <a:xfrm>
                      <a:off x="0" y="0"/>
                      <a:ext cx="2587557" cy="1841770"/>
                    </a:xfrm>
                    <a:prstGeom prst="rect">
                      <a:avLst/>
                    </a:prstGeom>
                    <a:noFill/>
                    <a:ln w="9525">
                      <a:noFill/>
                      <a:headEnd/>
                      <a:tailEnd/>
                    </a:ln>
                  </pic:spPr>
                </pic:pic>
              </a:graphicData>
            </a:graphic>
          </wp:inline>
        </w:drawing>
      </w:r>
    </w:p>
    <w:p>
      <w:pPr>
        <w:pStyle w:val="FirstParagraph"/>
      </w:pPr>
      <w:r>
        <w:rPr>
          <w:b/>
        </w:rPr>
        <w:t xml:space="preserve">Model 5</w:t>
      </w:r>
    </w:p>
    <w:p>
      <w:pPr>
        <w:pStyle w:val="BodyText"/>
      </w:pPr>
      <w:r>
        <w:t xml:space="preserve">The fifth model saw a significant increase in performance with a 5-fold cross validation testing F1 measure of 92% for the</w:t>
      </w:r>
      <w:r>
        <w:t xml:space="preserve"> </w:t>
      </w:r>
      <w:r>
        <w:t xml:space="preserve">“</w:t>
      </w:r>
      <w:r>
        <w:t xml:space="preserve">ran</w:t>
      </w:r>
      <w:r>
        <w:t xml:space="preserve">”</w:t>
      </w:r>
      <w:r>
        <w:t xml:space="preserve"> </w:t>
      </w:r>
      <w:r>
        <w:t xml:space="preserve">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pPr>
        <w:pStyle w:val="Heading4"/>
      </w:pPr>
      <w:bookmarkStart w:id="111" w:name="fig.41-model-5-confusion-matrix-classification-report-of-an-example-fold"/>
      <w:bookmarkEnd w:id="111"/>
      <w:r>
        <w:t xml:space="preserve">Fig.41 Model #5 | Confusion Matrix &amp; Classification Report of an Example Fold</w:t>
      </w:r>
    </w:p>
    <w:p>
      <w:pPr>
        <w:pStyle w:val="Figure"/>
      </w:pPr>
      <w:r>
        <w:drawing>
          <wp:inline>
            <wp:extent cx="4130142" cy="644375"/>
            <wp:effectExtent b="0" l="0" r="0" t="0"/>
            <wp:docPr descr="" id="1" name="Picture"/>
            <a:graphic>
              <a:graphicData uri="http://schemas.openxmlformats.org/drawingml/2006/picture">
                <pic:pic>
                  <pic:nvPicPr>
                    <pic:cNvPr descr="img/table_model5_cm_clf_report.png" id="0" name="Picture"/>
                    <pic:cNvPicPr>
                      <a:picLocks noChangeArrowheads="1" noChangeAspect="1"/>
                    </pic:cNvPicPr>
                  </pic:nvPicPr>
                  <pic:blipFill>
                    <a:blip r:embed="rId112"/>
                    <a:stretch>
                      <a:fillRect/>
                    </a:stretch>
                  </pic:blipFill>
                  <pic:spPr bwMode="auto">
                    <a:xfrm>
                      <a:off x="0" y="0"/>
                      <a:ext cx="4130142" cy="644375"/>
                    </a:xfrm>
                    <a:prstGeom prst="rect">
                      <a:avLst/>
                    </a:prstGeom>
                    <a:noFill/>
                    <a:ln w="9525">
                      <a:noFill/>
                      <a:headEnd/>
                      <a:tailEnd/>
                    </a:ln>
                  </pic:spPr>
                </pic:pic>
              </a:graphicData>
            </a:graphic>
          </wp:inline>
        </w:drawing>
      </w:r>
    </w:p>
    <w:p>
      <w:pPr>
        <w:pStyle w:val="FirstParagraph"/>
      </w:pPr>
      <w:r>
        <w:t xml:space="preserve">These high performance scores also correspond with the AUC values found in the ROC curve (Figure 42). The true and false positive rates almost perfectly follow the graphical boundaries as desired, suggesting that the MNB classifier performed extremely well and has learned the data.</w:t>
      </w:r>
    </w:p>
    <w:p>
      <w:pPr>
        <w:pStyle w:val="Heading4"/>
      </w:pPr>
      <w:bookmarkStart w:id="113" w:name="fig.42-model-5-roc-curve"/>
      <w:bookmarkEnd w:id="113"/>
      <w:r>
        <w:t xml:space="preserve">Fig.42 Model #5 | ROC Curve</w:t>
      </w:r>
    </w:p>
    <w:p>
      <w:pPr>
        <w:pStyle w:val="Figure"/>
      </w:pPr>
      <w:r>
        <w:drawing>
          <wp:inline>
            <wp:extent cx="2597426" cy="1842052"/>
            <wp:effectExtent b="0" l="0" r="0" t="0"/>
            <wp:docPr descr="" id="1" name="Picture"/>
            <a:graphic>
              <a:graphicData uri="http://schemas.openxmlformats.org/drawingml/2006/picture">
                <pic:pic>
                  <pic:nvPicPr>
                    <pic:cNvPr descr="img/plt_model5_roc.png" id="0" name="Picture"/>
                    <pic:cNvPicPr>
                      <a:picLocks noChangeArrowheads="1" noChangeAspect="1"/>
                    </pic:cNvPicPr>
                  </pic:nvPicPr>
                  <pic:blipFill>
                    <a:blip r:embed="rId114"/>
                    <a:stretch>
                      <a:fillRect/>
                    </a:stretch>
                  </pic:blipFill>
                  <pic:spPr bwMode="auto">
                    <a:xfrm>
                      <a:off x="0" y="0"/>
                      <a:ext cx="2597426" cy="1842052"/>
                    </a:xfrm>
                    <a:prstGeom prst="rect">
                      <a:avLst/>
                    </a:prstGeom>
                    <a:noFill/>
                    <a:ln w="9525">
                      <a:noFill/>
                      <a:headEnd/>
                      <a:tailEnd/>
                    </a:ln>
                  </pic:spPr>
                </pic:pic>
              </a:graphicData>
            </a:graphic>
          </wp:inline>
        </w:drawing>
      </w:r>
    </w:p>
    <w:p>
      <w:pPr>
        <w:pStyle w:val="FirstParagraph"/>
      </w:pPr>
      <w:r>
        <w:t xml:space="preserve">Figure 43 below shows the top most indicative words for both classes. The probabilities are fairly balanced between the two classes with</w:t>
      </w:r>
      <w:r>
        <w:t xml:space="preserve"> </w:t>
      </w:r>
      <w:r>
        <w:t xml:space="preserve">“</w:t>
      </w:r>
      <w:r>
        <w:t xml:space="preserve">today</w:t>
      </w:r>
      <w:r>
        <w:t xml:space="preserve">”</w:t>
      </w:r>
      <w:r>
        <w:t xml:space="preserve"> </w:t>
      </w:r>
      <w:r>
        <w:t xml:space="preserve">having the single highest value overall.</w:t>
      </w:r>
      <w:r>
        <w:t xml:space="preserve"> </w:t>
      </w:r>
      <w:r>
        <w:t xml:space="preserve">“</w:t>
      </w:r>
      <w:r>
        <w:t xml:space="preserve">Thank</w:t>
      </w:r>
      <w:r>
        <w:t xml:space="preserve">”</w:t>
      </w:r>
      <w:r>
        <w:t xml:space="preserve"> </w:t>
      </w:r>
      <w:r>
        <w:t xml:space="preserve">and</w:t>
      </w:r>
      <w:r>
        <w:t xml:space="preserve"> </w:t>
      </w:r>
      <w:r>
        <w:t xml:space="preserve">“</w:t>
      </w:r>
      <w:r>
        <w:t xml:space="preserve">great</w:t>
      </w:r>
      <w:r>
        <w:t xml:space="preserve">”</w:t>
      </w:r>
      <w:r>
        <w:t xml:space="preserve"> </w:t>
      </w:r>
      <w:r>
        <w:t xml:space="preserve">are the next two highest for the</w:t>
      </w:r>
      <w:r>
        <w:t xml:space="preserve"> </w:t>
      </w:r>
      <w:r>
        <w:t xml:space="preserve">“</w:t>
      </w:r>
      <w:r>
        <w:t xml:space="preserve">didn’t run</w:t>
      </w:r>
      <w:r>
        <w:t xml:space="preserve">”</w:t>
      </w:r>
      <w:r>
        <w:t xml:space="preserve"> </w:t>
      </w:r>
      <w:r>
        <w:t xml:space="preserve">class.</w:t>
      </w:r>
      <w:r>
        <w:t xml:space="preserve"> </w:t>
      </w:r>
      <w:r>
        <w:t xml:space="preserve">“</w:t>
      </w:r>
      <w:r>
        <w:t xml:space="preserve">Need</w:t>
      </w:r>
      <w:r>
        <w:t xml:space="preserve">”</w:t>
      </w:r>
      <w:r>
        <w:t xml:space="preserve">,</w:t>
      </w:r>
      <w:r>
        <w:t xml:space="preserve"> </w:t>
      </w:r>
      <w:r>
        <w:t xml:space="preserve">“</w:t>
      </w:r>
      <w:r>
        <w:t xml:space="preserve">peopl</w:t>
      </w:r>
      <w:r>
        <w:t xml:space="preserve">”</w:t>
      </w:r>
      <w:r>
        <w:t xml:space="preserve"> </w:t>
      </w:r>
      <w:r>
        <w:t xml:space="preserve">(stemmed), and</w:t>
      </w:r>
      <w:r>
        <w:t xml:space="preserve"> </w:t>
      </w:r>
      <w:r>
        <w:t xml:space="preserve">“</w:t>
      </w:r>
      <w:r>
        <w:t xml:space="preserve">trump</w:t>
      </w:r>
      <w:r>
        <w:t xml:space="preserve">”</w:t>
      </w:r>
      <w:r>
        <w:t xml:space="preserve">, again, are the three highest valued words for the</w:t>
      </w:r>
      <w:r>
        <w:t xml:space="preserve"> </w:t>
      </w:r>
      <w:r>
        <w:t xml:space="preserve">“</w:t>
      </w:r>
      <w:r>
        <w:t xml:space="preserve">ran</w:t>
      </w:r>
      <w:r>
        <w:t xml:space="preserve">”</w:t>
      </w:r>
      <w:r>
        <w:t xml:space="preserve"> </w:t>
      </w:r>
      <w:r>
        <w:t xml:space="preserve">class, meaning the more times these words were used, the more likely they were to launch a campaign.</w:t>
      </w:r>
    </w:p>
    <w:p>
      <w:pPr>
        <w:pStyle w:val="Heading4"/>
      </w:pPr>
      <w:bookmarkStart w:id="115" w:name="fig.43-model-5-most-indicative-words"/>
      <w:bookmarkEnd w:id="115"/>
      <w:r>
        <w:t xml:space="preserve">Fig.43 Model #5 | Most Indicative Words</w:t>
      </w:r>
    </w:p>
    <w:p>
      <w:pPr>
        <w:pStyle w:val="Figure"/>
      </w:pPr>
      <w:r>
        <w:drawing>
          <wp:inline>
            <wp:extent cx="2442491" cy="1841073"/>
            <wp:effectExtent b="0" l="0" r="0" t="0"/>
            <wp:docPr descr="" id="1" name="Picture"/>
            <a:graphic>
              <a:graphicData uri="http://schemas.openxmlformats.org/drawingml/2006/picture">
                <pic:pic>
                  <pic:nvPicPr>
                    <pic:cNvPr descr="img/plt_model5_topwords.png" id="0" name="Picture"/>
                    <pic:cNvPicPr>
                      <a:picLocks noChangeArrowheads="1" noChangeAspect="1"/>
                    </pic:cNvPicPr>
                  </pic:nvPicPr>
                  <pic:blipFill>
                    <a:blip r:embed="rId116"/>
                    <a:stretch>
                      <a:fillRect/>
                    </a:stretch>
                  </pic:blipFill>
                  <pic:spPr bwMode="auto">
                    <a:xfrm>
                      <a:off x="0" y="0"/>
                      <a:ext cx="2442491" cy="1841073"/>
                    </a:xfrm>
                    <a:prstGeom prst="rect">
                      <a:avLst/>
                    </a:prstGeom>
                    <a:noFill/>
                    <a:ln w="9525">
                      <a:noFill/>
                      <a:headEnd/>
                      <a:tailEnd/>
                    </a:ln>
                  </pic:spPr>
                </pic:pic>
              </a:graphicData>
            </a:graphic>
          </wp:inline>
        </w:drawing>
      </w:r>
    </w:p>
    <w:p>
      <w:pPr>
        <w:pStyle w:val="FirstParagraph"/>
      </w:pPr>
      <w:r>
        <w:rPr>
          <w:b/>
        </w:rPr>
        <w:t xml:space="preserve">Model 6</w:t>
      </w:r>
    </w:p>
    <w:p>
      <w:pPr>
        <w:pStyle w:val="BodyText"/>
      </w:pPr>
      <w:r>
        <w:t xml:space="preserve">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pPr>
        <w:pStyle w:val="Heading4"/>
      </w:pPr>
      <w:bookmarkStart w:id="117" w:name="fig.44-model-6-confusion-matrix-classification-report-of-an-example-fold"/>
      <w:bookmarkEnd w:id="117"/>
      <w:r>
        <w:t xml:space="preserve">Fig.44 Model #6 | Confusion Matrix &amp; Classification Report of an Example Fold</w:t>
      </w:r>
    </w:p>
    <w:p>
      <w:pPr>
        <w:pStyle w:val="Figure"/>
      </w:pPr>
      <w:r>
        <w:drawing>
          <wp:inline>
            <wp:extent cx="4105594" cy="644375"/>
            <wp:effectExtent b="0" l="0" r="0" t="0"/>
            <wp:docPr descr="" id="1" name="Picture"/>
            <a:graphic>
              <a:graphicData uri="http://schemas.openxmlformats.org/drawingml/2006/picture">
                <pic:pic>
                  <pic:nvPicPr>
                    <pic:cNvPr descr="img/table_model6_cm_clf_report.png" id="0" name="Picture"/>
                    <pic:cNvPicPr>
                      <a:picLocks noChangeArrowheads="1" noChangeAspect="1"/>
                    </pic:cNvPicPr>
                  </pic:nvPicPr>
                  <pic:blipFill>
                    <a:blip r:embed="rId118"/>
                    <a:stretch>
                      <a:fillRect/>
                    </a:stretch>
                  </pic:blipFill>
                  <pic:spPr bwMode="auto">
                    <a:xfrm>
                      <a:off x="0" y="0"/>
                      <a:ext cx="4105594" cy="644375"/>
                    </a:xfrm>
                    <a:prstGeom prst="rect">
                      <a:avLst/>
                    </a:prstGeom>
                    <a:noFill/>
                    <a:ln w="9525">
                      <a:noFill/>
                      <a:headEnd/>
                      <a:tailEnd/>
                    </a:ln>
                  </pic:spPr>
                </pic:pic>
              </a:graphicData>
            </a:graphic>
          </wp:inline>
        </w:drawing>
      </w:r>
    </w:p>
    <w:p>
      <w:pPr>
        <w:pStyle w:val="FirstParagraph"/>
      </w:pPr>
      <w:r>
        <w:t xml:space="preserve">There was also a slight dropoff from accuracy (91%) to AUC (87%) in this sixth model as well, although the performance is still high. Figure 45 shows the ROC curve for this model.</w:t>
      </w:r>
    </w:p>
    <w:p>
      <w:pPr>
        <w:pStyle w:val="Heading4"/>
      </w:pPr>
      <w:bookmarkStart w:id="119" w:name="fig.45-model-6-roc-curve"/>
      <w:bookmarkEnd w:id="119"/>
      <w:r>
        <w:t xml:space="preserve">Fig.45 Model #6 | ROC Curve</w:t>
      </w:r>
    </w:p>
    <w:p>
      <w:pPr>
        <w:pStyle w:val="Figure"/>
      </w:pPr>
      <w:r>
        <w:drawing>
          <wp:inline>
            <wp:extent cx="2597426" cy="1842052"/>
            <wp:effectExtent b="0" l="0" r="0" t="0"/>
            <wp:docPr descr="" id="1" name="Picture"/>
            <a:graphic>
              <a:graphicData uri="http://schemas.openxmlformats.org/drawingml/2006/picture">
                <pic:pic>
                  <pic:nvPicPr>
                    <pic:cNvPr descr="img/plt_model6_roc.png" id="0" name="Picture"/>
                    <pic:cNvPicPr>
                      <a:picLocks noChangeArrowheads="1" noChangeAspect="1"/>
                    </pic:cNvPicPr>
                  </pic:nvPicPr>
                  <pic:blipFill>
                    <a:blip r:embed="rId120"/>
                    <a:stretch>
                      <a:fillRect/>
                    </a:stretch>
                  </pic:blipFill>
                  <pic:spPr bwMode="auto">
                    <a:xfrm>
                      <a:off x="0" y="0"/>
                      <a:ext cx="2597426" cy="1842052"/>
                    </a:xfrm>
                    <a:prstGeom prst="rect">
                      <a:avLst/>
                    </a:prstGeom>
                    <a:noFill/>
                    <a:ln w="9525">
                      <a:noFill/>
                      <a:headEnd/>
                      <a:tailEnd/>
                    </a:ln>
                  </pic:spPr>
                </pic:pic>
              </a:graphicData>
            </a:graphic>
          </wp:inline>
        </w:drawing>
      </w:r>
    </w:p>
    <w:p>
      <w:pPr>
        <w:pStyle w:val="FirstParagraph"/>
      </w:pPr>
      <w:r>
        <w:t xml:space="preserve">The most indicative words for this model are shown in Figure 46. Unlike previous models, this list contains several different top words. Generally, if the words</w:t>
      </w:r>
      <w:r>
        <w:t xml:space="preserve"> </w:t>
      </w:r>
      <w:r>
        <w:t xml:space="preserve">“</w:t>
      </w:r>
      <w:r>
        <w:t xml:space="preserve">today</w:t>
      </w:r>
      <w:r>
        <w:t xml:space="preserve">”</w:t>
      </w:r>
      <w:r>
        <w:t xml:space="preserve">,</w:t>
      </w:r>
      <w:r>
        <w:t xml:space="preserve"> </w:t>
      </w:r>
      <w:r>
        <w:t xml:space="preserve">“</w:t>
      </w:r>
      <w:r>
        <w:t xml:space="preserve">house</w:t>
      </w:r>
      <w:r>
        <w:t xml:space="preserve">”</w:t>
      </w:r>
      <w:r>
        <w:t xml:space="preserve">,</w:t>
      </w:r>
      <w:r>
        <w:t xml:space="preserve"> </w:t>
      </w:r>
      <w:r>
        <w:t xml:space="preserve">“</w:t>
      </w:r>
      <w:r>
        <w:t xml:space="preserve">congress</w:t>
      </w:r>
      <w:r>
        <w:t xml:space="preserve">”</w:t>
      </w:r>
      <w:r>
        <w:t xml:space="preserve">, and</w:t>
      </w:r>
      <w:r>
        <w:t xml:space="preserve"> </w:t>
      </w:r>
      <w:r>
        <w:t xml:space="preserve">“</w:t>
      </w:r>
      <w:r>
        <w:t xml:space="preserve">vote</w:t>
      </w:r>
      <w:r>
        <w:t xml:space="preserve">”</w:t>
      </w:r>
      <w:r>
        <w:t xml:space="preserve"> </w:t>
      </w:r>
      <w:r>
        <w:t xml:space="preserve">appear, that person is less likely to run for president, according to the model. On the other hand, if the words</w:t>
      </w:r>
      <w:r>
        <w:t xml:space="preserve"> </w:t>
      </w:r>
      <w:r>
        <w:t xml:space="preserve">“</w:t>
      </w:r>
      <w:r>
        <w:t xml:space="preserve">country</w:t>
      </w:r>
      <w:r>
        <w:t xml:space="preserve">”</w:t>
      </w:r>
      <w:r>
        <w:t xml:space="preserve">,</w:t>
      </w:r>
      <w:r>
        <w:t xml:space="preserve"> </w:t>
      </w:r>
      <w:r>
        <w:t xml:space="preserve">“</w:t>
      </w:r>
      <w:r>
        <w:t xml:space="preserve">need</w:t>
      </w:r>
      <w:r>
        <w:t xml:space="preserve">”</w:t>
      </w:r>
      <w:r>
        <w:t xml:space="preserve">, and</w:t>
      </w:r>
      <w:r>
        <w:t xml:space="preserve"> </w:t>
      </w:r>
      <w:r>
        <w:t xml:space="preserve">“</w:t>
      </w:r>
      <w:r>
        <w:t xml:space="preserve">president</w:t>
      </w:r>
      <w:r>
        <w:t xml:space="preserve">”</w:t>
      </w:r>
      <w:r>
        <w:t xml:space="preserve"> </w:t>
      </w:r>
      <w:r>
        <w:t xml:space="preserve">appeared, one was more likely to launch a campaign. Note that because these words are stemmed, some of them seem nonsensical. It is also important to note that</w:t>
      </w:r>
      <w:r>
        <w:t xml:space="preserve"> </w:t>
      </w:r>
      <w:r>
        <w:t xml:space="preserve">“</w:t>
      </w:r>
      <w:r>
        <w:t xml:space="preserve">2020</w:t>
      </w:r>
      <w:r>
        <w:t xml:space="preserve">”</w:t>
      </w:r>
      <w:r>
        <w:t xml:space="preserve"> </w:t>
      </w:r>
      <w:r>
        <w:t xml:space="preserve">appears in the</w:t>
      </w:r>
      <w:r>
        <w:t xml:space="preserve"> </w:t>
      </w:r>
      <w:r>
        <w:t xml:space="preserve">“</w:t>
      </w:r>
      <w:r>
        <w:t xml:space="preserve">ran</w:t>
      </w:r>
      <w:r>
        <w:t xml:space="preserve">”</w:t>
      </w:r>
      <w:r>
        <w:t xml:space="preserve"> </w:t>
      </w:r>
      <w:r>
        <w:t xml:space="preserve">class, which is a strong indicator of potential data leakage in the model.</w:t>
      </w:r>
    </w:p>
    <w:p>
      <w:pPr>
        <w:pStyle w:val="Heading4"/>
      </w:pPr>
      <w:bookmarkStart w:id="121" w:name="fig.46-model-6-most-indicative-words"/>
      <w:bookmarkEnd w:id="121"/>
      <w:r>
        <w:t xml:space="preserve">Fig.46 Model #6 | Most Indicative Words</w:t>
      </w:r>
    </w:p>
    <w:p>
      <w:pPr>
        <w:pStyle w:val="Figure"/>
      </w:pPr>
      <w:r>
        <w:drawing>
          <wp:inline>
            <wp:extent cx="2307479" cy="1841073"/>
            <wp:effectExtent b="0" l="0" r="0" t="0"/>
            <wp:docPr descr="" id="1" name="Picture"/>
            <a:graphic>
              <a:graphicData uri="http://schemas.openxmlformats.org/drawingml/2006/picture">
                <pic:pic>
                  <pic:nvPicPr>
                    <pic:cNvPr descr="img/plt_model6_topwords.png" id="0" name="Picture"/>
                    <pic:cNvPicPr>
                      <a:picLocks noChangeArrowheads="1" noChangeAspect="1"/>
                    </pic:cNvPicPr>
                  </pic:nvPicPr>
                  <pic:blipFill>
                    <a:blip r:embed="rId122"/>
                    <a:stretch>
                      <a:fillRect/>
                    </a:stretch>
                  </pic:blipFill>
                  <pic:spPr bwMode="auto">
                    <a:xfrm>
                      <a:off x="0" y="0"/>
                      <a:ext cx="2307479" cy="1841073"/>
                    </a:xfrm>
                    <a:prstGeom prst="rect">
                      <a:avLst/>
                    </a:prstGeom>
                    <a:noFill/>
                    <a:ln w="9525">
                      <a:noFill/>
                      <a:headEnd/>
                      <a:tailEnd/>
                    </a:ln>
                  </pic:spPr>
                </pic:pic>
              </a:graphicData>
            </a:graphic>
          </wp:inline>
        </w:drawing>
      </w:r>
    </w:p>
    <w:p>
      <w:pPr>
        <w:pStyle w:val="FirstParagraph"/>
      </w:pPr>
      <w:r>
        <w:rPr>
          <w:b/>
        </w:rPr>
        <w:t xml:space="preserve">Model Summary</w:t>
      </w:r>
    </w:p>
    <w:p>
      <w:pPr>
        <w:pStyle w:val="BodyText"/>
      </w:pPr>
      <w:r>
        <w:t xml:space="preserve">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below shows the various combinations of models, including their results. The selected model is bolded in blue.</w:t>
      </w:r>
    </w:p>
    <w:p>
      <w:pPr>
        <w:pStyle w:val="Heading4"/>
      </w:pPr>
      <w:bookmarkStart w:id="123" w:name="fig.47-summary-of-models-parameters"/>
      <w:bookmarkEnd w:id="123"/>
      <w:r>
        <w:t xml:space="preserve">Fig.47 Summary of Models &amp; Parameters</w:t>
      </w:r>
    </w:p>
    <w:p>
      <w:pPr>
        <w:pStyle w:val="Figure"/>
      </w:pPr>
      <w:r>
        <w:drawing>
          <wp:inline>
            <wp:extent cx="5943600" cy="1499013"/>
            <wp:effectExtent b="0" l="0" r="0" t="0"/>
            <wp:docPr descr="" id="1" name="Picture"/>
            <a:graphic>
              <a:graphicData uri="http://schemas.openxmlformats.org/drawingml/2006/picture">
                <pic:pic>
                  <pic:nvPicPr>
                    <pic:cNvPr descr="img/table_model_summary.png" id="0" name="Picture"/>
                    <pic:cNvPicPr>
                      <a:picLocks noChangeArrowheads="1" noChangeAspect="1"/>
                    </pic:cNvPicPr>
                  </pic:nvPicPr>
                  <pic:blipFill>
                    <a:blip r:embed="rId124"/>
                    <a:stretch>
                      <a:fillRect/>
                    </a:stretch>
                  </pic:blipFill>
                  <pic:spPr bwMode="auto">
                    <a:xfrm>
                      <a:off x="0" y="0"/>
                      <a:ext cx="5943600" cy="1499013"/>
                    </a:xfrm>
                    <a:prstGeom prst="rect">
                      <a:avLst/>
                    </a:prstGeom>
                    <a:noFill/>
                    <a:ln w="9525">
                      <a:noFill/>
                      <a:headEnd/>
                      <a:tailEnd/>
                    </a:ln>
                  </pic:spPr>
                </pic:pic>
              </a:graphicData>
            </a:graphic>
          </wp:inline>
        </w:drawing>
      </w:r>
    </w:p>
    <w:p>
      <w:pPr>
        <w:pStyle w:val="Heading1"/>
      </w:pPr>
      <w:bookmarkStart w:id="125" w:name="conclusion"/>
      <w:bookmarkEnd w:id="125"/>
      <w:r>
        <w:t xml:space="preserve">Conclusion</w:t>
      </w:r>
    </w:p>
    <w:p>
      <w:pPr>
        <w:pStyle w:val="FirstParagraph"/>
      </w:pPr>
      <w:r>
        <w:t xml:space="preserve">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pPr>
        <w:pStyle w:val="BodyText"/>
      </w:pPr>
      <w:r>
        <w:t xml:space="preserve">This candidential manner of tweeting includes frequent mention of</w:t>
      </w:r>
      <w:r>
        <w:t xml:space="preserve"> </w:t>
      </w:r>
      <w:r>
        <w:t xml:space="preserve">“</w:t>
      </w:r>
      <w:r>
        <w:t xml:space="preserve">President</w:t>
      </w:r>
      <w:r>
        <w:t xml:space="preserve">”</w:t>
      </w:r>
      <w:r>
        <w:t xml:space="preserve"> </w:t>
      </w:r>
      <w:r>
        <w:t xml:space="preserve">“</w:t>
      </w:r>
      <w:r>
        <w:t xml:space="preserve">Trump</w:t>
      </w:r>
      <w:r>
        <w:t xml:space="preserve">”</w:t>
      </w:r>
      <w:r>
        <w:t xml:space="preserve"> </w:t>
      </w:r>
      <w:r>
        <w:t xml:space="preserve">and what the</w:t>
      </w:r>
      <w:r>
        <w:t xml:space="preserve"> </w:t>
      </w:r>
      <w:r>
        <w:t xml:space="preserve">“</w:t>
      </w:r>
      <w:r>
        <w:t xml:space="preserve">people</w:t>
      </w:r>
      <w:r>
        <w:t xml:space="preserve">”</w:t>
      </w:r>
      <w:r>
        <w:t xml:space="preserve"> </w:t>
      </w:r>
      <w:r>
        <w:t xml:space="preserve">might</w:t>
      </w:r>
      <w:r>
        <w:t xml:space="preserve"> </w:t>
      </w:r>
      <w:r>
        <w:t xml:space="preserve">“</w:t>
      </w:r>
      <w:r>
        <w:t xml:space="preserve">need</w:t>
      </w:r>
      <w:r>
        <w:t xml:space="preserve">”</w:t>
      </w:r>
      <w:r>
        <w:t xml:space="preserve"> </w:t>
      </w:r>
      <w:r>
        <w:t xml:space="preserve">in a future</w:t>
      </w:r>
      <w:r>
        <w:t xml:space="preserve"> </w:t>
      </w:r>
      <w:r>
        <w:t xml:space="preserve">“</w:t>
      </w:r>
      <w:r>
        <w:t xml:space="preserve">President</w:t>
      </w:r>
      <w:r>
        <w:t xml:space="preserve">”</w:t>
      </w:r>
      <w:r>
        <w:t xml:space="preserve"> </w:t>
      </w:r>
      <w:r>
        <w:t xml:space="preserve">and differs from the manner of their political peers, who mostly tweet about more agreeable topics such as</w:t>
      </w:r>
      <w:r>
        <w:t xml:space="preserve"> </w:t>
      </w:r>
      <w:r>
        <w:t xml:space="preserve">“</w:t>
      </w:r>
      <w:r>
        <w:t xml:space="preserve">thanks</w:t>
      </w:r>
      <w:r>
        <w:t xml:space="preserve">”</w:t>
      </w:r>
      <w:r>
        <w:t xml:space="preserve">,</w:t>
      </w:r>
      <w:r>
        <w:t xml:space="preserve"> </w:t>
      </w:r>
      <w:r>
        <w:t xml:space="preserve">“</w:t>
      </w:r>
      <w:r>
        <w:t xml:space="preserve">join</w:t>
      </w:r>
      <w:r>
        <w:t xml:space="preserve">”</w:t>
      </w:r>
      <w:r>
        <w:t xml:space="preserve"> </w:t>
      </w:r>
      <w:r>
        <w:t xml:space="preserve">and</w:t>
      </w:r>
      <w:r>
        <w:t xml:space="preserve"> </w:t>
      </w:r>
      <w:r>
        <w:t xml:space="preserve">“</w:t>
      </w:r>
      <w:r>
        <w:t xml:space="preserve">support</w:t>
      </w:r>
      <w:r>
        <w:t xml:space="preserve">”</w:t>
      </w:r>
      <w:r>
        <w:t xml:space="preserve">.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the next cycle, is likely ill-informed, as they could be up to ten years away from eligibility.</w:t>
      </w:r>
    </w:p>
    <w:p>
      <w:pPr>
        <w:pStyle w:val="Heading1"/>
      </w:pPr>
      <w:bookmarkStart w:id="126" w:name="works-cited"/>
      <w:bookmarkEnd w:id="126"/>
      <w:r>
        <w:t xml:space="preserve">Works Cited</w:t>
      </w:r>
    </w:p>
    <w:p>
      <w:pPr>
        <w:pStyle w:val="Compact"/>
        <w:numPr>
          <w:numId w:val="1009"/>
          <w:ilvl w:val="0"/>
        </w:numPr>
      </w:pPr>
      <w:r>
        <w:t xml:space="preserve">Ballotpedia. (n.d.). List of current members of the U.S. Congress. Retrieved 04 25, 2020, from Ballotpedia:</w:t>
      </w:r>
    </w:p>
    <w:p>
      <w:pPr>
        <w:pStyle w:val="Compact"/>
        <w:numPr>
          <w:numId w:val="1010"/>
          <w:ilvl w:val="1"/>
        </w:numPr>
      </w:pPr>
      <w:hyperlink r:id="rId127">
        <w:r>
          <w:rPr>
            <w:rStyle w:val="Hyperlink"/>
          </w:rPr>
          <w:t xml:space="preserve">https://ballotpedia.org/List_of_current_members_of_the_U.S._Congress</w:t>
        </w:r>
      </w:hyperlink>
    </w:p>
    <w:p>
      <w:pPr>
        <w:pStyle w:val="Compact"/>
        <w:numPr>
          <w:numId w:val="1009"/>
          <w:ilvl w:val="0"/>
        </w:numPr>
      </w:pPr>
      <w:r>
        <w:t xml:space="preserve">Ballotpedia. (n.d.). Roque De La Fuente presidential campaign, 2020. Retrieved 04 25, 2020, from Ballotpedia:</w:t>
      </w:r>
    </w:p>
    <w:p>
      <w:pPr>
        <w:pStyle w:val="Compact"/>
        <w:numPr>
          <w:numId w:val="1011"/>
          <w:ilvl w:val="1"/>
        </w:numPr>
      </w:pPr>
      <w:hyperlink r:id="rId128">
        <w:r>
          <w:rPr>
            <w:rStyle w:val="Hyperlink"/>
          </w:rPr>
          <w:t xml:space="preserve">https://ballotpedia.org/Roque_De_La_Fuente_presidential_campaign,_2020</w:t>
        </w:r>
      </w:hyperlink>
    </w:p>
    <w:p>
      <w:pPr>
        <w:pStyle w:val="Compact"/>
        <w:numPr>
          <w:numId w:val="1009"/>
          <w:ilvl w:val="0"/>
        </w:numPr>
      </w:pPr>
      <w:r>
        <w:t xml:space="preserve">Ballotpedia. (n.d.). Timeline of announcements in the presidential election, 2016. Retrieved 04 25, 2020, from Ballotpedia:</w:t>
      </w:r>
    </w:p>
    <w:p>
      <w:pPr>
        <w:pStyle w:val="Compact"/>
        <w:numPr>
          <w:numId w:val="1012"/>
          <w:ilvl w:val="1"/>
        </w:numPr>
      </w:pPr>
      <w:hyperlink r:id="rId129">
        <w:r>
          <w:rPr>
            <w:rStyle w:val="Hyperlink"/>
          </w:rPr>
          <w:t xml:space="preserve">https://ballotpedia.org/Timeline_of_announcements_in_the_presidential_election,_2016</w:t>
        </w:r>
      </w:hyperlink>
    </w:p>
    <w:p>
      <w:pPr>
        <w:pStyle w:val="Compact"/>
        <w:numPr>
          <w:numId w:val="1009"/>
          <w:ilvl w:val="0"/>
        </w:numPr>
      </w:pPr>
      <w:r>
        <w:t xml:space="preserve">Ballotpedia. (n.d.). Timeline of announcements in the presidential election, 2020. Retrieved 04 25, 2020, from Ballotpedia:</w:t>
      </w:r>
    </w:p>
    <w:p>
      <w:pPr>
        <w:pStyle w:val="Compact"/>
        <w:numPr>
          <w:numId w:val="1013"/>
          <w:ilvl w:val="1"/>
        </w:numPr>
      </w:pPr>
      <w:hyperlink r:id="rId130">
        <w:r>
          <w:rPr>
            <w:rStyle w:val="Hyperlink"/>
          </w:rPr>
          <w:t xml:space="preserve">https://ballotpedia.org/Timeline_of_announcements_in_the_presidential_election,_2020</w:t>
        </w:r>
      </w:hyperlink>
    </w:p>
    <w:p>
      <w:pPr>
        <w:pStyle w:val="Compact"/>
        <w:numPr>
          <w:numId w:val="1009"/>
          <w:ilvl w:val="0"/>
        </w:numPr>
      </w:pPr>
      <w:r>
        <w:t xml:space="preserve">Burke, M. (2019, 03 13). Democratic Florida mayor launching 2020 presidential exploratory committee. Retrieved 04 25, 2020, from The Hill:</w:t>
      </w:r>
    </w:p>
    <w:p>
      <w:pPr>
        <w:pStyle w:val="Compact"/>
        <w:numPr>
          <w:numId w:val="1014"/>
          <w:ilvl w:val="1"/>
        </w:numPr>
      </w:pPr>
      <w:hyperlink r:id="rId131">
        <w:r>
          <w:rPr>
            <w:rStyle w:val="Hyperlink"/>
          </w:rPr>
          <w:t xml:space="preserve">https://thehill.com/homenews/campaign/433890-democratic-florida-mayor-launching-2020-presidential-exploratory-committee</w:t>
        </w:r>
      </w:hyperlink>
    </w:p>
    <w:p>
      <w:pPr>
        <w:pStyle w:val="Compact"/>
        <w:numPr>
          <w:numId w:val="1009"/>
          <w:ilvl w:val="0"/>
        </w:numPr>
      </w:pPr>
      <w:r>
        <w:t xml:space="preserve">Jackson, D. (2015, 05 27). Santorum officially begins 2016 presidential campaign. Retrieved 04 25, 2020, from USA Today:</w:t>
      </w:r>
    </w:p>
    <w:p>
      <w:pPr>
        <w:pStyle w:val="Compact"/>
        <w:numPr>
          <w:numId w:val="1015"/>
          <w:ilvl w:val="1"/>
        </w:numPr>
      </w:pPr>
      <w:hyperlink r:id="rId132">
        <w:r>
          <w:rPr>
            <w:rStyle w:val="Hyperlink"/>
          </w:rPr>
          <w:t xml:space="preserve">https://www.usatoday.com/story/news/politics/elections/2016/2015/05/27/rick-santorum-2016-presidential-race/28011791/</w:t>
        </w:r>
      </w:hyperlink>
    </w:p>
    <w:p>
      <w:pPr>
        <w:pStyle w:val="Compact"/>
        <w:numPr>
          <w:numId w:val="1009"/>
          <w:ilvl w:val="0"/>
        </w:numPr>
      </w:pPr>
      <w:r>
        <w:t xml:space="preserve">Little, B. (2017, 08 18). How the</w:t>
      </w:r>
      <w:r>
        <w:t xml:space="preserve"> </w:t>
      </w:r>
      <w:r>
        <w:t xml:space="preserve">‘</w:t>
      </w:r>
      <w:r>
        <w:t xml:space="preserve">Party of Lincoln</w:t>
      </w:r>
      <w:r>
        <w:t xml:space="preserve">’</w:t>
      </w:r>
      <w:r>
        <w:t xml:space="preserve"> </w:t>
      </w:r>
      <w:r>
        <w:t xml:space="preserve">Won Over the Once Democratic South. Retrieved 06 02, 2020, from History:</w:t>
      </w:r>
    </w:p>
    <w:p>
      <w:pPr>
        <w:pStyle w:val="Compact"/>
        <w:numPr>
          <w:numId w:val="1016"/>
          <w:ilvl w:val="1"/>
        </w:numPr>
      </w:pPr>
      <w:hyperlink r:id="rId133">
        <w:r>
          <w:rPr>
            <w:rStyle w:val="Hyperlink"/>
          </w:rPr>
          <w:t xml:space="preserve">https://www.history.com/news/how-the-party-of-lincoln-won-over-the-once-democratic-south</w:t>
        </w:r>
      </w:hyperlink>
    </w:p>
    <w:p>
      <w:pPr>
        <w:pStyle w:val="Compact"/>
        <w:numPr>
          <w:numId w:val="1009"/>
          <w:ilvl w:val="0"/>
        </w:numPr>
      </w:pPr>
      <w:r>
        <w:t xml:space="preserve">Merica, D., Alesci, C., &amp; Tapper, J. (2019, 11 24). Michael Bloomberg is the latest 2020 Democratic hopeful. Retrieved 04 25, 2020, from CNN:</w:t>
      </w:r>
    </w:p>
    <w:p>
      <w:pPr>
        <w:pStyle w:val="Compact"/>
        <w:numPr>
          <w:numId w:val="1017"/>
          <w:ilvl w:val="1"/>
        </w:numPr>
      </w:pPr>
      <w:hyperlink r:id="rId134">
        <w:r>
          <w:rPr>
            <w:rStyle w:val="Hyperlink"/>
          </w:rPr>
          <w:t xml:space="preserve">https://www.cnn.com/2019/11/24/politics/michael-bloomberg-2020-election/index.html</w:t>
        </w:r>
      </w:hyperlink>
    </w:p>
    <w:p>
      <w:pPr>
        <w:pStyle w:val="Compact"/>
        <w:numPr>
          <w:numId w:val="1009"/>
          <w:ilvl w:val="0"/>
        </w:numPr>
      </w:pPr>
      <w:r>
        <w:t xml:space="preserve">Office of Art &amp; Archives. (n.d.). Party Realignment And The New Deal. Retrieved 06 02, 2020, from History, Art &amp; Archives: United States House of Representatives:</w:t>
      </w:r>
    </w:p>
    <w:p>
      <w:pPr>
        <w:pStyle w:val="Compact"/>
        <w:numPr>
          <w:numId w:val="1018"/>
          <w:ilvl w:val="1"/>
        </w:numPr>
      </w:pPr>
      <w:hyperlink r:id="rId135">
        <w:r>
          <w:rPr>
            <w:rStyle w:val="Hyperlink"/>
          </w:rPr>
          <w:t xml:space="preserve">https://history.house.gov/Exhibitions-and-Publications/BAIC/Historical-Essays/Keeping-the-Faith/Party-Realignment–New-Deal/</w:t>
        </w:r>
      </w:hyperlink>
    </w:p>
    <w:p>
      <w:pPr>
        <w:pStyle w:val="Compact"/>
        <w:numPr>
          <w:numId w:val="1009"/>
          <w:ilvl w:val="0"/>
        </w:numPr>
      </w:pPr>
      <w:r>
        <w:t xml:space="preserve">Republican National Committee. (n.d.). Founding of the Republican Party. Retrieved 06 02, 2020, from GOP:</w:t>
      </w:r>
    </w:p>
    <w:p>
      <w:pPr>
        <w:pStyle w:val="Compact"/>
        <w:numPr>
          <w:numId w:val="1019"/>
          <w:ilvl w:val="1"/>
        </w:numPr>
      </w:pPr>
      <w:hyperlink r:id="rId136">
        <w:r>
          <w:rPr>
            <w:rStyle w:val="Hyperlink"/>
          </w:rPr>
          <w:t xml:space="preserve">https://www.gop.com/history/</w:t>
        </w:r>
      </w:hyperlink>
    </w:p>
    <w:p>
      <w:pPr>
        <w:pStyle w:val="Compact"/>
        <w:numPr>
          <w:numId w:val="1009"/>
          <w:ilvl w:val="0"/>
        </w:numPr>
      </w:pPr>
      <w:r>
        <w:t xml:space="preserve">The Editors of Encyclopaedia Britannica. (2019, 07 17). Presidents of the United States. Retrieved 06 02, 2020, from Encyclopædia Britannica:</w:t>
      </w:r>
    </w:p>
    <w:p>
      <w:pPr>
        <w:pStyle w:val="Compact"/>
        <w:numPr>
          <w:numId w:val="1020"/>
          <w:ilvl w:val="1"/>
        </w:numPr>
      </w:pPr>
      <w:hyperlink r:id="rId137">
        <w:r>
          <w:rPr>
            <w:rStyle w:val="Hyperlink"/>
          </w:rPr>
          <w:t xml:space="preserve">https://www.britannica.com/topic/Presidents-of-the-United-States-1846696</w:t>
        </w:r>
      </w:hyperlink>
    </w:p>
    <w:p>
      <w:pPr>
        <w:pStyle w:val="Compact"/>
        <w:numPr>
          <w:numId w:val="1009"/>
          <w:ilvl w:val="0"/>
        </w:numPr>
      </w:pPr>
      <w:r>
        <w:t xml:space="preserve">United States Senate. (n.d.). Living Former Senators (Alphabetical. Retrieved 04 25, 2020, from United States Senate:</w:t>
      </w:r>
    </w:p>
    <w:p>
      <w:pPr>
        <w:pStyle w:val="Compact"/>
        <w:numPr>
          <w:numId w:val="1021"/>
          <w:ilvl w:val="1"/>
        </w:numPr>
      </w:pPr>
      <w:hyperlink r:id="rId138">
        <w:r>
          <w:rPr>
            <w:rStyle w:val="Hyperlink"/>
          </w:rPr>
          <w:t xml:space="preserve">https://www.senate.gov/senators/Biographical/former_senators_alphabetical.htm</w:t>
        </w:r>
      </w:hyperlink>
    </w:p>
    <w:p>
      <w:pPr>
        <w:pStyle w:val="Compact"/>
        <w:numPr>
          <w:numId w:val="1009"/>
          <w:ilvl w:val="0"/>
        </w:numPr>
      </w:pPr>
      <w:r>
        <w:t xml:space="preserve">United States Senate. (n.d.). Senators of the 116th Congress. Retrieved 04 25, 2020, from United States Senate:</w:t>
      </w:r>
    </w:p>
    <w:p>
      <w:pPr>
        <w:pStyle w:val="Compact"/>
        <w:numPr>
          <w:numId w:val="1022"/>
          <w:ilvl w:val="1"/>
        </w:numPr>
      </w:pPr>
      <w:hyperlink r:id="rId139">
        <w:r>
          <w:rPr>
            <w:rStyle w:val="Hyperlink"/>
          </w:rPr>
          <w:t xml:space="preserve">https://www.senate.gov/general/contact_information/senators_cfm.cfm?Class=1</w:t>
        </w:r>
      </w:hyperlink>
    </w:p>
    <w:p>
      <w:pPr>
        <w:pStyle w:val="Compact"/>
        <w:numPr>
          <w:numId w:val="1009"/>
          <w:ilvl w:val="0"/>
        </w:numPr>
      </w:pPr>
      <w:r>
        <w:t xml:space="preserve">Wikipedia. (n.d.). List of current United States governors by age. Retrieved 04 25, 2020, from Wikipedia:</w:t>
      </w:r>
    </w:p>
    <w:p>
      <w:pPr>
        <w:pStyle w:val="Compact"/>
        <w:numPr>
          <w:numId w:val="1023"/>
          <w:ilvl w:val="1"/>
        </w:numPr>
      </w:pPr>
      <w:hyperlink r:id="rId140">
        <w:r>
          <w:rPr>
            <w:rStyle w:val="Hyperlink"/>
          </w:rPr>
          <w:t xml:space="preserve">https://en.wikipedia.org/wiki/List_of_current_United_States_governors_by_age</w:t>
        </w:r>
      </w:hyperlink>
    </w:p>
    <w:p>
      <w:pPr>
        <w:pStyle w:val="Compact"/>
        <w:numPr>
          <w:numId w:val="1009"/>
          <w:ilvl w:val="0"/>
        </w:numPr>
      </w:pPr>
      <w:r>
        <w:t xml:space="preserve">Wikipedia. (n.d.). List of former members of the United States House of Representatives. Retrieved 04 25, 2020, from Wikipedia:</w:t>
      </w:r>
    </w:p>
    <w:p>
      <w:pPr>
        <w:pStyle w:val="Compact"/>
        <w:numPr>
          <w:numId w:val="1024"/>
          <w:ilvl w:val="1"/>
        </w:numPr>
      </w:pPr>
      <w:hyperlink r:id="rId141">
        <w:r>
          <w:rPr>
            <w:rStyle w:val="Hyperlink"/>
          </w:rPr>
          <w:t xml:space="preserve">https://en.wikipedia.org/wiki/List_of_former_members_of_the_United_States_House_of_Representatives</w:t>
        </w:r>
      </w:hyperlink>
    </w:p>
    <w:p>
      <w:pPr>
        <w:pStyle w:val="Compact"/>
        <w:numPr>
          <w:numId w:val="1009"/>
          <w:ilvl w:val="0"/>
        </w:numPr>
      </w:pPr>
      <w:r>
        <w:t xml:space="preserve">Wikipedia. (n.d.). List of living former United States governors. Retrieved 04 25, 2020, from Wikipedia:</w:t>
      </w:r>
    </w:p>
    <w:p>
      <w:pPr>
        <w:pStyle w:val="Compact"/>
        <w:numPr>
          <w:numId w:val="1025"/>
          <w:ilvl w:val="1"/>
        </w:numPr>
      </w:pPr>
      <w:hyperlink r:id="rId142">
        <w:r>
          <w:rPr>
            <w:rStyle w:val="Hyperlink"/>
          </w:rPr>
          <w:t xml:space="preserve">https://en.wikipedia.org/wiki/List_of_living_former_United_States_governors</w:t>
        </w:r>
      </w:hyperlink>
    </w:p>
    <w:p>
      <w:pPr>
        <w:pStyle w:val="Compact"/>
        <w:numPr>
          <w:numId w:val="1009"/>
          <w:ilvl w:val="0"/>
        </w:numPr>
      </w:pPr>
      <w:r>
        <w:t xml:space="preserve">WSAZ News Staff. (2018, 11 11). Former W.Va. Sen. Richard Ojeda pulls out of U.S. presidential race. Retrieved 04 25, 2020, from WSAZ3 News Channel:</w:t>
      </w:r>
    </w:p>
    <w:p>
      <w:pPr>
        <w:pStyle w:val="Compact"/>
        <w:numPr>
          <w:numId w:val="1026"/>
          <w:ilvl w:val="1"/>
        </w:numPr>
      </w:pPr>
      <w:hyperlink r:id="rId143">
        <w:r>
          <w:rPr>
            <w:rStyle w:val="Hyperlink"/>
          </w:rPr>
          <w:t xml:space="preserve">https://www.wsaz.com/content/news/State-Senator-Richard-Ojeda-to-run-for-President-in-2020-500248782.html</w:t>
        </w:r>
      </w:hyperlink>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64a2e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8b36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21">
    <w:nsid w:val="9be89547"/>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33">
    <w:nsid w:val="4ea38850"/>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07">
    <w:abstractNumId w:val="991"/>
  </w:num>
  <w:num w:numId="1008">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26" Target="media/rId26.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 Type="http://schemas.openxmlformats.org/officeDocument/2006/relationships/hyperlink" Id="rId127" Target="https://ballotpedia.org/List_of_current_members_of_the_U.S._Congress" TargetMode="External" /><Relationship Type="http://schemas.openxmlformats.org/officeDocument/2006/relationships/hyperlink" Id="rId128" Target="https://ballotpedia.org/Roque_De_La_Fuente_presidential_campaign,_2020" TargetMode="External" /><Relationship Type="http://schemas.openxmlformats.org/officeDocument/2006/relationships/hyperlink" Id="rId129" Target="https://ballotpedia.org/Timeline_of_announcements_in_the_presidential_election,_2016" TargetMode="External" /><Relationship Type="http://schemas.openxmlformats.org/officeDocument/2006/relationships/hyperlink" Id="rId130" Target="https://ballotpedia.org/Timeline_of_announcements_in_the_presidential_election,_2020" TargetMode="External" /><Relationship Type="http://schemas.openxmlformats.org/officeDocument/2006/relationships/hyperlink" Id="rId140" Target="https://en.wikipedia.org/wiki/List_of_current_United_States_governors_by_age" TargetMode="External" /><Relationship Type="http://schemas.openxmlformats.org/officeDocument/2006/relationships/hyperlink" Id="rId141" Target="https://en.wikipedia.org/wiki/List_of_former_members_of_the_United_States_House_of_Representatives" TargetMode="External" /><Relationship Type="http://schemas.openxmlformats.org/officeDocument/2006/relationships/hyperlink" Id="rId142" Target="https://en.wikipedia.org/wiki/List_of_living_former_United_States_governors" TargetMode="External" /><Relationship Type="http://schemas.openxmlformats.org/officeDocument/2006/relationships/hyperlink" Id="rId135" Target="https://history.house.gov/Exhibitions-and-Publications/BAIC/Historical-Essays/Keeping-the-Faith/Party-Realignment--New-Deal/" TargetMode="External" /><Relationship Type="http://schemas.openxmlformats.org/officeDocument/2006/relationships/hyperlink" Id="rId131" Target="https://thehill.com/homenews/campaign/433890-democratic-florida-mayor-launching-2020-presidential-exploratory-committee" TargetMode="External" /><Relationship Type="http://schemas.openxmlformats.org/officeDocument/2006/relationships/hyperlink" Id="rId137" Target="https://www.britannica.com/topic/Presidents-of-the-United-States-1846696" TargetMode="External" /><Relationship Type="http://schemas.openxmlformats.org/officeDocument/2006/relationships/hyperlink" Id="rId134" Target="https://www.cnn.com/2019/11/24/politics/michael-bloomberg-2020-election/index.html" TargetMode="External" /><Relationship Type="http://schemas.openxmlformats.org/officeDocument/2006/relationships/hyperlink" Id="rId136" Target="https://www.gop.com/history/" TargetMode="External" /><Relationship Type="http://schemas.openxmlformats.org/officeDocument/2006/relationships/hyperlink" Id="rId133" Target="https://www.history.com/news/how-the-party-of-lincoln-won-over-the-once-democratic-south" TargetMode="External" /><Relationship Type="http://schemas.openxmlformats.org/officeDocument/2006/relationships/hyperlink" Id="rId139" Target="https://www.senate.gov/general/contact_information/senators_cfm.cfm?Class=1" TargetMode="External" /><Relationship Type="http://schemas.openxmlformats.org/officeDocument/2006/relationships/hyperlink" Id="rId138" Target="https://www.senate.gov/senators/Biographical/former_senators_alphabetical.htm" TargetMode="External" /><Relationship Type="http://schemas.openxmlformats.org/officeDocument/2006/relationships/hyperlink" Id="rId132" Target="https://www.usatoday.com/story/news/politics/elections/2016/2015/05/27/rick-santorum-2016-presidential-race/28011791/" TargetMode="External" /><Relationship Type="http://schemas.openxmlformats.org/officeDocument/2006/relationships/hyperlink" Id="rId143" Target="https://www.wsaz.com/content/news/State-Senator-Richard-Ojeda-to-run-for-President-in-2020-500248782.html"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 Type="http://schemas.openxmlformats.org/officeDocument/2006/relationships/hyperlink" Id="rId127" Target="https://ballotpedia.org/List_of_current_members_of_the_U.S._Congress" TargetMode="External" /><Relationship Type="http://schemas.openxmlformats.org/officeDocument/2006/relationships/hyperlink" Id="rId128" Target="https://ballotpedia.org/Roque_De_La_Fuente_presidential_campaign,_2020" TargetMode="External" /><Relationship Type="http://schemas.openxmlformats.org/officeDocument/2006/relationships/hyperlink" Id="rId129" Target="https://ballotpedia.org/Timeline_of_announcements_in_the_presidential_election,_2016" TargetMode="External" /><Relationship Type="http://schemas.openxmlformats.org/officeDocument/2006/relationships/hyperlink" Id="rId130" Target="https://ballotpedia.org/Timeline_of_announcements_in_the_presidential_election,_2020" TargetMode="External" /><Relationship Type="http://schemas.openxmlformats.org/officeDocument/2006/relationships/hyperlink" Id="rId140" Target="https://en.wikipedia.org/wiki/List_of_current_United_States_governors_by_age" TargetMode="External" /><Relationship Type="http://schemas.openxmlformats.org/officeDocument/2006/relationships/hyperlink" Id="rId141" Target="https://en.wikipedia.org/wiki/List_of_former_members_of_the_United_States_House_of_Representatives" TargetMode="External" /><Relationship Type="http://schemas.openxmlformats.org/officeDocument/2006/relationships/hyperlink" Id="rId142" Target="https://en.wikipedia.org/wiki/List_of_living_former_United_States_governors" TargetMode="External" /><Relationship Type="http://schemas.openxmlformats.org/officeDocument/2006/relationships/hyperlink" Id="rId135" Target="https://history.house.gov/Exhibitions-and-Publications/BAIC/Historical-Essays/Keeping-the-Faith/Party-Realignment--New-Deal/" TargetMode="External" /><Relationship Type="http://schemas.openxmlformats.org/officeDocument/2006/relationships/hyperlink" Id="rId131" Target="https://thehill.com/homenews/campaign/433890-democratic-florida-mayor-launching-2020-presidential-exploratory-committee" TargetMode="External" /><Relationship Type="http://schemas.openxmlformats.org/officeDocument/2006/relationships/hyperlink" Id="rId137" Target="https://www.britannica.com/topic/Presidents-of-the-United-States-1846696" TargetMode="External" /><Relationship Type="http://schemas.openxmlformats.org/officeDocument/2006/relationships/hyperlink" Id="rId134" Target="https://www.cnn.com/2019/11/24/politics/michael-bloomberg-2020-election/index.html" TargetMode="External" /><Relationship Type="http://schemas.openxmlformats.org/officeDocument/2006/relationships/hyperlink" Id="rId136" Target="https://www.gop.com/history/" TargetMode="External" /><Relationship Type="http://schemas.openxmlformats.org/officeDocument/2006/relationships/hyperlink" Id="rId133" Target="https://www.history.com/news/how-the-party-of-lincoln-won-over-the-once-democratic-south" TargetMode="External" /><Relationship Type="http://schemas.openxmlformats.org/officeDocument/2006/relationships/hyperlink" Id="rId139" Target="https://www.senate.gov/general/contact_information/senators_cfm.cfm?Class=1" TargetMode="External" /><Relationship Type="http://schemas.openxmlformats.org/officeDocument/2006/relationships/hyperlink" Id="rId138" Target="https://www.senate.gov/senators/Biographical/former_senators_alphabetical.htm" TargetMode="External" /><Relationship Type="http://schemas.openxmlformats.org/officeDocument/2006/relationships/hyperlink" Id="rId132" Target="https://www.usatoday.com/story/news/politics/elections/2016/2015/05/27/rick-santorum-2016-presidential-race/28011791/" TargetMode="External" /><Relationship Type="http://schemas.openxmlformats.org/officeDocument/2006/relationships/hyperlink" Id="rId143" Target="https://www.wsaz.com/content/news/State-Senator-Richard-Ojeda-to-run-for-President-in-2020-50024878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2020-06-04T06:01:09Z</dcterms:created>
  <dcterms:modified xsi:type="dcterms:W3CDTF">2020-06-04T06:01:09Z</dcterms:modified>
</cp:coreProperties>
</file>