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executive presentation for a bank or credit union president must bridge high-level board strategy with daily operational metrics. Because CEOs and presidents focus on return on equity (ROE), capital adequacy, growth, and regulatory compliance, the deck should frame the Balanced Scorecard (BSC) not merely as a reporting tool, but as a strategic execution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Strategy &amp; Structure of the Balanced Scorecard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presentation should demonstrate how the scorecard translates board-level goals into four interconnected perspectives. Show how each layer directly drives the next: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rtl w:val="0"/>
        </w:rPr>
        <w:t xml:space="preserve">[ Financial Perspective ] </w:t>
        <w:br w:type="textWrapping"/>
        <w:t xml:space="preserve">       ▲  Driven by...</w:t>
        <w:br w:type="textWrapping"/>
        <w:t xml:space="preserve">[ Customer Perspective ] </w:t>
        <w:br w:type="textWrapping"/>
        <w:t xml:space="preserve">       ▲  Driven by...</w:t>
        <w:br w:type="textWrapping"/>
        <w:t xml:space="preserve">[ Internal Business Processes ] </w:t>
        <w:br w:type="textWrapping"/>
        <w:t xml:space="preserve">       ▲  Driven by...</w:t>
        <w:br w:type="textWrapping"/>
        <w:t xml:space="preserve">[ Learning &amp; Growth ]</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Financial Perspective (Lagging Indicators):</w:t>
      </w:r>
      <w:r w:rsidDel="00000000" w:rsidR="00000000" w:rsidRPr="00000000">
        <w:rPr>
          <w:rFonts w:ascii="Arial" w:cs="Arial" w:eastAsia="Arial" w:hAnsi="Arial"/>
          <w:color w:val="1f1f1f"/>
          <w:rtl w:val="0"/>
        </w:rPr>
        <w:t xml:space="preserve"> Focuses on profitability, shareholder value, and capital preservation.</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Key Metrics:</w:t>
      </w:r>
      <w:r w:rsidDel="00000000" w:rsidR="00000000" w:rsidRPr="00000000">
        <w:rPr>
          <w:rFonts w:ascii="Arial" w:cs="Arial" w:eastAsia="Arial" w:hAnsi="Arial"/>
          <w:color w:val="1f1f1f"/>
          <w:rtl w:val="0"/>
        </w:rPr>
        <w:t xml:space="preserve"> Return on Assets (ROA), Return on Equity (ROE), Net Interest Margin (NIM), Efficiency Ratio, Non-Performing Loan (NPL) ratio.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Customer / Member Perspective (Leading Indicators):</w:t>
      </w:r>
      <w:r w:rsidDel="00000000" w:rsidR="00000000" w:rsidRPr="00000000">
        <w:rPr>
          <w:rFonts w:ascii="Arial" w:cs="Arial" w:eastAsia="Arial" w:hAnsi="Arial"/>
          <w:color w:val="1f1f1f"/>
          <w:rtl w:val="0"/>
        </w:rPr>
        <w:t xml:space="preserve"> Measures value delivery, market share, and member retention.</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Key Metrics:</w:t>
      </w:r>
      <w:r w:rsidDel="00000000" w:rsidR="00000000" w:rsidRPr="00000000">
        <w:rPr>
          <w:rFonts w:ascii="Arial" w:cs="Arial" w:eastAsia="Arial" w:hAnsi="Arial"/>
          <w:color w:val="1f1f1f"/>
          <w:rtl w:val="0"/>
        </w:rPr>
        <w:t xml:space="preserve"> Net Promoter Score (NPS), share of wallet, cross-sell ratio (products per household), digital adoption rate.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Internal Business Processes (Operational Velocity):</w:t>
      </w:r>
      <w:r w:rsidDel="00000000" w:rsidR="00000000" w:rsidRPr="00000000">
        <w:rPr>
          <w:rFonts w:ascii="Arial" w:cs="Arial" w:eastAsia="Arial" w:hAnsi="Arial"/>
          <w:color w:val="1f1f1f"/>
          <w:rtl w:val="0"/>
        </w:rPr>
        <w:t xml:space="preserve"> Evaluates back-office efficiency, risk management, and service delivery.</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Key Metrics:</w:t>
      </w:r>
      <w:r w:rsidDel="00000000" w:rsidR="00000000" w:rsidRPr="00000000">
        <w:rPr>
          <w:rFonts w:ascii="Arial" w:cs="Arial" w:eastAsia="Arial" w:hAnsi="Arial"/>
          <w:color w:val="1f1f1f"/>
          <w:rtl w:val="0"/>
        </w:rPr>
        <w:t xml:space="preserve"> Loan turnaround time, cost to originate, deposit processing speed, audit/compliance resolution time.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Learning &amp; Growth (Organizational Readiness):</w:t>
      </w:r>
      <w:r w:rsidDel="00000000" w:rsidR="00000000" w:rsidRPr="00000000">
        <w:rPr>
          <w:rFonts w:ascii="Arial" w:cs="Arial" w:eastAsia="Arial" w:hAnsi="Arial"/>
          <w:color w:val="1f1f1f"/>
          <w:rtl w:val="0"/>
        </w:rPr>
        <w:t xml:space="preserve"> Focuses on human capital, technology capability, and culture.</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Key Metrics:</w:t>
      </w:r>
      <w:r w:rsidDel="00000000" w:rsidR="00000000" w:rsidRPr="00000000">
        <w:rPr>
          <w:rFonts w:ascii="Arial" w:cs="Arial" w:eastAsia="Arial" w:hAnsi="Arial"/>
          <w:color w:val="1f1f1f"/>
          <w:rtl w:val="0"/>
        </w:rPr>
        <w:t xml:space="preserve"> High-performer retention, IT infrastructure uptime, employee competency in digital tools, regulatory training completion.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Core Executive Benefits to Highlight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Presenting these benefits directly addresses the typical priorities of financial institution leadership:</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Breaks Down Functional Silos:</w:t>
      </w:r>
      <w:r w:rsidDel="00000000" w:rsidR="00000000" w:rsidRPr="00000000">
        <w:rPr>
          <w:rFonts w:ascii="Arial" w:cs="Arial" w:eastAsia="Arial" w:hAnsi="Arial"/>
          <w:color w:val="1f1f1f"/>
          <w:rtl w:val="0"/>
        </w:rPr>
        <w:t xml:space="preserve"> Connects front-line lending and branch ops with back-office compliance and finance into a single unified dashboard.</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Aligns Daily Operations with Board Strategy:</w:t>
      </w:r>
      <w:r w:rsidDel="00000000" w:rsidR="00000000" w:rsidRPr="00000000">
        <w:rPr>
          <w:rFonts w:ascii="Arial" w:cs="Arial" w:eastAsia="Arial" w:hAnsi="Arial"/>
          <w:color w:val="1f1f1f"/>
          <w:rtl w:val="0"/>
        </w:rPr>
        <w:t xml:space="preserve"> Translates abstract strategic plan goals into actionable, trackable KPIs for department heads.</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Provides a Balanced View of Performance:</w:t>
      </w:r>
      <w:r w:rsidDel="00000000" w:rsidR="00000000" w:rsidRPr="00000000">
        <w:rPr>
          <w:rFonts w:ascii="Arial" w:cs="Arial" w:eastAsia="Arial" w:hAnsi="Arial"/>
          <w:color w:val="1f1f1f"/>
          <w:rtl w:val="0"/>
        </w:rPr>
        <w:t xml:space="preserve"> Prevents short-term financial squeezing (e.g., slashing staff to boost current-quarter NIM) from damaging long-term customer satisfaction or operational capacity.</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Contextual Benchmarking:</w:t>
      </w:r>
      <w:r w:rsidDel="00000000" w:rsidR="00000000" w:rsidRPr="00000000">
        <w:rPr>
          <w:rFonts w:ascii="Arial" w:cs="Arial" w:eastAsia="Arial" w:hAnsi="Arial"/>
          <w:color w:val="1f1f1f"/>
          <w:rtl w:val="0"/>
        </w:rPr>
        <w:t xml:space="preserve"> Contextualizes performance against both internal target objectives and regional peer institution benchmarks.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Recommended Executive Presentation Outline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Keep the presentation tight—executive decks should focus on story and strategic implications rather than raw data dumps.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Slide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Slide 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Strategic Objective /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Slide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Summary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Brief overview of current institution performance vs. peers and purpose of the BSC framework.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Slide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Why the Balanced Scorecard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Explain how the four perspectives align operations with board goals and long-term value creation.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Slide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Scorecard Overview: 4 Perspectives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Display the integrated framework showing cause-and-effect links from Learning to Financials.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Slide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Peer Benchmark &amp; Target Gap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High-level heat map comparing current metrics against target goals and peer averages.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Slide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Dive: Financial &amp; Customer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Focus on ROE/NIM trends, efficiency ratios, cross-sell rates, and member retention metrics.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Slide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Dive: Process &amp; Capability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Highlight loan origination speeds, digital engagement, and staff capacity/retention.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Slide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Actionable Recommendations &amp; Priorities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Identify 3–4 high-leverage strategic initiatives needed to close critical performance gaps.</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Next Steps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refine this presentation template further, would you like to:</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Draft specific peer-comparison heat map layouts tailored to asset size (e.g., under $1B vs. $1B–$10B)?</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Develop a script for presenting the cause-and-effect link between internal process improvements and financial returns?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Add a sample ROI scenario showing how closing an efficiency gap directly improves net income?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