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425CD" w14:textId="77777777" w:rsidR="00B60C68" w:rsidRPr="00B60C68" w:rsidRDefault="00B60C68" w:rsidP="00B60C68">
      <w:pPr>
        <w:rPr>
          <w:b/>
          <w:bCs/>
        </w:rPr>
      </w:pPr>
      <w:r w:rsidRPr="00B60C68">
        <w:rPr>
          <w:b/>
          <w:bCs/>
        </w:rPr>
        <w:t xml:space="preserve">Desarrollo de Secciones para Publicación Formal del Modelo de Fragilidad Sistémica </w:t>
      </w:r>
      <w:proofErr w:type="spellStart"/>
      <w:r w:rsidRPr="00B60C68">
        <w:rPr>
          <w:b/>
          <w:bCs/>
        </w:rPr>
        <w:t>Multiescala</w:t>
      </w:r>
      <w:proofErr w:type="spellEnd"/>
    </w:p>
    <w:p w14:paraId="0A0AF96D" w14:textId="77777777" w:rsidR="00B60C68" w:rsidRPr="00B60C68" w:rsidRDefault="00B60C68" w:rsidP="00B60C68">
      <w:pPr>
        <w:rPr>
          <w:b/>
          <w:bCs/>
        </w:rPr>
      </w:pPr>
      <w:r w:rsidRPr="00B60C68">
        <w:rPr>
          <w:b/>
          <w:bCs/>
        </w:rPr>
        <w:t>Detalles de los Datos Fuente (Indicadores Subyacentes)</w:t>
      </w:r>
    </w:p>
    <w:p w14:paraId="620F76CE" w14:textId="77777777" w:rsidR="00B60C68" w:rsidRPr="00B60C68" w:rsidRDefault="00B60C68" w:rsidP="00B60C68">
      <w:r w:rsidRPr="00B60C68">
        <w:t xml:space="preserve">El modelo define la </w:t>
      </w:r>
      <w:r w:rsidRPr="00B60C68">
        <w:rPr>
          <w:b/>
          <w:bCs/>
        </w:rPr>
        <w:t>fragilidad sistémica latente</w:t>
      </w:r>
      <w:r w:rsidRPr="00B60C68">
        <w:t xml:space="preserve"> ($</w:t>
      </w:r>
      <w:proofErr w:type="spellStart"/>
      <w:r w:rsidRPr="00B60C68">
        <w:t>F_t</w:t>
      </w:r>
      <w:proofErr w:type="spellEnd"/>
      <w:r w:rsidRPr="00B60C68">
        <w:t xml:space="preserve">$) como una variable no observable directamente, obtenida mediante </w:t>
      </w:r>
      <w:r w:rsidRPr="00B60C68">
        <w:rPr>
          <w:b/>
          <w:bCs/>
        </w:rPr>
        <w:t>análisis factorial</w:t>
      </w:r>
      <w:r w:rsidRPr="00B60C68">
        <w:t xml:space="preserve"> a partir de múltiples indicadores financieros clave. En términos concretos, la variable $</w:t>
      </w:r>
      <w:proofErr w:type="spellStart"/>
      <w:r w:rsidRPr="00B60C68">
        <w:t>F_t</w:t>
      </w:r>
      <w:proofErr w:type="spellEnd"/>
      <w:r w:rsidRPr="00B60C68">
        <w:t>$ se construye combinando las siguientes series de indicadores subyacentes:</w:t>
      </w:r>
    </w:p>
    <w:p w14:paraId="064D9D1F" w14:textId="77777777" w:rsidR="00B60C68" w:rsidRPr="00B60C68" w:rsidRDefault="00B60C68" w:rsidP="00B60C68">
      <w:pPr>
        <w:numPr>
          <w:ilvl w:val="0"/>
          <w:numId w:val="1"/>
        </w:numPr>
      </w:pPr>
      <w:proofErr w:type="spellStart"/>
      <w:r w:rsidRPr="00B60C68">
        <w:rPr>
          <w:b/>
          <w:bCs/>
        </w:rPr>
        <w:t>CF_t</w:t>
      </w:r>
      <w:proofErr w:type="spellEnd"/>
      <w:r w:rsidRPr="00B60C68">
        <w:rPr>
          <w:b/>
          <w:bCs/>
        </w:rPr>
        <w:t xml:space="preserve"> (Crisis Factor)</w:t>
      </w:r>
      <w:r w:rsidRPr="00B60C68">
        <w:t xml:space="preserve">: Un </w:t>
      </w:r>
      <w:r w:rsidRPr="00B60C68">
        <w:rPr>
          <w:i/>
          <w:iCs/>
        </w:rPr>
        <w:t>factor de crisis</w:t>
      </w:r>
      <w:r w:rsidRPr="00B60C68">
        <w:t xml:space="preserve"> que capta condiciones de estrés de mercado, representado por la </w:t>
      </w:r>
      <w:r w:rsidRPr="00B60C68">
        <w:rPr>
          <w:b/>
          <w:bCs/>
        </w:rPr>
        <w:t>correlación</w:t>
      </w:r>
      <w:r w:rsidRPr="00B60C68">
        <w:t xml:space="preserve"> entre activos multiplicada por la </w:t>
      </w:r>
      <w:r w:rsidRPr="00B60C68">
        <w:rPr>
          <w:b/>
          <w:bCs/>
        </w:rPr>
        <w:t>volatilidad</w:t>
      </w:r>
      <w:r w:rsidRPr="00B60C68">
        <w:t xml:space="preserve"> agregada. Este indicador busca resumir la </w:t>
      </w:r>
      <w:proofErr w:type="spellStart"/>
      <w:r w:rsidRPr="00B60C68">
        <w:t>co-movilidad</w:t>
      </w:r>
      <w:proofErr w:type="spellEnd"/>
      <w:r w:rsidRPr="00B60C68">
        <w:t xml:space="preserve"> extrema de los precios durante periodos de tensión (correlaciones elevadas) junto con la magnitud de las fluctuaciones (volatilidad).</w:t>
      </w:r>
    </w:p>
    <w:p w14:paraId="6A917165" w14:textId="77777777" w:rsidR="00B60C68" w:rsidRPr="00B60C68" w:rsidRDefault="00B60C68" w:rsidP="00B60C68">
      <w:pPr>
        <w:numPr>
          <w:ilvl w:val="0"/>
          <w:numId w:val="1"/>
        </w:numPr>
      </w:pPr>
      <w:proofErr w:type="spellStart"/>
      <w:r w:rsidRPr="00B60C68">
        <w:rPr>
          <w:b/>
          <w:bCs/>
        </w:rPr>
        <w:t>S_t</w:t>
      </w:r>
      <w:proofErr w:type="spellEnd"/>
      <w:r w:rsidRPr="00B60C68">
        <w:rPr>
          <w:b/>
          <w:bCs/>
        </w:rPr>
        <w:t xml:space="preserve"> (</w:t>
      </w:r>
      <w:proofErr w:type="spellStart"/>
      <w:r w:rsidRPr="00B60C68">
        <w:rPr>
          <w:b/>
          <w:bCs/>
        </w:rPr>
        <w:t>Synchronización</w:t>
      </w:r>
      <w:proofErr w:type="spellEnd"/>
      <w:r w:rsidRPr="00B60C68">
        <w:rPr>
          <w:b/>
          <w:bCs/>
        </w:rPr>
        <w:t xml:space="preserve"> </w:t>
      </w:r>
      <w:proofErr w:type="spellStart"/>
      <w:r w:rsidRPr="00B60C68">
        <w:rPr>
          <w:b/>
          <w:bCs/>
        </w:rPr>
        <w:t>Kuramoto</w:t>
      </w:r>
      <w:proofErr w:type="spellEnd"/>
      <w:r w:rsidRPr="00B60C68">
        <w:rPr>
          <w:b/>
          <w:bCs/>
        </w:rPr>
        <w:t>)</w:t>
      </w:r>
      <w:r w:rsidRPr="00B60C68">
        <w:t xml:space="preserve">: El </w:t>
      </w:r>
      <w:r w:rsidRPr="00B60C68">
        <w:rPr>
          <w:b/>
          <w:bCs/>
        </w:rPr>
        <w:t>orden de sincronización</w:t>
      </w:r>
      <w:r w:rsidRPr="00B60C68">
        <w:t xml:space="preserve"> del mercado basado en el modelo de </w:t>
      </w:r>
      <w:proofErr w:type="spellStart"/>
      <w:r w:rsidRPr="00B60C68">
        <w:rPr>
          <w:b/>
          <w:bCs/>
        </w:rPr>
        <w:t>Kuramoto</w:t>
      </w:r>
      <w:proofErr w:type="spellEnd"/>
      <w:r w:rsidRPr="00B60C68">
        <w:t>, que mide el grado en que diferentes componentes o agentes financieros oscilan al unísono. Un valor alto de $</w:t>
      </w:r>
      <w:proofErr w:type="spellStart"/>
      <w:r w:rsidRPr="00B60C68">
        <w:t>S_t</w:t>
      </w:r>
      <w:proofErr w:type="spellEnd"/>
      <w:r w:rsidRPr="00B60C68">
        <w:t xml:space="preserve">$ indica que distintos mercados o sectores están </w:t>
      </w:r>
      <w:r w:rsidRPr="00B60C68">
        <w:rPr>
          <w:i/>
          <w:iCs/>
        </w:rPr>
        <w:t>sincronizados</w:t>
      </w:r>
      <w:r w:rsidRPr="00B60C68">
        <w:t xml:space="preserve"> en sus dinámicas, un síntoma de posible vulnerabilidad sistémica cuando todos se mueven al mismo compás.</w:t>
      </w:r>
    </w:p>
    <w:p w14:paraId="68B8264D" w14:textId="77777777" w:rsidR="00B60C68" w:rsidRPr="00B60C68" w:rsidRDefault="00B60C68" w:rsidP="00B60C68">
      <w:pPr>
        <w:numPr>
          <w:ilvl w:val="0"/>
          <w:numId w:val="1"/>
        </w:numPr>
      </w:pPr>
      <w:proofErr w:type="spellStart"/>
      <w:r w:rsidRPr="00B60C68">
        <w:rPr>
          <w:b/>
          <w:bCs/>
        </w:rPr>
        <w:t>ACF_t</w:t>
      </w:r>
      <w:proofErr w:type="spellEnd"/>
      <w:r w:rsidRPr="00B60C68">
        <w:rPr>
          <w:b/>
          <w:bCs/>
        </w:rPr>
        <w:t xml:space="preserve"> (Autocorrelación)</w:t>
      </w:r>
      <w:r w:rsidRPr="00B60C68">
        <w:t xml:space="preserve">: La </w:t>
      </w:r>
      <w:r w:rsidRPr="00B60C68">
        <w:rPr>
          <w:b/>
          <w:bCs/>
        </w:rPr>
        <w:t>autocorrelación a corto plazo</w:t>
      </w:r>
      <w:r w:rsidRPr="00B60C68">
        <w:t xml:space="preserve"> de la serie de fragilidad (por </w:t>
      </w:r>
      <w:proofErr w:type="gramStart"/>
      <w:r w:rsidRPr="00B60C68">
        <w:t>ejemplo</w:t>
      </w:r>
      <w:proofErr w:type="gramEnd"/>
      <w:r w:rsidRPr="00B60C68">
        <w:t xml:space="preserve"> el coeficiente </w:t>
      </w:r>
      <w:proofErr w:type="gramStart"/>
      <w:r w:rsidRPr="00B60C68">
        <w:t>AR(</w:t>
      </w:r>
      <w:proofErr w:type="gramEnd"/>
      <w:r w:rsidRPr="00B60C68">
        <w:t xml:space="preserve">1)), que actúa como indicador de </w:t>
      </w:r>
      <w:r w:rsidRPr="00B60C68">
        <w:rPr>
          <w:b/>
          <w:bCs/>
        </w:rPr>
        <w:t>ralentización crítica</w:t>
      </w:r>
      <w:r w:rsidRPr="00B60C68">
        <w:t xml:space="preserve"> (</w:t>
      </w:r>
      <w:proofErr w:type="spellStart"/>
      <w:r w:rsidRPr="00B60C68">
        <w:rPr>
          <w:i/>
          <w:iCs/>
        </w:rPr>
        <w:t>critical</w:t>
      </w:r>
      <w:proofErr w:type="spellEnd"/>
      <w:r w:rsidRPr="00B60C68">
        <w:rPr>
          <w:i/>
          <w:iCs/>
        </w:rPr>
        <w:t xml:space="preserve"> </w:t>
      </w:r>
      <w:proofErr w:type="spellStart"/>
      <w:r w:rsidRPr="00B60C68">
        <w:rPr>
          <w:i/>
          <w:iCs/>
        </w:rPr>
        <w:t>slowing</w:t>
      </w:r>
      <w:proofErr w:type="spellEnd"/>
      <w:r w:rsidRPr="00B60C68">
        <w:rPr>
          <w:i/>
          <w:iCs/>
        </w:rPr>
        <w:t xml:space="preserve"> </w:t>
      </w:r>
      <w:proofErr w:type="spellStart"/>
      <w:r w:rsidRPr="00B60C68">
        <w:rPr>
          <w:i/>
          <w:iCs/>
        </w:rPr>
        <w:t>down</w:t>
      </w:r>
      <w:proofErr w:type="spellEnd"/>
      <w:r w:rsidRPr="00B60C68">
        <w:t>). Un aumento en la autocorrelación indica que el sistema tarda más en recuperarse de perturbaciones, señal característica de proximidad a un punto crítico de inestabilidad</w:t>
      </w:r>
      <w:hyperlink r:id="rId5" w:anchor=":~:text=Science%20www,e.g.%2C" w:tgtFrame="_blank" w:history="1">
        <w:r w:rsidRPr="00B60C68">
          <w:rPr>
            <w:rStyle w:val="Hipervnculo"/>
          </w:rPr>
          <w:t>science.org</w:t>
        </w:r>
      </w:hyperlink>
      <w:r w:rsidRPr="00B60C68">
        <w:t>.</w:t>
      </w:r>
    </w:p>
    <w:p w14:paraId="7BA2466A" w14:textId="77777777" w:rsidR="00B60C68" w:rsidRPr="00B60C68" w:rsidRDefault="00B60C68" w:rsidP="00B60C68">
      <w:pPr>
        <w:numPr>
          <w:ilvl w:val="0"/>
          <w:numId w:val="1"/>
        </w:numPr>
      </w:pPr>
      <w:proofErr w:type="spellStart"/>
      <w:r w:rsidRPr="00B60C68">
        <w:rPr>
          <w:b/>
          <w:bCs/>
        </w:rPr>
        <w:t>Var_t</w:t>
      </w:r>
      <w:proofErr w:type="spellEnd"/>
      <w:r w:rsidRPr="00B60C68">
        <w:rPr>
          <w:b/>
          <w:bCs/>
        </w:rPr>
        <w:t xml:space="preserve"> (Varianza móvil)</w:t>
      </w:r>
      <w:r w:rsidRPr="00B60C68">
        <w:t xml:space="preserve">: La </w:t>
      </w:r>
      <w:r w:rsidRPr="00B60C68">
        <w:rPr>
          <w:b/>
          <w:bCs/>
        </w:rPr>
        <w:t>varianza</w:t>
      </w:r>
      <w:r w:rsidRPr="00B60C68">
        <w:t xml:space="preserve"> o volatilidad de mediano plazo calculada sobre una ventana móvil, reflejando cambios en la amplitud de las fluctuaciones del sistema. Incrementos persistentes en la varianza pueden indicar acumulación de inestabilidad, complementando la señal de autocorrelación (la teoría de alertas tempranas sugiere que tanto varianza como autocorrelación tienden a elevarse antes de transiciones críticas</w:t>
      </w:r>
      <w:hyperlink r:id="rId6" w:anchor=":~:text=Science%20www,e.g.%2C" w:tgtFrame="_blank" w:history="1">
        <w:r w:rsidRPr="00B60C68">
          <w:rPr>
            <w:rStyle w:val="Hipervnculo"/>
          </w:rPr>
          <w:t>science.org</w:t>
        </w:r>
      </w:hyperlink>
      <w:r w:rsidRPr="00B60C68">
        <w:t>).</w:t>
      </w:r>
    </w:p>
    <w:p w14:paraId="1B7446AC" w14:textId="77777777" w:rsidR="00B60C68" w:rsidRPr="00B60C68" w:rsidRDefault="00B60C68" w:rsidP="00B60C68">
      <w:pPr>
        <w:numPr>
          <w:ilvl w:val="0"/>
          <w:numId w:val="1"/>
        </w:numPr>
      </w:pPr>
      <w:proofErr w:type="spellStart"/>
      <w:r w:rsidRPr="00B60C68">
        <w:rPr>
          <w:b/>
          <w:bCs/>
        </w:rPr>
        <w:t>Skew_t</w:t>
      </w:r>
      <w:proofErr w:type="spellEnd"/>
      <w:r w:rsidRPr="00B60C68">
        <w:rPr>
          <w:b/>
          <w:bCs/>
        </w:rPr>
        <w:t xml:space="preserve"> (Sesgo o asimetría)</w:t>
      </w:r>
      <w:r w:rsidRPr="00B60C68">
        <w:t xml:space="preserve">: La </w:t>
      </w:r>
      <w:r w:rsidRPr="00B60C68">
        <w:rPr>
          <w:b/>
          <w:bCs/>
        </w:rPr>
        <w:t>asimetría</w:t>
      </w:r>
      <w:r w:rsidRPr="00B60C68">
        <w:t xml:space="preserve"> en la distribución de retornos o de indicadores financieros (coeficiente </w:t>
      </w:r>
      <w:proofErr w:type="spellStart"/>
      <w:r w:rsidRPr="00B60C68">
        <w:rPr>
          <w:i/>
          <w:iCs/>
        </w:rPr>
        <w:t>skewness</w:t>
      </w:r>
      <w:proofErr w:type="spellEnd"/>
      <w:r w:rsidRPr="00B60C68">
        <w:t xml:space="preserve">), empleada como medida de </w:t>
      </w:r>
      <w:r w:rsidRPr="00B60C68">
        <w:rPr>
          <w:b/>
          <w:bCs/>
        </w:rPr>
        <w:t>riesgo de cola</w:t>
      </w:r>
      <w:r w:rsidRPr="00B60C68">
        <w:t>. Un sesgo pronunciado (negativo) puede reflejar probabilidad creciente de eventos extremos negativos, indicando fragilidad en la estructura financiera.</w:t>
      </w:r>
    </w:p>
    <w:p w14:paraId="56C7F931" w14:textId="77777777" w:rsidR="00B60C68" w:rsidRPr="00B60C68" w:rsidRDefault="00B60C68" w:rsidP="00B60C68">
      <w:pPr>
        <w:numPr>
          <w:ilvl w:val="0"/>
          <w:numId w:val="1"/>
        </w:numPr>
      </w:pPr>
      <w:proofErr w:type="spellStart"/>
      <w:r w:rsidRPr="00B60C68">
        <w:rPr>
          <w:b/>
          <w:bCs/>
        </w:rPr>
        <w:t>Curvature_t</w:t>
      </w:r>
      <w:proofErr w:type="spellEnd"/>
      <w:r w:rsidRPr="00B60C68">
        <w:rPr>
          <w:b/>
          <w:bCs/>
        </w:rPr>
        <w:t xml:space="preserve"> (Curvatura de la red)</w:t>
      </w:r>
      <w:r w:rsidRPr="00B60C68">
        <w:t xml:space="preserve">: Un proxy de </w:t>
      </w:r>
      <w:r w:rsidRPr="00B60C68">
        <w:rPr>
          <w:b/>
          <w:bCs/>
        </w:rPr>
        <w:t>resiliencia de la red</w:t>
      </w:r>
      <w:r w:rsidRPr="00B60C68">
        <w:t xml:space="preserve"> financiera, referido en el modelo como </w:t>
      </w:r>
      <w:r w:rsidRPr="00B60C68">
        <w:rPr>
          <w:i/>
          <w:iCs/>
        </w:rPr>
        <w:t>curvatura</w:t>
      </w:r>
      <w:r w:rsidRPr="00B60C68">
        <w:t xml:space="preserve">. Este indicador busca cuantificar la robustez estructural del sistema financiero, por </w:t>
      </w:r>
      <w:proofErr w:type="gramStart"/>
      <w:r w:rsidRPr="00B60C68">
        <w:t>ejemplo</w:t>
      </w:r>
      <w:proofErr w:type="gramEnd"/>
      <w:r w:rsidRPr="00B60C68">
        <w:t xml:space="preserve"> mediante medidas de </w:t>
      </w:r>
      <w:r w:rsidRPr="00B60C68">
        <w:rPr>
          <w:b/>
          <w:bCs/>
        </w:rPr>
        <w:t>conectividad</w:t>
      </w:r>
      <w:r w:rsidRPr="00B60C68">
        <w:t xml:space="preserve"> o concentración en redes de contraparte. Una </w:t>
      </w:r>
      <w:r w:rsidRPr="00B60C68">
        <w:rPr>
          <w:i/>
          <w:iCs/>
        </w:rPr>
        <w:t>curvatura</w:t>
      </w:r>
      <w:r w:rsidRPr="00B60C68">
        <w:t xml:space="preserve"> baja sugiere que la red está más expuesta a contagios, contribuyendo a la fragilidad latente.</w:t>
      </w:r>
    </w:p>
    <w:p w14:paraId="50AFBC4B" w14:textId="77777777" w:rsidR="00B60C68" w:rsidRPr="00B60C68" w:rsidRDefault="00B60C68" w:rsidP="00B60C68">
      <w:r w:rsidRPr="00B60C68">
        <w:t>Estos seis indicadores ($</w:t>
      </w:r>
      <w:proofErr w:type="spellStart"/>
      <w:r w:rsidRPr="00B60C68">
        <w:t>CF_t</w:t>
      </w:r>
      <w:proofErr w:type="spellEnd"/>
      <w:r w:rsidRPr="00B60C68">
        <w:t>$, $</w:t>
      </w:r>
      <w:proofErr w:type="spellStart"/>
      <w:r w:rsidRPr="00B60C68">
        <w:t>S_t</w:t>
      </w:r>
      <w:proofErr w:type="spellEnd"/>
      <w:r w:rsidRPr="00B60C68">
        <w:t>$, $</w:t>
      </w:r>
      <w:proofErr w:type="spellStart"/>
      <w:r w:rsidRPr="00B60C68">
        <w:t>ACF_t</w:t>
      </w:r>
      <w:proofErr w:type="spellEnd"/>
      <w:r w:rsidRPr="00B60C68">
        <w:t>$, $</w:t>
      </w:r>
      <w:proofErr w:type="spellStart"/>
      <w:r w:rsidRPr="00B60C68">
        <w:t>Var_t</w:t>
      </w:r>
      <w:proofErr w:type="spellEnd"/>
      <w:r w:rsidRPr="00B60C68">
        <w:t>$, $</w:t>
      </w:r>
      <w:proofErr w:type="spellStart"/>
      <w:r w:rsidRPr="00B60C68">
        <w:t>Skew_t</w:t>
      </w:r>
      <w:proofErr w:type="spellEnd"/>
      <w:r w:rsidRPr="00B60C68">
        <w:t>$, $</w:t>
      </w:r>
      <w:proofErr w:type="spellStart"/>
      <w:r w:rsidRPr="00B60C68">
        <w:t>Curvature_t</w:t>
      </w:r>
      <w:proofErr w:type="spellEnd"/>
      <w:r w:rsidRPr="00B60C68">
        <w:t xml:space="preserve">$) se combinan en un </w:t>
      </w:r>
      <w:r w:rsidRPr="00B60C68">
        <w:rPr>
          <w:b/>
          <w:bCs/>
        </w:rPr>
        <w:t>modelo factorial</w:t>
      </w:r>
      <w:r w:rsidRPr="00B60C68">
        <w:t xml:space="preserve"> para extraer la variable unificadora $</w:t>
      </w:r>
      <w:proofErr w:type="spellStart"/>
      <w:r w:rsidRPr="00B60C68">
        <w:t>F_t</w:t>
      </w:r>
      <w:proofErr w:type="spellEnd"/>
      <w:r w:rsidRPr="00B60C68">
        <w:t xml:space="preserve">$. El análisis </w:t>
      </w:r>
      <w:r w:rsidRPr="00B60C68">
        <w:lastRenderedPageBreak/>
        <w:t xml:space="preserve">factorial identifica la </w:t>
      </w:r>
      <w:r w:rsidRPr="00B60C68">
        <w:rPr>
          <w:b/>
          <w:bCs/>
        </w:rPr>
        <w:t>varianza común</w:t>
      </w:r>
      <w:r w:rsidRPr="00B60C68">
        <w:t xml:space="preserve"> entre ellos, aislando un factor latente que explica aproximadamente el </w:t>
      </w:r>
      <w:r w:rsidRPr="00B60C68">
        <w:rPr>
          <w:b/>
          <w:bCs/>
        </w:rPr>
        <w:t>41.6%</w:t>
      </w:r>
      <w:r w:rsidRPr="00B60C68">
        <w:t xml:space="preserve"> de la varianza conjunta de estas señales. Dicho factor $</w:t>
      </w:r>
      <w:proofErr w:type="spellStart"/>
      <w:r w:rsidRPr="00B60C68">
        <w:t>F_t</w:t>
      </w:r>
      <w:proofErr w:type="spellEnd"/>
      <w:r w:rsidRPr="00B60C68">
        <w:t xml:space="preserve">$ representa cuantitativamente la </w:t>
      </w:r>
      <w:r w:rsidRPr="00B60C68">
        <w:rPr>
          <w:b/>
          <w:bCs/>
        </w:rPr>
        <w:t>fragilidad sistémica latente</w:t>
      </w:r>
      <w:r w:rsidRPr="00B60C68">
        <w:t xml:space="preserve"> en cada instante, integrando múltiples facetas del riesgo sistémico en una sola medida compuesta.</w:t>
      </w:r>
    </w:p>
    <w:p w14:paraId="00D76DE1" w14:textId="77777777" w:rsidR="00B60C68" w:rsidRPr="00B60C68" w:rsidRDefault="00B60C68" w:rsidP="00B60C68">
      <w:pPr>
        <w:rPr>
          <w:b/>
          <w:bCs/>
        </w:rPr>
      </w:pPr>
      <w:r w:rsidRPr="00B60C68">
        <w:rPr>
          <w:b/>
          <w:bCs/>
        </w:rPr>
        <w:t>Revisión de Literatura Detallada (Modelos de Fragilidad Sistémica Preexistentes)</w:t>
      </w:r>
    </w:p>
    <w:p w14:paraId="639F020A" w14:textId="77777777" w:rsidR="00B60C68" w:rsidRPr="00B60C68" w:rsidRDefault="00B60C68" w:rsidP="00B60C68">
      <w:r w:rsidRPr="00B60C68">
        <w:t xml:space="preserve">Un artículo académico formal requiere situar este enfoque </w:t>
      </w:r>
      <w:proofErr w:type="spellStart"/>
      <w:r w:rsidRPr="00B60C68">
        <w:t>multiescala</w:t>
      </w:r>
      <w:proofErr w:type="spellEnd"/>
      <w:r w:rsidRPr="00B60C68">
        <w:t xml:space="preserve"> y relativista en el contexto de la literatura existente sobre fragilidad financiera y riesgo sistémico. Tradicionalmente, la medición de la </w:t>
      </w:r>
      <w:r w:rsidRPr="00B60C68">
        <w:rPr>
          <w:b/>
          <w:bCs/>
        </w:rPr>
        <w:t>fragilidad sistémica</w:t>
      </w:r>
      <w:r w:rsidRPr="00B60C68">
        <w:t xml:space="preserve"> se ha abordado desde varias perspectivas, cada una con metodologías y alcances distintos:</w:t>
      </w:r>
    </w:p>
    <w:p w14:paraId="661E2767" w14:textId="77777777" w:rsidR="00B60C68" w:rsidRPr="00B60C68" w:rsidRDefault="00B60C68" w:rsidP="00B60C68">
      <w:pPr>
        <w:numPr>
          <w:ilvl w:val="0"/>
          <w:numId w:val="2"/>
        </w:numPr>
      </w:pPr>
      <w:r w:rsidRPr="00B60C68">
        <w:rPr>
          <w:b/>
          <w:bCs/>
        </w:rPr>
        <w:t>Índices compuestos de estrés financiero</w:t>
      </w:r>
      <w:r w:rsidRPr="00B60C68">
        <w:t xml:space="preserve">: Organismos como bancos centrales han desarrollado indicadores agregados para monitorear el </w:t>
      </w:r>
      <w:r w:rsidRPr="00B60C68">
        <w:rPr>
          <w:b/>
          <w:bCs/>
        </w:rPr>
        <w:t>estrés sistémico</w:t>
      </w:r>
      <w:r w:rsidRPr="00B60C68">
        <w:t xml:space="preserve"> en tiempo real. Por ejemplo, el </w:t>
      </w:r>
      <w:r w:rsidRPr="00B60C68">
        <w:rPr>
          <w:b/>
          <w:bCs/>
        </w:rPr>
        <w:t xml:space="preserve">Composite </w:t>
      </w:r>
      <w:proofErr w:type="spellStart"/>
      <w:r w:rsidRPr="00B60C68">
        <w:rPr>
          <w:b/>
          <w:bCs/>
        </w:rPr>
        <w:t>Indicator</w:t>
      </w:r>
      <w:proofErr w:type="spellEnd"/>
      <w:r w:rsidRPr="00B60C68">
        <w:rPr>
          <w:b/>
          <w:bCs/>
        </w:rPr>
        <w:t xml:space="preserve"> </w:t>
      </w:r>
      <w:proofErr w:type="spellStart"/>
      <w:r w:rsidRPr="00B60C68">
        <w:rPr>
          <w:b/>
          <w:bCs/>
        </w:rPr>
        <w:t>of</w:t>
      </w:r>
      <w:proofErr w:type="spellEnd"/>
      <w:r w:rsidRPr="00B60C68">
        <w:rPr>
          <w:b/>
          <w:bCs/>
        </w:rPr>
        <w:t xml:space="preserve"> </w:t>
      </w:r>
      <w:proofErr w:type="spellStart"/>
      <w:r w:rsidRPr="00B60C68">
        <w:rPr>
          <w:b/>
          <w:bCs/>
        </w:rPr>
        <w:t>Systemic</w:t>
      </w:r>
      <w:proofErr w:type="spellEnd"/>
      <w:r w:rsidRPr="00B60C68">
        <w:rPr>
          <w:b/>
          <w:bCs/>
        </w:rPr>
        <w:t xml:space="preserve"> Stress (CISS)</w:t>
      </w:r>
      <w:r w:rsidRPr="00B60C68">
        <w:t xml:space="preserve"> del BCE combina volatilidades, correlaciones y </w:t>
      </w:r>
      <w:r w:rsidRPr="00B60C68">
        <w:rPr>
          <w:i/>
          <w:iCs/>
        </w:rPr>
        <w:t>spreads</w:t>
      </w:r>
      <w:r w:rsidRPr="00B60C68">
        <w:t xml:space="preserve"> en distintos mercados para producir un índice diario de estrés financiero</w:t>
      </w:r>
      <w:hyperlink r:id="rId7" w:anchor=":~:text=,Its%20specific" w:tgtFrame="_blank" w:history="1">
        <w:r w:rsidRPr="00B60C68">
          <w:rPr>
            <w:rStyle w:val="Hipervnculo"/>
          </w:rPr>
          <w:t>ecb.europa.eu</w:t>
        </w:r>
      </w:hyperlink>
      <w:r w:rsidRPr="00B60C68">
        <w:t xml:space="preserve">. Estos índices suelen medir el nivel contemporáneo de tensión en el sistema financiero, pero típicamente se enfocan en estrés </w:t>
      </w:r>
      <w:r w:rsidRPr="00B60C68">
        <w:rPr>
          <w:i/>
          <w:iCs/>
        </w:rPr>
        <w:t>actual</w:t>
      </w:r>
      <w:r w:rsidRPr="00B60C68">
        <w:t xml:space="preserve"> (con efectos contemporáneos) más que en fragilidad </w:t>
      </w:r>
      <w:r w:rsidRPr="00B60C68">
        <w:rPr>
          <w:i/>
          <w:iCs/>
        </w:rPr>
        <w:t>latente</w:t>
      </w:r>
      <w:r w:rsidRPr="00B60C68">
        <w:t xml:space="preserve"> a futuro. En contraste, nuestro modelo busca </w:t>
      </w:r>
      <w:r w:rsidRPr="00B60C68">
        <w:rPr>
          <w:b/>
          <w:bCs/>
        </w:rPr>
        <w:t>señales tempranas</w:t>
      </w:r>
      <w:r w:rsidRPr="00B60C68">
        <w:t xml:space="preserve"> con meses de anticipación, descomponiendo dinámicas temporales para aislar tendencias de largo plazo (banda </w:t>
      </w:r>
      <w:proofErr w:type="spellStart"/>
      <w:r w:rsidRPr="00B60C68">
        <w:rPr>
          <w:i/>
          <w:iCs/>
        </w:rPr>
        <w:t>slow</w:t>
      </w:r>
      <w:proofErr w:type="spellEnd"/>
      <w:r w:rsidRPr="00B60C68">
        <w:t xml:space="preserve"> de &gt;60 días) que anticipan crisis.</w:t>
      </w:r>
    </w:p>
    <w:p w14:paraId="2DDA83B2" w14:textId="77777777" w:rsidR="00B60C68" w:rsidRPr="00B60C68" w:rsidRDefault="00B60C68" w:rsidP="00B60C68">
      <w:pPr>
        <w:numPr>
          <w:ilvl w:val="0"/>
          <w:numId w:val="2"/>
        </w:numPr>
      </w:pPr>
      <w:r w:rsidRPr="00B60C68">
        <w:rPr>
          <w:b/>
          <w:bCs/>
        </w:rPr>
        <w:t xml:space="preserve">Indicadores </w:t>
      </w:r>
      <w:proofErr w:type="spellStart"/>
      <w:r w:rsidRPr="00B60C68">
        <w:rPr>
          <w:b/>
          <w:bCs/>
        </w:rPr>
        <w:t>macroprudenciales</w:t>
      </w:r>
      <w:proofErr w:type="spellEnd"/>
      <w:r w:rsidRPr="00B60C68">
        <w:rPr>
          <w:b/>
          <w:bCs/>
        </w:rPr>
        <w:t xml:space="preserve"> y umbrales de alerta temprana</w:t>
      </w:r>
      <w:r w:rsidRPr="00B60C68">
        <w:t>: La literatura de sistemas de alerta temprana ha propuesto numerosos indicadores macroeconómicos y financieros que elevan alerta de crisis cuando exceden ciertos umbrales (</w:t>
      </w:r>
      <w:proofErr w:type="spellStart"/>
      <w:r w:rsidRPr="00B60C68">
        <w:t>Galati</w:t>
      </w:r>
      <w:proofErr w:type="spellEnd"/>
      <w:r w:rsidRPr="00B60C68">
        <w:t xml:space="preserve"> y </w:t>
      </w:r>
      <w:proofErr w:type="spellStart"/>
      <w:r w:rsidRPr="00B60C68">
        <w:t>Moessner</w:t>
      </w:r>
      <w:proofErr w:type="spellEnd"/>
      <w:r w:rsidRPr="00B60C68">
        <w:t xml:space="preserve"> 2010; </w:t>
      </w:r>
      <w:proofErr w:type="spellStart"/>
      <w:r w:rsidRPr="00B60C68">
        <w:t>Tymoigne</w:t>
      </w:r>
      <w:proofErr w:type="spellEnd"/>
      <w:r w:rsidRPr="00B60C68">
        <w:t xml:space="preserve"> 2010). Ejemplos clásicos incluyen el crecimiento excesivo del crédito (brecha de crédito/PIB), aumentos rápidos en apalancamiento, desequilibrios de cuenta corriente, y burbujas de precios de activos</w:t>
      </w:r>
      <w:hyperlink r:id="rId8" w:anchor=":~:text=In%20order%20to%20develop%20a,At" w:tgtFrame="_blank" w:history="1">
        <w:r w:rsidRPr="00B60C68">
          <w:rPr>
            <w:rStyle w:val="Hipervnculo"/>
          </w:rPr>
          <w:t>levyinstitute.org</w:t>
        </w:r>
      </w:hyperlink>
      <w:r w:rsidRPr="00B60C68">
        <w:t xml:space="preserve">. Si bien estos modelos (inspirados en trabajos como Kaminsky-Reinhart o en la hipótesis de inestabilidad financiera de Minsky) han logrado cierto éxito pronosticando crisis bancarias o cambiarias, a menudo enfrentan </w:t>
      </w:r>
      <w:r w:rsidRPr="00B60C68">
        <w:rPr>
          <w:b/>
          <w:bCs/>
        </w:rPr>
        <w:t>altas tasas de falsos positivos</w:t>
      </w:r>
      <w:r w:rsidRPr="00B60C68">
        <w:t xml:space="preserve"> y falta de generalización</w:t>
      </w:r>
      <w:hyperlink r:id="rId9" w:anchor=":~:text=THE%20FINANCIAL%20FRAGILITY%20INDEX%20The,economic%20units%20within%20the%20household" w:tgtFrame="_blank" w:history="1">
        <w:r w:rsidRPr="00B60C68">
          <w:rPr>
            <w:rStyle w:val="Hipervnculo"/>
          </w:rPr>
          <w:t>levyinstitute.org</w:t>
        </w:r>
      </w:hyperlink>
      <w:r w:rsidRPr="00B60C68">
        <w:t xml:space="preserve">. Nuestro enfoque difiere al incorporar variables de </w:t>
      </w:r>
      <w:r w:rsidRPr="00B60C68">
        <w:rPr>
          <w:b/>
          <w:bCs/>
        </w:rPr>
        <w:t>alta frecuencia de mercado</w:t>
      </w:r>
      <w:r w:rsidRPr="00B60C68">
        <w:t xml:space="preserve"> (volatilidades, correlaciones) y conceptos de física estadística (sincronización, autocorrelación crítica) para capturar fragilidad endógena. Esto provee una visión más integral: combina señales macro (</w:t>
      </w:r>
      <w:proofErr w:type="spellStart"/>
      <w:r w:rsidRPr="00B60C68">
        <w:t>e.g</w:t>
      </w:r>
      <w:proofErr w:type="spellEnd"/>
      <w:r w:rsidRPr="00B60C68">
        <w:t>. volatilidad agregada) con dinámicas micro (</w:t>
      </w:r>
      <w:proofErr w:type="spellStart"/>
      <w:r w:rsidRPr="00B60C68">
        <w:t>e.g</w:t>
      </w:r>
      <w:proofErr w:type="spellEnd"/>
      <w:r w:rsidRPr="00B60C68">
        <w:t>. redes financieras), reduciendo la dependencia en un único indicador macro que pueda fallar.</w:t>
      </w:r>
    </w:p>
    <w:p w14:paraId="32FAFF02" w14:textId="77777777" w:rsidR="00B60C68" w:rsidRPr="00B60C68" w:rsidRDefault="00B60C68" w:rsidP="00B60C68">
      <w:pPr>
        <w:numPr>
          <w:ilvl w:val="0"/>
          <w:numId w:val="2"/>
        </w:numPr>
      </w:pPr>
      <w:r w:rsidRPr="00B60C68">
        <w:rPr>
          <w:b/>
          <w:bCs/>
        </w:rPr>
        <w:t>Medidas basadas en instituciones y redes</w:t>
      </w:r>
      <w:r w:rsidRPr="00B60C68">
        <w:t xml:space="preserve">: Otra rama relevante son las medidas de riesgo sistémico centradas en instituciones financieras individuales y sus interconexiones. Por ejemplo, el indicador </w:t>
      </w:r>
      <w:r w:rsidRPr="00B60C68">
        <w:rPr>
          <w:b/>
          <w:bCs/>
        </w:rPr>
        <w:t>$\</w:t>
      </w:r>
      <w:proofErr w:type="spellStart"/>
      <w:proofErr w:type="gramStart"/>
      <w:r w:rsidRPr="00B60C68">
        <w:rPr>
          <w:b/>
          <w:bCs/>
        </w:rPr>
        <w:t>text</w:t>
      </w:r>
      <w:proofErr w:type="spellEnd"/>
      <w:r w:rsidRPr="00B60C68">
        <w:rPr>
          <w:b/>
          <w:bCs/>
        </w:rPr>
        <w:t>{</w:t>
      </w:r>
      <w:proofErr w:type="spellStart"/>
      <w:proofErr w:type="gramEnd"/>
      <w:r w:rsidRPr="00B60C68">
        <w:rPr>
          <w:b/>
          <w:bCs/>
        </w:rPr>
        <w:t>CoVaR</w:t>
      </w:r>
      <w:proofErr w:type="spellEnd"/>
      <w:r w:rsidRPr="00B60C68">
        <w:rPr>
          <w:b/>
          <w:bCs/>
        </w:rPr>
        <w:t>}$</w:t>
      </w:r>
      <w:r w:rsidRPr="00B60C68">
        <w:t xml:space="preserve"> (</w:t>
      </w:r>
      <w:proofErr w:type="spellStart"/>
      <w:r w:rsidRPr="00B60C68">
        <w:t>Value</w:t>
      </w:r>
      <w:proofErr w:type="spellEnd"/>
      <w:r w:rsidRPr="00B60C68">
        <w:t xml:space="preserve"> at </w:t>
      </w:r>
      <w:proofErr w:type="spellStart"/>
      <w:r w:rsidRPr="00B60C68">
        <w:t>Risk</w:t>
      </w:r>
      <w:proofErr w:type="spellEnd"/>
      <w:r w:rsidRPr="00B60C68">
        <w:t xml:space="preserve"> Co-Condicionada) de </w:t>
      </w:r>
      <w:proofErr w:type="spellStart"/>
      <w:r w:rsidRPr="00B60C68">
        <w:t>Adrian</w:t>
      </w:r>
      <w:proofErr w:type="spellEnd"/>
      <w:r w:rsidRPr="00B60C68">
        <w:t xml:space="preserve"> &amp; </w:t>
      </w:r>
      <w:proofErr w:type="spellStart"/>
      <w:r w:rsidRPr="00B60C68">
        <w:t>Brunnermeier</w:t>
      </w:r>
      <w:proofErr w:type="spellEnd"/>
      <w:r w:rsidRPr="00B60C68">
        <w:t xml:space="preserve"> estima la pérdida extrema conjunta de todo el sistema condicional a la caída de una institución, cuantificando la contribución sistémica de cada banco. Asimismo, </w:t>
      </w:r>
      <w:r w:rsidRPr="00B60C68">
        <w:rPr>
          <w:b/>
          <w:bCs/>
        </w:rPr>
        <w:t>$\</w:t>
      </w:r>
      <w:proofErr w:type="spellStart"/>
      <w:proofErr w:type="gramStart"/>
      <w:r w:rsidRPr="00B60C68">
        <w:rPr>
          <w:b/>
          <w:bCs/>
        </w:rPr>
        <w:t>text</w:t>
      </w:r>
      <w:proofErr w:type="spellEnd"/>
      <w:r w:rsidRPr="00B60C68">
        <w:rPr>
          <w:b/>
          <w:bCs/>
        </w:rPr>
        <w:t>{</w:t>
      </w:r>
      <w:proofErr w:type="gramEnd"/>
      <w:r w:rsidRPr="00B60C68">
        <w:rPr>
          <w:b/>
          <w:bCs/>
        </w:rPr>
        <w:t>SRISK}$</w:t>
      </w:r>
      <w:r w:rsidRPr="00B60C68">
        <w:t xml:space="preserve"> (</w:t>
      </w:r>
      <w:proofErr w:type="spellStart"/>
      <w:r w:rsidRPr="00B60C68">
        <w:t>Acharya</w:t>
      </w:r>
      <w:proofErr w:type="spellEnd"/>
      <w:r w:rsidRPr="00B60C68">
        <w:t xml:space="preserve"> et al.) estima el capital necesario para recapitalizar instituciones en crisis, capturando fragilidad a nivel de </w:t>
      </w:r>
      <w:r w:rsidRPr="00B60C68">
        <w:lastRenderedPageBreak/>
        <w:t xml:space="preserve">firmas. Desde la perspectiva de redes, modelos como los de </w:t>
      </w:r>
      <w:proofErr w:type="spellStart"/>
      <w:r w:rsidRPr="00B60C68">
        <w:t>Acemoglu</w:t>
      </w:r>
      <w:proofErr w:type="spellEnd"/>
      <w:r w:rsidRPr="00B60C68">
        <w:t xml:space="preserve">, </w:t>
      </w:r>
      <w:proofErr w:type="spellStart"/>
      <w:r w:rsidRPr="00B60C68">
        <w:t>Ozdaglar</w:t>
      </w:r>
      <w:proofErr w:type="spellEnd"/>
      <w:r w:rsidRPr="00B60C68">
        <w:t xml:space="preserve"> &amp; </w:t>
      </w:r>
      <w:proofErr w:type="spellStart"/>
      <w:r w:rsidRPr="00B60C68">
        <w:t>Tahbaz-Salehi</w:t>
      </w:r>
      <w:proofErr w:type="spellEnd"/>
      <w:r w:rsidRPr="00B60C68">
        <w:t xml:space="preserve"> (2015) investigan cómo la topología de la red interbancaria influye en la propagación de choques, mostrando que las interconexiones pueden inicialmente </w:t>
      </w:r>
      <w:r w:rsidRPr="00B60C68">
        <w:rPr>
          <w:b/>
          <w:bCs/>
        </w:rPr>
        <w:t xml:space="preserve">absorber </w:t>
      </w:r>
      <w:proofErr w:type="gramStart"/>
      <w:r w:rsidRPr="00B60C68">
        <w:rPr>
          <w:b/>
          <w:bCs/>
        </w:rPr>
        <w:t>riesgos</w:t>
      </w:r>
      <w:proofErr w:type="gramEnd"/>
      <w:r w:rsidRPr="00B60C68">
        <w:t xml:space="preserve"> pero más allá de cierto punto incrementan la fragilidad sistémica (</w:t>
      </w:r>
      <w:proofErr w:type="spellStart"/>
      <w:r w:rsidRPr="00B60C68">
        <w:rPr>
          <w:i/>
          <w:iCs/>
        </w:rPr>
        <w:t>too</w:t>
      </w:r>
      <w:proofErr w:type="spellEnd"/>
      <w:r w:rsidRPr="00B60C68">
        <w:rPr>
          <w:i/>
          <w:iCs/>
        </w:rPr>
        <w:t xml:space="preserve"> </w:t>
      </w:r>
      <w:proofErr w:type="spellStart"/>
      <w:r w:rsidRPr="00B60C68">
        <w:rPr>
          <w:i/>
          <w:iCs/>
        </w:rPr>
        <w:t>connected</w:t>
      </w:r>
      <w:proofErr w:type="spellEnd"/>
      <w:r w:rsidRPr="00B60C68">
        <w:rPr>
          <w:i/>
          <w:iCs/>
        </w:rPr>
        <w:t xml:space="preserve"> </w:t>
      </w:r>
      <w:proofErr w:type="spellStart"/>
      <w:r w:rsidRPr="00B60C68">
        <w:rPr>
          <w:i/>
          <w:iCs/>
        </w:rPr>
        <w:t>to</w:t>
      </w:r>
      <w:proofErr w:type="spellEnd"/>
      <w:r w:rsidRPr="00B60C68">
        <w:rPr>
          <w:i/>
          <w:iCs/>
        </w:rPr>
        <w:t xml:space="preserve"> </w:t>
      </w:r>
      <w:proofErr w:type="spellStart"/>
      <w:r w:rsidRPr="00B60C68">
        <w:rPr>
          <w:i/>
          <w:iCs/>
        </w:rPr>
        <w:t>fail</w:t>
      </w:r>
      <w:proofErr w:type="spellEnd"/>
      <w:r w:rsidRPr="00B60C68">
        <w:t xml:space="preserve">). Nuestro modelo </w:t>
      </w:r>
      <w:r w:rsidRPr="00B60C68">
        <w:rPr>
          <w:b/>
          <w:bCs/>
        </w:rPr>
        <w:t xml:space="preserve">latente </w:t>
      </w:r>
      <w:proofErr w:type="spellStart"/>
      <w:r w:rsidRPr="00B60C68">
        <w:rPr>
          <w:b/>
          <w:bCs/>
        </w:rPr>
        <w:t>multiescala</w:t>
      </w:r>
      <w:proofErr w:type="spellEnd"/>
      <w:r w:rsidRPr="00B60C68">
        <w:t xml:space="preserve"> complementa estos enfoques: en vez de modelar cada banco por separado, extrae un </w:t>
      </w:r>
      <w:r w:rsidRPr="00B60C68">
        <w:rPr>
          <w:b/>
          <w:bCs/>
        </w:rPr>
        <w:t>factor común de fragilidad</w:t>
      </w:r>
      <w:r w:rsidRPr="00B60C68">
        <w:t xml:space="preserve"> a partir de datos de mercado globales, lo que permite captar señales colectivas de inestabilidad emergente. A diferencia de métricas micro (</w:t>
      </w:r>
      <w:proofErr w:type="spellStart"/>
      <w:r w:rsidRPr="00B60C68">
        <w:t>CoVaR</w:t>
      </w:r>
      <w:proofErr w:type="spellEnd"/>
      <w:r w:rsidRPr="00B60C68">
        <w:t xml:space="preserve">, SRISK) que requieren granularidad por institución, nuestro enfoque identifica vulnerabilidades </w:t>
      </w:r>
      <w:r w:rsidRPr="00B60C68">
        <w:rPr>
          <w:i/>
          <w:iCs/>
        </w:rPr>
        <w:t>sistémicas globales</w:t>
      </w:r>
      <w:r w:rsidRPr="00B60C68">
        <w:t xml:space="preserve"> integrando información agregada de mercados (correlaciones, volatilidad, etc.) y propiedades del sistema en su conjunto (sincronización, resiliencia de red).</w:t>
      </w:r>
    </w:p>
    <w:p w14:paraId="6215C42B" w14:textId="77777777" w:rsidR="00B60C68" w:rsidRPr="00B60C68" w:rsidRDefault="00B60C68" w:rsidP="00B60C68">
      <w:pPr>
        <w:numPr>
          <w:ilvl w:val="0"/>
          <w:numId w:val="2"/>
        </w:numPr>
      </w:pPr>
      <w:r w:rsidRPr="00B60C68">
        <w:rPr>
          <w:b/>
          <w:bCs/>
        </w:rPr>
        <w:t>Modelos de crisis basados en dinámicas no lineales</w:t>
      </w:r>
      <w:r w:rsidRPr="00B60C68">
        <w:t xml:space="preserve">: En la literatura más reciente, algunos trabajos han explorado herramientas de la física y matemática para anticipar transiciones financieras. Por ejemplo, estudios han evaluado la </w:t>
      </w:r>
      <w:r w:rsidRPr="00B60C68">
        <w:rPr>
          <w:b/>
          <w:bCs/>
        </w:rPr>
        <w:t>ralentización crítica</w:t>
      </w:r>
      <w:r w:rsidRPr="00B60C68">
        <w:t xml:space="preserve"> como señal temprana en mercados financieros, examinando si antes de colapsos bursátiles hay evidencias de aumento en autocorrelación y varianza</w:t>
      </w:r>
      <w:hyperlink r:id="rId10" w:anchor=":~:text=crises%3F%20link,the%20slowing%20down%20of" w:tgtFrame="_blank" w:history="1">
        <w:r w:rsidRPr="00B60C68">
          <w:rPr>
            <w:rStyle w:val="Hipervnculo"/>
          </w:rPr>
          <w:t>link.springer.com</w:t>
        </w:r>
      </w:hyperlink>
      <w:hyperlink r:id="rId11" w:anchor=":~:text=Early%20warning%20signals%20of%20financial,States%2C%20Singapore%2C%20and%20Malaysia%20markets" w:tgtFrame="_blank" w:history="1">
        <w:r w:rsidRPr="00B60C68">
          <w:rPr>
            <w:rStyle w:val="Hipervnculo"/>
          </w:rPr>
          <w:t>sciencedirect.com</w:t>
        </w:r>
      </w:hyperlink>
      <w:r w:rsidRPr="00B60C68">
        <w:t xml:space="preserve">. Los resultados son mixtos – algunos encuentran indicios de esta dinámica, mientras otros sugieren que las crisis financieras pueden no mostrar un ablandamiento gradual sino más bien </w:t>
      </w:r>
      <w:r w:rsidRPr="00B60C68">
        <w:rPr>
          <w:i/>
          <w:iCs/>
        </w:rPr>
        <w:t>cambios abruptos</w:t>
      </w:r>
      <w:r w:rsidRPr="00B60C68">
        <w:t xml:space="preserve"> sin mucha anticipación. Otros autores han aplicado la </w:t>
      </w:r>
      <w:r w:rsidRPr="00B60C68">
        <w:rPr>
          <w:b/>
          <w:bCs/>
        </w:rPr>
        <w:t>teoría de catástrofes (cúspide)</w:t>
      </w:r>
      <w:r w:rsidRPr="00B60C68">
        <w:t xml:space="preserve"> y sistemas dinámicos estocásticos para modelar burbujas y desplomes de mercados</w:t>
      </w:r>
      <w:hyperlink r:id="rId12" w:anchor=":~:text=Under%20a%20polynomial%20drift%20function%2C,This%20class%20of" w:tgtFrame="_blank" w:history="1">
        <w:r w:rsidRPr="00B60C68">
          <w:rPr>
            <w:rStyle w:val="Hipervnculo"/>
          </w:rPr>
          <w:t>epge.fgv.br</w:t>
        </w:r>
      </w:hyperlink>
      <w:r w:rsidRPr="00B60C68">
        <w:t xml:space="preserve">. Por ejemplo, </w:t>
      </w:r>
      <w:proofErr w:type="spellStart"/>
      <w:r w:rsidRPr="00B60C68">
        <w:rPr>
          <w:b/>
          <w:bCs/>
        </w:rPr>
        <w:t>Sornette</w:t>
      </w:r>
      <w:proofErr w:type="spellEnd"/>
      <w:r w:rsidRPr="00B60C68">
        <w:t xml:space="preserve"> y colaboradores popularizaron la búsqueda de </w:t>
      </w:r>
      <w:r w:rsidRPr="00B60C68">
        <w:rPr>
          <w:i/>
          <w:iCs/>
        </w:rPr>
        <w:t>leyes de potencia log-periódicas</w:t>
      </w:r>
      <w:r w:rsidRPr="00B60C68">
        <w:t xml:space="preserve"> antes de colapsos, y más directamente, modelos de </w:t>
      </w:r>
      <w:r w:rsidRPr="00B60C68">
        <w:rPr>
          <w:b/>
          <w:bCs/>
        </w:rPr>
        <w:t>catástrofe cúspide</w:t>
      </w:r>
      <w:r w:rsidRPr="00B60C68">
        <w:t xml:space="preserve"> se han ajustado a datos de volatilidad para describir </w:t>
      </w:r>
      <w:r w:rsidRPr="00B60C68">
        <w:rPr>
          <w:b/>
          <w:bCs/>
        </w:rPr>
        <w:t>transiciones bruscas de régimen</w:t>
      </w:r>
      <w:r w:rsidRPr="00B60C68">
        <w:t xml:space="preserve"> en mercados financieros</w:t>
      </w:r>
      <w:hyperlink r:id="rId13" w:anchor=":~:text=,a%20stochastic%20cusp%20catastrophe" w:tgtFrame="_blank" w:history="1">
        <w:r w:rsidRPr="00B60C68">
          <w:rPr>
            <w:rStyle w:val="Hipervnculo"/>
          </w:rPr>
          <w:t>sciencedirect.com</w:t>
        </w:r>
      </w:hyperlink>
      <w:hyperlink r:id="rId14" w:anchor=":~:text=,This%20class%20of" w:tgtFrame="_blank" w:history="1">
        <w:r w:rsidRPr="00B60C68">
          <w:rPr>
            <w:rStyle w:val="Hipervnculo"/>
          </w:rPr>
          <w:t>epge.fgv.br</w:t>
        </w:r>
      </w:hyperlink>
      <w:r w:rsidRPr="00B60C68">
        <w:t xml:space="preserve">. Nuestro modelo se inscribe en esta línea no lineal, aportando dos innovaciones combinadas: (1) la descomposición </w:t>
      </w:r>
      <w:proofErr w:type="spellStart"/>
      <w:r w:rsidRPr="00B60C68">
        <w:rPr>
          <w:b/>
          <w:bCs/>
        </w:rPr>
        <w:t>multiescala</w:t>
      </w:r>
      <w:proofErr w:type="spellEnd"/>
      <w:r w:rsidRPr="00B60C68">
        <w:rPr>
          <w:b/>
          <w:bCs/>
        </w:rPr>
        <w:t xml:space="preserve"> temporal</w:t>
      </w:r>
      <w:r w:rsidRPr="00B60C68">
        <w:t xml:space="preserve"> (inspirada en una analogía relativista donde diferentes horizontes temporales coexisten y convergen antes de una crisis) y (2) la integración formal de un </w:t>
      </w:r>
      <w:r w:rsidRPr="00B60C68">
        <w:rPr>
          <w:b/>
          <w:bCs/>
        </w:rPr>
        <w:t>modelo de catástrofe tipo cúspide</w:t>
      </w:r>
      <w:r w:rsidRPr="00B60C68">
        <w:t xml:space="preserve"> calibrado con datos financieros, algo que la literatura existente rara vez ha integrado de forma empírica. Además, incorporamos el concepto de </w:t>
      </w:r>
      <w:r w:rsidRPr="00B60C68">
        <w:rPr>
          <w:b/>
          <w:bCs/>
        </w:rPr>
        <w:t>sincronización de fases</w:t>
      </w:r>
      <w:r w:rsidRPr="00B60C68">
        <w:t xml:space="preserve"> (vía </w:t>
      </w:r>
      <w:proofErr w:type="spellStart"/>
      <w:r w:rsidRPr="00B60C68">
        <w:t>Kuramoto</w:t>
      </w:r>
      <w:proofErr w:type="spellEnd"/>
      <w:r w:rsidRPr="00B60C68">
        <w:t xml:space="preserve">) para detectar cuándo diversos </w:t>
      </w:r>
      <w:proofErr w:type="spellStart"/>
      <w:r w:rsidRPr="00B60C68">
        <w:t>sub-sistemas</w:t>
      </w:r>
      <w:proofErr w:type="spellEnd"/>
      <w:r w:rsidRPr="00B60C68">
        <w:t xml:space="preserve"> financieros comienzan a oscilar juntos, un mecanismo ausente en modelos tradicionales pero crucial según nuestra hipótesis de que las crisis ocurren cuando los distintos agentes y mercados </w:t>
      </w:r>
      <w:r w:rsidRPr="00B60C68">
        <w:rPr>
          <w:i/>
          <w:iCs/>
        </w:rPr>
        <w:t>entran en fase</w:t>
      </w:r>
      <w:r w:rsidRPr="00B60C68">
        <w:t xml:space="preserve"> unos con otros.</w:t>
      </w:r>
    </w:p>
    <w:p w14:paraId="78139AA8" w14:textId="77777777" w:rsidR="00B60C68" w:rsidRPr="00B60C68" w:rsidRDefault="00B60C68" w:rsidP="00B60C68">
      <w:r w:rsidRPr="00B60C68">
        <w:t xml:space="preserve">En resumen, la propuesta </w:t>
      </w:r>
      <w:r w:rsidRPr="00B60C68">
        <w:rPr>
          <w:b/>
          <w:bCs/>
        </w:rPr>
        <w:t xml:space="preserve">relativista </w:t>
      </w:r>
      <w:proofErr w:type="spellStart"/>
      <w:r w:rsidRPr="00B60C68">
        <w:rPr>
          <w:b/>
          <w:bCs/>
        </w:rPr>
        <w:t>multiescala</w:t>
      </w:r>
      <w:proofErr w:type="spellEnd"/>
      <w:r w:rsidRPr="00B60C68">
        <w:t xml:space="preserve"> difiere de los modelos preexistentes al </w:t>
      </w:r>
      <w:r w:rsidRPr="00B60C68">
        <w:rPr>
          <w:b/>
          <w:bCs/>
        </w:rPr>
        <w:t>combinar enfoques</w:t>
      </w:r>
      <w:r w:rsidRPr="00B60C68">
        <w:t xml:space="preserve">: une señales de alerta temprana clásicas (volatilidad, correlación, apalancamiento) con </w:t>
      </w:r>
      <w:r w:rsidRPr="00B60C68">
        <w:rPr>
          <w:i/>
          <w:iCs/>
        </w:rPr>
        <w:t>indicadores inspirados en fenómenos físicos</w:t>
      </w:r>
      <w:r w:rsidRPr="00B60C68">
        <w:t xml:space="preserve"> (ralentización crítica, sincronización de osciladores, bifurcaciones). Esta fusión permite detectar fragilidad sistémica desde múltiples ángulos. Mientras que la literatura previa tiende a enfocarse en uno u otro ámbito (macro vs. micro, lineal vs. no lineal, estático vs. dinámico), nuestro modelo busca un </w:t>
      </w:r>
      <w:r w:rsidRPr="00B60C68">
        <w:rPr>
          <w:b/>
          <w:bCs/>
        </w:rPr>
        <w:t>marco unificado</w:t>
      </w:r>
      <w:r w:rsidRPr="00B60C68">
        <w:t xml:space="preserve"> que capture la complejidad de la fragilidad financiera </w:t>
      </w:r>
      <w:r w:rsidRPr="00B60C68">
        <w:lastRenderedPageBreak/>
        <w:t xml:space="preserve">moderna en su totalidad. Un </w:t>
      </w:r>
      <w:proofErr w:type="spellStart"/>
      <w:proofErr w:type="gramStart"/>
      <w:r w:rsidRPr="00B60C68">
        <w:t>paper</w:t>
      </w:r>
      <w:proofErr w:type="spellEnd"/>
      <w:proofErr w:type="gramEnd"/>
      <w:r w:rsidRPr="00B60C68">
        <w:t xml:space="preserve"> académico incluiría una sección revisando en detalle estos modelos, citando trabajos representativos de cada enfoque, para luego </w:t>
      </w:r>
      <w:r w:rsidRPr="00B60C68">
        <w:rPr>
          <w:b/>
          <w:bCs/>
        </w:rPr>
        <w:t>destacar formalmente las contribuciones novedosas</w:t>
      </w:r>
      <w:r w:rsidRPr="00B60C68">
        <w:t xml:space="preserve"> de nuestro modelo (señaladas arriba): la capacidad predictiva a distintos horizontes temporales, la reducción de alertas falsas, y la conexión teórica con mecanismos de bifurcación y sincronización que no aparecen en indicadores tradicionales.</w:t>
      </w:r>
    </w:p>
    <w:p w14:paraId="167AEF55" w14:textId="77777777" w:rsidR="00B60C68" w:rsidRPr="00B60C68" w:rsidRDefault="00B60C68" w:rsidP="00B60C68">
      <w:pPr>
        <w:rPr>
          <w:b/>
          <w:bCs/>
        </w:rPr>
      </w:pPr>
      <w:r w:rsidRPr="00B60C68">
        <w:rPr>
          <w:b/>
          <w:bCs/>
        </w:rPr>
        <w:t>Derivaciones y Pruebas Matemáticas (Fundamentación Teórica)</w:t>
      </w:r>
    </w:p>
    <w:p w14:paraId="053C459B" w14:textId="77777777" w:rsidR="00B60C68" w:rsidRPr="00B60C68" w:rsidRDefault="00B60C68" w:rsidP="00B60C68">
      <w:r w:rsidRPr="00B60C68">
        <w:t xml:space="preserve">Dado que el modelo propuesto utiliza conceptos avanzados de dinámica de sistemas (la catástrofe de cúspide, ralentización crítica, sincronización), un artículo formal debe presentar el </w:t>
      </w:r>
      <w:r w:rsidRPr="00B60C68">
        <w:rPr>
          <w:b/>
          <w:bCs/>
        </w:rPr>
        <w:t>desarrollo matemático completo</w:t>
      </w:r>
      <w:r w:rsidRPr="00B60C68">
        <w:t xml:space="preserve"> que conecta estos conceptos físicos con el dominio financiero. Esto implica derivar ecuaciones diferenciales simplificadas que ilustren la dinámica de fragilidad y demostrar cómo emergen las señales utilizadas. A continuación, se delinean los elementos principales de esta exposición teórica:</w:t>
      </w:r>
    </w:p>
    <w:p w14:paraId="744707D9" w14:textId="77777777" w:rsidR="00B60C68" w:rsidRPr="00B60C68" w:rsidRDefault="00B60C68" w:rsidP="00B60C68">
      <w:pPr>
        <w:numPr>
          <w:ilvl w:val="0"/>
          <w:numId w:val="3"/>
        </w:numPr>
      </w:pPr>
      <w:r w:rsidRPr="00B60C68">
        <w:rPr>
          <w:b/>
          <w:bCs/>
        </w:rPr>
        <w:t>Modelo de Catástrofe Tipo Cúspide</w:t>
      </w:r>
      <w:r w:rsidRPr="00B60C68">
        <w:t xml:space="preserve">: Partimos de la hipótesis de que la evolución de la fragilidad sistémica puede describirse mediante una dinámica no lineal con </w:t>
      </w:r>
      <w:proofErr w:type="spellStart"/>
      <w:r w:rsidRPr="00B60C68">
        <w:t>histeresis</w:t>
      </w:r>
      <w:proofErr w:type="spellEnd"/>
      <w:r w:rsidRPr="00B60C68">
        <w:t xml:space="preserve">, análoga a una </w:t>
      </w:r>
      <w:r w:rsidRPr="00B60C68">
        <w:rPr>
          <w:b/>
          <w:bCs/>
        </w:rPr>
        <w:t>catástrofe de cúspide</w:t>
      </w:r>
      <w:r w:rsidRPr="00B60C68">
        <w:t xml:space="preserve">. En términos matemáticos, se asume que existe una variable de estado $x(t)$ que representa el </w:t>
      </w:r>
      <w:r w:rsidRPr="00B60C68">
        <w:rPr>
          <w:b/>
          <w:bCs/>
        </w:rPr>
        <w:t>estado del sistema financiero</w:t>
      </w:r>
      <w:r w:rsidRPr="00B60C68">
        <w:t xml:space="preserve"> (vinculado a la fragilidad latente $</w:t>
      </w:r>
      <w:proofErr w:type="spellStart"/>
      <w:r w:rsidRPr="00B60C68">
        <w:t>F_t</w:t>
      </w:r>
      <w:proofErr w:type="spellEnd"/>
      <w:r w:rsidRPr="00B60C68">
        <w:t>$) cuya dinámica potencial podemos escribir como:</w:t>
      </w:r>
    </w:p>
    <w:p w14:paraId="6405070B" w14:textId="13E7B578" w:rsidR="00B60C68" w:rsidRPr="00B60C68" w:rsidRDefault="00B60C68" w:rsidP="00B60C68">
      <m:oMathPara>
        <m:oMath>
          <m:r>
            <w:rPr>
              <w:rFonts w:ascii="Cambria Math" w:hAnsi="Cambria Math"/>
            </w:rPr>
            <m:t>V(x;a,b)=</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a</m:t>
              </m:r>
              <m:r>
                <m:rPr>
                  <m:nor/>
                </m:rPr>
                <w:rPr>
                  <w:rFonts w:ascii="Arial" w:hAnsi="Arial" w:cs="Arial"/>
                </w:rPr>
                <m:t> </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+b</m:t>
          </m:r>
          <m:r>
            <m:rPr>
              <m:nor/>
            </m:rPr>
            <w:rPr>
              <w:rFonts w:ascii="Arial" w:hAnsi="Arial" w:cs="Arial"/>
            </w:rPr>
            <m:t> </m:t>
          </m:r>
          <m:r>
            <w:rPr>
              <w:rFonts w:ascii="Cambria Math" w:hAnsi="Cambria Math"/>
            </w:rPr>
            <m:t>x,</m:t>
          </m:r>
        </m:oMath>
      </m:oMathPara>
    </w:p>
    <w:p w14:paraId="2FEC0A89" w14:textId="77777777" w:rsidR="00B60C68" w:rsidRPr="00B60C68" w:rsidRDefault="00B60C68" w:rsidP="00B60C68">
      <w:r w:rsidRPr="00B60C68">
        <w:t xml:space="preserve">donde $a(t)$ y $b(t)$ son parámetros de control relacionados con las condiciones sistémicas. Aquí, $a$ puede interpretarse como un parámetro de </w:t>
      </w:r>
      <w:r w:rsidRPr="00B60C68">
        <w:rPr>
          <w:b/>
          <w:bCs/>
        </w:rPr>
        <w:t>estabilidad/endogeneidad</w:t>
      </w:r>
      <w:r w:rsidRPr="00B60C68">
        <w:t xml:space="preserve"> del sistema y $</w:t>
      </w:r>
      <w:proofErr w:type="spellStart"/>
      <w:r w:rsidRPr="00B60C68">
        <w:t>b$</w:t>
      </w:r>
      <w:proofErr w:type="spellEnd"/>
      <w:r w:rsidRPr="00B60C68">
        <w:t xml:space="preserve"> como un </w:t>
      </w:r>
      <w:r w:rsidRPr="00B60C68">
        <w:rPr>
          <w:b/>
          <w:bCs/>
        </w:rPr>
        <w:t>factor de fuerza externa o desequilibrio</w:t>
      </w:r>
      <w:r w:rsidRPr="00B60C68">
        <w:t>. La función $V(x)$ es el potencial de la cúspide; la dinámica asociada se obtiene mediante la ecuación de gradiente descendente $\</w:t>
      </w:r>
      <w:proofErr w:type="spellStart"/>
      <w:r w:rsidRPr="00B60C68">
        <w:t>dot</w:t>
      </w:r>
      <w:proofErr w:type="spellEnd"/>
      <w:r w:rsidRPr="00B60C68">
        <w:t>{x} = -\</w:t>
      </w:r>
      <w:proofErr w:type="gramStart"/>
      <w:r w:rsidRPr="00B60C68">
        <w:t>frac{</w:t>
      </w:r>
      <w:proofErr w:type="gramEnd"/>
      <w:r w:rsidRPr="00B60C68">
        <w:t>\</w:t>
      </w:r>
      <w:proofErr w:type="spellStart"/>
      <w:r w:rsidRPr="00B60C68">
        <w:t>partial</w:t>
      </w:r>
      <w:proofErr w:type="spellEnd"/>
      <w:r w:rsidRPr="00B60C68">
        <w:t xml:space="preserve"> </w:t>
      </w:r>
      <w:proofErr w:type="gramStart"/>
      <w:r w:rsidRPr="00B60C68">
        <w:t>V}{</w:t>
      </w:r>
      <w:proofErr w:type="gramEnd"/>
      <w:r w:rsidRPr="00B60C68">
        <w:t>\</w:t>
      </w:r>
      <w:proofErr w:type="spellStart"/>
      <w:r w:rsidRPr="00B60C68">
        <w:t>partial</w:t>
      </w:r>
      <w:proofErr w:type="spellEnd"/>
      <w:r w:rsidRPr="00B60C68">
        <w:t xml:space="preserve"> x} = -\</w:t>
      </w:r>
      <w:proofErr w:type="spellStart"/>
      <w:proofErr w:type="gramStart"/>
      <w:r w:rsidRPr="00B60C68">
        <w:t>left</w:t>
      </w:r>
      <w:proofErr w:type="spellEnd"/>
      <w:r w:rsidRPr="00B60C68">
        <w:t>(</w:t>
      </w:r>
      <w:proofErr w:type="gramEnd"/>
      <w:r w:rsidRPr="00B60C68">
        <w:t>x^3 + a x + b\</w:t>
      </w:r>
      <w:proofErr w:type="spellStart"/>
      <w:proofErr w:type="gramStart"/>
      <w:r w:rsidRPr="00B60C68">
        <w:t>right</w:t>
      </w:r>
      <w:proofErr w:type="spellEnd"/>
      <w:r w:rsidRPr="00B60C68">
        <w:t>)$</w:t>
      </w:r>
      <w:proofErr w:type="gramEnd"/>
      <w:r w:rsidRPr="00B60C68">
        <w:t xml:space="preserve">. Esta ecuación diferencial es la forma canónica de la </w:t>
      </w:r>
      <w:r w:rsidRPr="00B60C68">
        <w:rPr>
          <w:b/>
          <w:bCs/>
        </w:rPr>
        <w:t>cúspide</w:t>
      </w:r>
      <w:r w:rsidRPr="00B60C68">
        <w:t>: dependiendo de $a$ y $b$, presenta una bifurcación de dos equilibrios estables (</w:t>
      </w:r>
      <w:proofErr w:type="spellStart"/>
      <w:r w:rsidRPr="00B60C68">
        <w:t>bistabilidad</w:t>
      </w:r>
      <w:proofErr w:type="spellEnd"/>
      <w:r w:rsidRPr="00B60C68">
        <w:t>) cuando $a&lt;0$. En un régimen de $a &lt; 0$, la ecuación $\</w:t>
      </w:r>
      <w:proofErr w:type="spellStart"/>
      <w:r w:rsidRPr="00B60C68">
        <w:t>dot</w:t>
      </w:r>
      <w:proofErr w:type="spellEnd"/>
      <w:r w:rsidRPr="00B60C68">
        <w:t xml:space="preserve">{x}=0$ tiene tres raíces ($x$ con dos estables y una inestable en medio), lo que corresponde a dos posibles estados del sistema financiero (p. ej., </w:t>
      </w:r>
      <w:r w:rsidRPr="00B60C68">
        <w:rPr>
          <w:i/>
          <w:iCs/>
        </w:rPr>
        <w:t>estable</w:t>
      </w:r>
      <w:r w:rsidRPr="00B60C68">
        <w:t xml:space="preserve"> vs </w:t>
      </w:r>
      <w:r w:rsidRPr="00B60C68">
        <w:rPr>
          <w:i/>
          <w:iCs/>
        </w:rPr>
        <w:t>frágil</w:t>
      </w:r>
      <w:r w:rsidRPr="00B60C68">
        <w:t xml:space="preserve">) para las mismas condiciones, implicando </w:t>
      </w:r>
      <w:proofErr w:type="spellStart"/>
      <w:r w:rsidRPr="00B60C68">
        <w:t>histeresis</w:t>
      </w:r>
      <w:proofErr w:type="spellEnd"/>
      <w:r w:rsidRPr="00B60C68">
        <w:t>. El punto crítico ocurre alrededor de $a=0$, donde ambas ramas convergen (</w:t>
      </w:r>
      <w:r w:rsidRPr="00B60C68">
        <w:rPr>
          <w:i/>
          <w:iCs/>
        </w:rPr>
        <w:t>cúspide</w:t>
      </w:r>
      <w:r w:rsidRPr="00B60C68">
        <w:t>).</w:t>
      </w:r>
    </w:p>
    <w:p w14:paraId="0D5D05EF" w14:textId="77777777" w:rsidR="00B60C68" w:rsidRPr="00B60C68" w:rsidRDefault="00B60C68" w:rsidP="00B60C68">
      <w:r w:rsidRPr="00B60C68">
        <w:t xml:space="preserve">En el artículo, derivaríamos </w:t>
      </w:r>
      <w:proofErr w:type="gramStart"/>
      <w:r w:rsidRPr="00B60C68">
        <w:t xml:space="preserve">los </w:t>
      </w:r>
      <w:r w:rsidRPr="00B60C68">
        <w:rPr>
          <w:b/>
          <w:bCs/>
        </w:rPr>
        <w:t>condiciones</w:t>
      </w:r>
      <w:proofErr w:type="gramEnd"/>
      <w:r w:rsidRPr="00B60C68">
        <w:rPr>
          <w:b/>
          <w:bCs/>
        </w:rPr>
        <w:t xml:space="preserve"> de bifurcación</w:t>
      </w:r>
      <w:r w:rsidRPr="00B60C68">
        <w:t xml:space="preserve"> de este sistema: típicamente, la catástrofe se caracteriza por la </w:t>
      </w:r>
      <w:proofErr w:type="spellStart"/>
      <w:r w:rsidRPr="00B60C68">
        <w:t>anulaciòn</w:t>
      </w:r>
      <w:proofErr w:type="spellEnd"/>
      <w:r w:rsidRPr="00B60C68">
        <w:t xml:space="preserve"> </w:t>
      </w:r>
      <w:proofErr w:type="gramStart"/>
      <w:r w:rsidRPr="00B60C68">
        <w:t>del discriminante</w:t>
      </w:r>
      <w:proofErr w:type="gramEnd"/>
      <w:r w:rsidRPr="00B60C68">
        <w:t xml:space="preserve"> de $x^3 + a x + b = 0$. Mostraríamos cómo, al acercarse el sistema a esta región crítica, pequeñas perturbaciones en $</w:t>
      </w:r>
      <w:proofErr w:type="spellStart"/>
      <w:r w:rsidRPr="00B60C68">
        <w:t>b$</w:t>
      </w:r>
      <w:proofErr w:type="spellEnd"/>
      <w:r w:rsidRPr="00B60C68">
        <w:t xml:space="preserve"> (ej. shocks externos) pueden provocar saltos abruptos en $x$ (colapso de fragilidad). Además, relacionaríamos los parámetros con variables financieras observables: por ejemplo, $a$ podría inferirse de nuestras mediciones de fragilidad lenta (tendencia estructural) mientras $</w:t>
      </w:r>
      <w:proofErr w:type="spellStart"/>
      <w:r w:rsidRPr="00B60C68">
        <w:t>b$</w:t>
      </w:r>
      <w:proofErr w:type="spellEnd"/>
      <w:r w:rsidRPr="00B60C68">
        <w:t xml:space="preserve"> podría relacionarse con shocks rápidos (ruido). El reporte menciona que usamos la distancia </w:t>
      </w:r>
      <w:proofErr w:type="gramStart"/>
      <w:r w:rsidRPr="00B60C68">
        <w:t xml:space="preserve">al </w:t>
      </w:r>
      <w:r w:rsidRPr="00B60C68">
        <w:rPr>
          <w:b/>
          <w:bCs/>
        </w:rPr>
        <w:t>silla</w:t>
      </w:r>
      <w:proofErr w:type="gramEnd"/>
      <w:r w:rsidRPr="00B60C68">
        <w:rPr>
          <w:b/>
          <w:bCs/>
        </w:rPr>
        <w:t xml:space="preserve"> de montar</w:t>
      </w:r>
      <w:r w:rsidRPr="00B60C68">
        <w:t xml:space="preserve"> (</w:t>
      </w:r>
      <w:proofErr w:type="spellStart"/>
      <w:r w:rsidRPr="00B60C68">
        <w:rPr>
          <w:i/>
          <w:iCs/>
        </w:rPr>
        <w:t>saddle</w:t>
      </w:r>
      <w:proofErr w:type="spellEnd"/>
      <w:r w:rsidRPr="00B60C68">
        <w:t xml:space="preserve">) y el propio $a$ normalizado como componentes del índice final; en un </w:t>
      </w:r>
      <w:proofErr w:type="spellStart"/>
      <w:proofErr w:type="gramStart"/>
      <w:r w:rsidRPr="00B60C68">
        <w:t>paper</w:t>
      </w:r>
      <w:proofErr w:type="spellEnd"/>
      <w:proofErr w:type="gramEnd"/>
      <w:r w:rsidRPr="00B60C68">
        <w:t xml:space="preserve"> formal detallaríamos cómo estimamos $a(t)$ a </w:t>
      </w:r>
      <w:r w:rsidRPr="00B60C68">
        <w:lastRenderedPageBreak/>
        <w:t xml:space="preserve">partir de datos (posiblemente vía ajuste de la forma de la distribución o a través del análisis de doble pozo en la serie de fragilidad). La propiedad de </w:t>
      </w:r>
      <w:proofErr w:type="spellStart"/>
      <w:r w:rsidRPr="00B60C68">
        <w:rPr>
          <w:b/>
          <w:bCs/>
        </w:rPr>
        <w:t>biestabilidad</w:t>
      </w:r>
      <w:proofErr w:type="spellEnd"/>
      <w:r w:rsidRPr="00B60C68">
        <w:t xml:space="preserve"> previa a crisis que encontramos empíricamente (señalada por $a&lt;0$ antes de eventos) se discutiría teóricamente: en un sistema financiero, $a&lt;0$ implica la coexistencia de un estado “normal” y uno “crítico” de fragilidad, con el sistema oscilando entre ellos (</w:t>
      </w:r>
      <w:proofErr w:type="spellStart"/>
      <w:r w:rsidRPr="00B60C68">
        <w:rPr>
          <w:i/>
          <w:iCs/>
        </w:rPr>
        <w:t>flickering</w:t>
      </w:r>
      <w:proofErr w:type="spellEnd"/>
      <w:r w:rsidRPr="00B60C68">
        <w:t xml:space="preserve">) antes de decantarse en la crisis. Presentaríamos soluciones de la ecuación diferencial para distintos $a, </w:t>
      </w:r>
      <w:proofErr w:type="spellStart"/>
      <w:r w:rsidRPr="00B60C68">
        <w:t>b$</w:t>
      </w:r>
      <w:proofErr w:type="spellEnd"/>
      <w:r w:rsidRPr="00B60C68">
        <w:t xml:space="preserve"> y demostraríamos, por ejemplo, que la </w:t>
      </w:r>
      <w:r w:rsidRPr="00B60C68">
        <w:rPr>
          <w:i/>
          <w:iCs/>
        </w:rPr>
        <w:t>duración</w:t>
      </w:r>
      <w:r w:rsidRPr="00B60C68">
        <w:t xml:space="preserve"> de oscilaciones (</w:t>
      </w:r>
      <w:proofErr w:type="spellStart"/>
      <w:r w:rsidRPr="00B60C68">
        <w:t>metastabilidad</w:t>
      </w:r>
      <w:proofErr w:type="spellEnd"/>
      <w:r w:rsidRPr="00B60C68">
        <w:t xml:space="preserve">) aumenta al acercarse a la cúspide. Esto enlaza con la siguiente </w:t>
      </w:r>
      <w:proofErr w:type="spellStart"/>
      <w:r w:rsidRPr="00B60C68">
        <w:t>sub-sección</w:t>
      </w:r>
      <w:proofErr w:type="spellEnd"/>
      <w:r w:rsidRPr="00B60C68">
        <w:t>.</w:t>
      </w:r>
    </w:p>
    <w:p w14:paraId="44B96556" w14:textId="77777777" w:rsidR="00B60C68" w:rsidRPr="00B60C68" w:rsidRDefault="00B60C68" w:rsidP="00B60C68">
      <w:pPr>
        <w:numPr>
          <w:ilvl w:val="0"/>
          <w:numId w:val="3"/>
        </w:numPr>
      </w:pPr>
      <w:r w:rsidRPr="00B60C68">
        <w:rPr>
          <w:b/>
          <w:bCs/>
        </w:rPr>
        <w:t>Ralentización Crítica y Autocorrelación</w:t>
      </w:r>
      <w:r w:rsidRPr="00B60C68">
        <w:t xml:space="preserve">: Usando el modelo anterior, es posible mostrar analíticamente el fenómeno de </w:t>
      </w:r>
      <w:r w:rsidRPr="00B60C68">
        <w:rPr>
          <w:b/>
          <w:bCs/>
        </w:rPr>
        <w:t>ralentización crítica</w:t>
      </w:r>
      <w:r w:rsidRPr="00B60C68">
        <w:t xml:space="preserve"> a medida que el sistema se aproxima a la bifurcación. Al </w:t>
      </w:r>
      <w:proofErr w:type="spellStart"/>
      <w:r w:rsidRPr="00B60C68">
        <w:t>linearizar</w:t>
      </w:r>
      <w:proofErr w:type="spellEnd"/>
      <w:r w:rsidRPr="00B60C68">
        <w:t xml:space="preserve"> la dinámica alrededor de un equilibrio estable $x^</w:t>
      </w:r>
      <w:r w:rsidRPr="00B60C68">
        <w:rPr>
          <w:i/>
          <w:iCs/>
        </w:rPr>
        <w:t xml:space="preserve">$ (supongamos el estado “normal” </w:t>
      </w:r>
      <w:proofErr w:type="spellStart"/>
      <w:r w:rsidRPr="00B60C68">
        <w:rPr>
          <w:i/>
          <w:iCs/>
        </w:rPr>
        <w:t>pre-crisis</w:t>
      </w:r>
      <w:proofErr w:type="spellEnd"/>
      <w:r w:rsidRPr="00B60C68">
        <w:rPr>
          <w:i/>
          <w:iCs/>
        </w:rPr>
        <w:t>), la ecuación puede aproximarse por $\</w:t>
      </w:r>
      <w:proofErr w:type="spellStart"/>
      <w:r w:rsidRPr="00B60C68">
        <w:rPr>
          <w:i/>
          <w:iCs/>
        </w:rPr>
        <w:t>dot</w:t>
      </w:r>
      <w:proofErr w:type="spellEnd"/>
      <w:r w:rsidRPr="00B60C68">
        <w:rPr>
          <w:i/>
          <w:iCs/>
        </w:rPr>
        <w:t>{\xi} \</w:t>
      </w:r>
      <w:proofErr w:type="spellStart"/>
      <w:r w:rsidRPr="00B60C68">
        <w:rPr>
          <w:i/>
          <w:iCs/>
        </w:rPr>
        <w:t>approx</w:t>
      </w:r>
      <w:proofErr w:type="spellEnd"/>
      <w:r w:rsidRPr="00B60C68">
        <w:rPr>
          <w:i/>
          <w:iCs/>
        </w:rPr>
        <w:t xml:space="preserve"> -\lambda, \xi$ para pequeñas desviaciones $\xi = x - x^</w:t>
      </w:r>
      <w:r w:rsidRPr="00B60C68">
        <w:t xml:space="preserve">$. </w:t>
      </w:r>
      <w:proofErr w:type="gramStart"/>
      <w:r w:rsidRPr="00B60C68">
        <w:t xml:space="preserve">El </w:t>
      </w:r>
      <w:r w:rsidRPr="00B60C68">
        <w:rPr>
          <w:b/>
          <w:bCs/>
        </w:rPr>
        <w:t>tasa</w:t>
      </w:r>
      <w:proofErr w:type="gramEnd"/>
      <w:r w:rsidRPr="00B60C68">
        <w:rPr>
          <w:b/>
          <w:bCs/>
        </w:rPr>
        <w:t xml:space="preserve"> de retorno</w:t>
      </w:r>
      <w:r w:rsidRPr="00B60C68">
        <w:t xml:space="preserve"> $\lambda$ (autovalor negativo del Jacobiano) depende de $a$. Cerca de la cúspide, $\lambda \</w:t>
      </w:r>
      <w:proofErr w:type="spellStart"/>
      <w:r w:rsidRPr="00B60C68">
        <w:t>to</w:t>
      </w:r>
      <w:proofErr w:type="spellEnd"/>
      <w:r w:rsidRPr="00B60C68">
        <w:t xml:space="preserve"> 0$, es decir, el sistema pierde estabilidad lineal. Matemáticamente demostraríamos que cuando $a \</w:t>
      </w:r>
      <w:proofErr w:type="spellStart"/>
      <w:r w:rsidRPr="00B60C68">
        <w:t>uparrow</w:t>
      </w:r>
      <w:proofErr w:type="spellEnd"/>
      <w:r w:rsidRPr="00B60C68">
        <w:t xml:space="preserve"> 0^-$ (desde valores negativos hacia 0), $\lambda \</w:t>
      </w:r>
      <w:proofErr w:type="spellStart"/>
      <w:r w:rsidRPr="00B60C68">
        <w:t>approx</w:t>
      </w:r>
      <w:proofErr w:type="spellEnd"/>
      <w:r w:rsidRPr="00B60C68">
        <w:t xml:space="preserve"> -a$ (en un análisis simplificado), lo que implica que $\lambda \</w:t>
      </w:r>
      <w:proofErr w:type="spellStart"/>
      <w:r w:rsidRPr="00B60C68">
        <w:t>to</w:t>
      </w:r>
      <w:proofErr w:type="spellEnd"/>
      <w:r w:rsidRPr="00B60C68">
        <w:t xml:space="preserve"> 0$ al acercarse la bifurcación</w:t>
      </w:r>
      <w:hyperlink r:id="rId15" w:anchor=":~:text=Early%20warning%20of%20climate%20tipping,indicating%20a%20tendency%20towards" w:tgtFrame="_blank" w:history="1">
        <w:r w:rsidRPr="00B60C68">
          <w:rPr>
            <w:rStyle w:val="Hipervnculo"/>
          </w:rPr>
          <w:t>royalsocietypublishing.org</w:t>
        </w:r>
      </w:hyperlink>
      <w:r w:rsidRPr="00B60C68">
        <w:t xml:space="preserve">. Consecuentemente, el </w:t>
      </w:r>
      <w:r w:rsidRPr="00B60C68">
        <w:rPr>
          <w:b/>
          <w:bCs/>
        </w:rPr>
        <w:t>tiempo de relajación</w:t>
      </w:r>
      <w:r w:rsidRPr="00B60C68">
        <w:t xml:space="preserve"> $\tau = 1/|\lambda|$ tiende a infinito: el sistema se recupera cada vez más lentamente de perturbaciones. Este es el fundamento de la ralentización crítica. Un resultado estándar de sistemas estocásticos cercanos a bifurcaciones es que la varianza y la autocorrelación de orden 1 cumplen aproximadamente:</w:t>
      </w:r>
    </w:p>
    <w:p w14:paraId="177160F9" w14:textId="2AA4AC5C" w:rsidR="00B60C68" w:rsidRPr="00B60C68" w:rsidRDefault="00B60C68" w:rsidP="00B60C68">
      <m:oMathPara>
        <m:oMath>
          <m:r>
            <m:rPr>
              <m:nor/>
            </m:rPr>
            <m:t>Var</m:t>
          </m:r>
          <m:r>
            <w:rPr>
              <w:rFonts w:ascii="Cambria Math" w:hAnsi="Cambria Math"/>
            </w:rPr>
            <m:t>(x)∝</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2λ</m:t>
              </m:r>
            </m:den>
          </m:f>
          <m:r>
            <w:rPr>
              <w:rFonts w:ascii="Cambria Math" w:hAnsi="Cambria Math"/>
            </w:rPr>
            <m:t>,</m:t>
          </m:r>
          <m:r>
            <m:rPr>
              <m:nor/>
            </m:rPr>
            <m:t>ACF</m:t>
          </m:r>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1+λ</m:t>
              </m:r>
              <m:r>
                <m:rPr>
                  <m:nor/>
                </m:rPr>
                <w:rPr>
                  <w:rFonts w:ascii="Arial" w:hAnsi="Arial" w:cs="Arial"/>
                </w:rPr>
                <m:t> </m:t>
              </m:r>
              <m:r>
                <m:rPr>
                  <m:sty m:val="p"/>
                </m:rPr>
                <w:rPr>
                  <w:rFonts w:ascii="Cambria Math" w:hAnsi="Cambria Math"/>
                </w:rPr>
                <m:t>Δ</m:t>
              </m:r>
              <m:r>
                <w:rPr>
                  <w:rFonts w:ascii="Cambria Math" w:hAnsi="Cambria Math"/>
                </w:rPr>
                <m:t>t</m:t>
              </m:r>
            </m:den>
          </m:f>
          <m:r>
            <w:rPr>
              <w:rFonts w:ascii="Cambria Math" w:hAnsi="Cambria Math"/>
            </w:rPr>
            <m:t>≈1-λ</m:t>
          </m:r>
          <m:r>
            <m:rPr>
              <m:nor/>
            </m:rPr>
            <w:rPr>
              <w:rFonts w:ascii="Arial" w:hAnsi="Arial" w:cs="Arial"/>
            </w:rPr>
            <m:t> </m:t>
          </m:r>
          <m:r>
            <m:rPr>
              <m:sty m:val="p"/>
            </m:rPr>
            <w:rPr>
              <w:rFonts w:ascii="Cambria Math" w:hAnsi="Cambria Math"/>
            </w:rPr>
            <m:t>Δ</m:t>
          </m:r>
          <m:r>
            <w:rPr>
              <w:rFonts w:ascii="Cambria Math" w:hAnsi="Cambria Math"/>
            </w:rPr>
            <m:t>t,</m:t>
          </m:r>
        </m:oMath>
      </m:oMathPara>
    </w:p>
    <w:p w14:paraId="73A1E3EE" w14:textId="77777777" w:rsidR="00B60C68" w:rsidRPr="00B60C68" w:rsidRDefault="00B60C68" w:rsidP="00B60C68">
      <w:r w:rsidRPr="00B60C68">
        <w:t>donde $\sigma$ es la desviación del ruido y $\Delta t$ el intervalo temporal</w:t>
      </w:r>
      <w:hyperlink r:id="rId16" w:anchor=":~:text=Science%20www,e.g.%2C" w:tgtFrame="_blank" w:history="1">
        <w:r w:rsidRPr="00B60C68">
          <w:rPr>
            <w:rStyle w:val="Hipervnculo"/>
          </w:rPr>
          <w:t>science.org</w:t>
        </w:r>
      </w:hyperlink>
      <w:r w:rsidRPr="00B60C68">
        <w:t>. A medida que $\lambda \</w:t>
      </w:r>
      <w:proofErr w:type="spellStart"/>
      <w:r w:rsidRPr="00B60C68">
        <w:t>to</w:t>
      </w:r>
      <w:proofErr w:type="spellEnd"/>
      <w:r w:rsidRPr="00B60C68">
        <w:t xml:space="preserve"> 0$, $\</w:t>
      </w:r>
      <w:proofErr w:type="spellStart"/>
      <w:proofErr w:type="gramStart"/>
      <w:r w:rsidRPr="00B60C68">
        <w:t>text</w:t>
      </w:r>
      <w:proofErr w:type="spellEnd"/>
      <w:r w:rsidRPr="00B60C68">
        <w:t>{</w:t>
      </w:r>
      <w:proofErr w:type="gramEnd"/>
      <w:r w:rsidRPr="00B60C68">
        <w:t>Var}(x)$ se dispara (diverge) y $\</w:t>
      </w:r>
      <w:proofErr w:type="spellStart"/>
      <w:proofErr w:type="gramStart"/>
      <w:r w:rsidRPr="00B60C68">
        <w:t>text</w:t>
      </w:r>
      <w:proofErr w:type="spellEnd"/>
      <w:r w:rsidRPr="00B60C68">
        <w:t>{</w:t>
      </w:r>
      <w:proofErr w:type="gramEnd"/>
      <w:r w:rsidRPr="00B60C68">
        <w:t>ACF</w:t>
      </w:r>
      <w:proofErr w:type="gramStart"/>
      <w:r w:rsidRPr="00B60C68">
        <w:t>}(</w:t>
      </w:r>
      <w:proofErr w:type="gramEnd"/>
      <w:r w:rsidRPr="00B60C68">
        <w:t>1) \</w:t>
      </w:r>
      <w:proofErr w:type="spellStart"/>
      <w:r w:rsidRPr="00B60C68">
        <w:t>to</w:t>
      </w:r>
      <w:proofErr w:type="spellEnd"/>
      <w:r w:rsidRPr="00B60C68">
        <w:t xml:space="preserve"> 1$. En el artículo, incluiríamos esta derivación para mostrar que </w:t>
      </w:r>
      <w:r w:rsidRPr="00B60C68">
        <w:rPr>
          <w:b/>
          <w:bCs/>
        </w:rPr>
        <w:t>un aumento observado en ACF y varianza</w:t>
      </w:r>
      <w:r w:rsidRPr="00B60C68">
        <w:t xml:space="preserve"> (como el capturado por nuestros indicadores $</w:t>
      </w:r>
      <w:proofErr w:type="spellStart"/>
      <w:r w:rsidRPr="00B60C68">
        <w:t>ACF_t</w:t>
      </w:r>
      <w:proofErr w:type="spellEnd"/>
      <w:r w:rsidRPr="00B60C68">
        <w:t>$ y $</w:t>
      </w:r>
      <w:proofErr w:type="spellStart"/>
      <w:r w:rsidRPr="00B60C68">
        <w:t>Var_t</w:t>
      </w:r>
      <w:proofErr w:type="spellEnd"/>
      <w:r w:rsidRPr="00B60C68">
        <w:t xml:space="preserve">$) es consistente con acercarse a una bifurcación de tipo cúspide. De hecho, estos indicadores actuarían como </w:t>
      </w:r>
      <w:r w:rsidRPr="00B60C68">
        <w:rPr>
          <w:b/>
          <w:bCs/>
        </w:rPr>
        <w:t>señales genéricas</w:t>
      </w:r>
      <w:r w:rsidRPr="00B60C68">
        <w:t xml:space="preserve"> de alerta temprana, una teoría que ha sido aplicada en ecología y clima, y aquí adaptamos formalmente a finanzas</w:t>
      </w:r>
      <w:hyperlink r:id="rId17" w:anchor=":~:text=Science%20www,e.g.%2C" w:tgtFrame="_blank" w:history="1">
        <w:r w:rsidRPr="00B60C68">
          <w:rPr>
            <w:rStyle w:val="Hipervnculo"/>
          </w:rPr>
          <w:t>science.org</w:t>
        </w:r>
      </w:hyperlink>
      <w:r w:rsidRPr="00B60C68">
        <w:t xml:space="preserve">. Además, podríamos demostrar cómo </w:t>
      </w:r>
      <w:r w:rsidRPr="00B60C68">
        <w:rPr>
          <w:b/>
          <w:bCs/>
        </w:rPr>
        <w:t>pequeñas oscilaciones entre estados</w:t>
      </w:r>
      <w:r w:rsidRPr="00B60C68">
        <w:t xml:space="preserve"> (</w:t>
      </w:r>
      <w:proofErr w:type="spellStart"/>
      <w:r w:rsidRPr="00B60C68">
        <w:t>flickering</w:t>
      </w:r>
      <w:proofErr w:type="spellEnd"/>
      <w:r w:rsidRPr="00B60C68">
        <w:t xml:space="preserve">) ocurren cuando el sistema está en la región de </w:t>
      </w:r>
      <w:proofErr w:type="spellStart"/>
      <w:r w:rsidRPr="00B60C68">
        <w:t>bistabilidad</w:t>
      </w:r>
      <w:proofErr w:type="spellEnd"/>
      <w:r w:rsidRPr="00B60C68">
        <w:t xml:space="preserve"> con $a&lt;0$: allí, la presencia de ruido $\sigma$ puede hacer que $x(t)$ salte intermitentemente entre los dos pozos del potencial, generando autocorrelación alta y episodios de alta varianza alternando con calma. Este </w:t>
      </w:r>
      <w:proofErr w:type="spellStart"/>
      <w:r w:rsidRPr="00B60C68">
        <w:rPr>
          <w:i/>
          <w:iCs/>
        </w:rPr>
        <w:t>flickering</w:t>
      </w:r>
      <w:proofErr w:type="spellEnd"/>
      <w:r w:rsidRPr="00B60C68">
        <w:t xml:space="preserve"> creciente previo a la transición es justamente lo que reportamos cualitativamente en nuestros resultados, y aquí se fundamentaría con las ecuaciones estocásticas correspondientes (p.ej., agregando un término de ruido blanco $\sigma, </w:t>
      </w:r>
      <w:proofErr w:type="spellStart"/>
      <w:r w:rsidRPr="00B60C68">
        <w:t>dW_t</w:t>
      </w:r>
      <w:proofErr w:type="spellEnd"/>
      <w:r w:rsidRPr="00B60C68">
        <w:t>$ a $\</w:t>
      </w:r>
      <w:proofErr w:type="spellStart"/>
      <w:r w:rsidRPr="00B60C68">
        <w:t>dot</w:t>
      </w:r>
      <w:proofErr w:type="spellEnd"/>
      <w:r w:rsidRPr="00B60C68">
        <w:t>{x}$ y analizando distribución estacionaria bimodal).</w:t>
      </w:r>
    </w:p>
    <w:p w14:paraId="24B21980" w14:textId="77777777" w:rsidR="00B60C68" w:rsidRPr="00B60C68" w:rsidRDefault="00B60C68" w:rsidP="00B60C68">
      <w:pPr>
        <w:numPr>
          <w:ilvl w:val="0"/>
          <w:numId w:val="3"/>
        </w:numPr>
      </w:pPr>
      <w:r w:rsidRPr="00B60C68">
        <w:rPr>
          <w:b/>
          <w:bCs/>
        </w:rPr>
        <w:t xml:space="preserve">Sincronización de </w:t>
      </w:r>
      <w:proofErr w:type="spellStart"/>
      <w:r w:rsidRPr="00B60C68">
        <w:rPr>
          <w:b/>
          <w:bCs/>
        </w:rPr>
        <w:t>Kuramoto</w:t>
      </w:r>
      <w:proofErr w:type="spellEnd"/>
      <w:r w:rsidRPr="00B60C68">
        <w:rPr>
          <w:b/>
          <w:bCs/>
        </w:rPr>
        <w:t xml:space="preserve"> en Múltiples Escalas</w:t>
      </w:r>
      <w:r w:rsidRPr="00B60C68">
        <w:t xml:space="preserve">: Otro componente matemático novedoso es la idea de </w:t>
      </w:r>
      <w:r w:rsidRPr="00B60C68">
        <w:rPr>
          <w:b/>
          <w:bCs/>
        </w:rPr>
        <w:t>relatividad económica temporal</w:t>
      </w:r>
      <w:r w:rsidRPr="00B60C68">
        <w:t xml:space="preserve">, formalizada vía la </w:t>
      </w:r>
      <w:r w:rsidRPr="00B60C68">
        <w:lastRenderedPageBreak/>
        <w:t>sincronización de fases. En la práctica, calculamos $</w:t>
      </w:r>
      <w:proofErr w:type="spellStart"/>
      <w:r w:rsidRPr="00B60C68">
        <w:t>S_t</w:t>
      </w:r>
      <w:proofErr w:type="spellEnd"/>
      <w:r w:rsidRPr="00B60C68">
        <w:t xml:space="preserve">$ como el </w:t>
      </w:r>
      <w:r w:rsidRPr="00B60C68">
        <w:rPr>
          <w:b/>
          <w:bCs/>
        </w:rPr>
        <w:t>orden de sincronización</w:t>
      </w:r>
      <w:r w:rsidRPr="00B60C68">
        <w:t xml:space="preserve"> de </w:t>
      </w:r>
      <w:proofErr w:type="spellStart"/>
      <w:r w:rsidRPr="00B60C68">
        <w:t>Kuramoto</w:t>
      </w:r>
      <w:proofErr w:type="spellEnd"/>
      <w:r w:rsidRPr="00B60C68">
        <w:t>: si $\</w:t>
      </w:r>
      <w:proofErr w:type="spellStart"/>
      <w:r w:rsidRPr="00B60C68">
        <w:t>theta_i</w:t>
      </w:r>
      <w:proofErr w:type="spellEnd"/>
      <w:r w:rsidRPr="00B60C68">
        <w:t>(t)$ representa la fase o ritmo de fragilidad de la escala temporal $i$-</w:t>
      </w:r>
      <w:proofErr w:type="spellStart"/>
      <w:r w:rsidRPr="00B60C68">
        <w:t>ésima</w:t>
      </w:r>
      <w:proofErr w:type="spellEnd"/>
      <w:r w:rsidRPr="00B60C68">
        <w:t xml:space="preserve"> (por ejemplo, podríamos definir fases para bandas </w:t>
      </w:r>
      <w:proofErr w:type="spellStart"/>
      <w:r w:rsidRPr="00B60C68">
        <w:rPr>
          <w:i/>
          <w:iCs/>
        </w:rPr>
        <w:t>slow</w:t>
      </w:r>
      <w:proofErr w:type="spellEnd"/>
      <w:r w:rsidRPr="00B60C68">
        <w:rPr>
          <w:i/>
          <w:iCs/>
        </w:rPr>
        <w:t xml:space="preserve">, </w:t>
      </w:r>
      <w:proofErr w:type="spellStart"/>
      <w:r w:rsidRPr="00B60C68">
        <w:rPr>
          <w:i/>
          <w:iCs/>
        </w:rPr>
        <w:t>medium</w:t>
      </w:r>
      <w:proofErr w:type="spellEnd"/>
      <w:r w:rsidRPr="00B60C68">
        <w:rPr>
          <w:i/>
          <w:iCs/>
        </w:rPr>
        <w:t xml:space="preserve">, </w:t>
      </w:r>
      <w:proofErr w:type="spellStart"/>
      <w:r w:rsidRPr="00B60C68">
        <w:rPr>
          <w:i/>
          <w:iCs/>
        </w:rPr>
        <w:t>fast</w:t>
      </w:r>
      <w:proofErr w:type="spellEnd"/>
      <w:r w:rsidRPr="00B60C68">
        <w:t xml:space="preserve"> o incluso para distintos mercados o regiones), entonces:</w:t>
      </w:r>
    </w:p>
    <w:p w14:paraId="5F88F6AD" w14:textId="4993C4AC" w:rsidR="00B60C68" w:rsidRPr="00B60C68" w:rsidRDefault="00B60C68" w:rsidP="00B60C68">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nary>
          <m:sSup>
            <m:sSupPr>
              <m:ctrlPr>
                <w:rPr>
                  <w:rFonts w:ascii="Cambria Math" w:hAnsi="Cambria Math"/>
                </w:rPr>
              </m:ctrlPr>
            </m:sSupPr>
            <m:e>
              <m:r>
                <w:rPr>
                  <w:rFonts w:ascii="Cambria Math" w:hAnsi="Cambria Math"/>
                </w:rPr>
                <m:t>e</m:t>
              </m:r>
            </m:e>
            <m:sup>
              <m:r>
                <w:rPr>
                  <w:rFonts w:ascii="Cambria Math" w:hAnsi="Cambria Math"/>
                </w:rPr>
                <m:t>j</m:t>
              </m:r>
              <m:r>
                <m:rPr>
                  <m:nor/>
                </m:rPr>
                <w:rPr>
                  <w:rFonts w:ascii="Arial" w:hAnsi="Arial" w:cs="Arial"/>
                </w:rPr>
                <m:t> </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(t)</m:t>
              </m:r>
            </m:sup>
          </m:sSup>
          <m:r>
            <w:rPr>
              <w:rFonts w:ascii="Cambria Math" w:hAnsi="Cambria Math"/>
            </w:rPr>
            <m:t>∣,</m:t>
          </m:r>
        </m:oMath>
      </m:oMathPara>
    </w:p>
    <w:p w14:paraId="246C2703" w14:textId="77777777" w:rsidR="00B60C68" w:rsidRPr="00B60C68" w:rsidRDefault="00B60C68" w:rsidP="00B60C68">
      <w:r w:rsidRPr="00B60C68">
        <w:t xml:space="preserve">donde $0 \le </w:t>
      </w:r>
      <w:proofErr w:type="spellStart"/>
      <w:r w:rsidRPr="00B60C68">
        <w:t>S_t</w:t>
      </w:r>
      <w:proofErr w:type="spellEnd"/>
      <w:r w:rsidRPr="00B60C68">
        <w:t xml:space="preserve"> \le 1$ mide la </w:t>
      </w:r>
      <w:r w:rsidRPr="00B60C68">
        <w:rPr>
          <w:b/>
          <w:bCs/>
        </w:rPr>
        <w:t>coherencia</w:t>
      </w:r>
      <w:r w:rsidRPr="00B60C68">
        <w:t xml:space="preserve"> entre osciladores. Incluiremos la derivación de cómo obtenemos $\</w:t>
      </w:r>
      <w:proofErr w:type="spellStart"/>
      <w:r w:rsidRPr="00B60C68">
        <w:t>theta_i</w:t>
      </w:r>
      <w:proofErr w:type="spellEnd"/>
      <w:r w:rsidRPr="00B60C68">
        <w:t>(t)$ de nuestras señales financieras. Por ejemplo, si usamos la transformada wavelet o de Hilbert para obtener fases instantáneas de las componentes de distintas frecuencias, cada banda de frecuencia del sistema tendría una fase $\theta_{\</w:t>
      </w:r>
      <w:proofErr w:type="spellStart"/>
      <w:r w:rsidRPr="00B60C68">
        <w:t>text</w:t>
      </w:r>
      <w:proofErr w:type="spellEnd"/>
      <w:r w:rsidRPr="00B60C68">
        <w:t>{</w:t>
      </w:r>
      <w:proofErr w:type="spellStart"/>
      <w:r w:rsidRPr="00B60C68">
        <w:t>fast</w:t>
      </w:r>
      <w:proofErr w:type="spellEnd"/>
      <w:proofErr w:type="gramStart"/>
      <w:r w:rsidRPr="00B60C68">
        <w:t>}}(</w:t>
      </w:r>
      <w:proofErr w:type="gramEnd"/>
      <w:r w:rsidRPr="00B60C68">
        <w:t>t), \theta_{\</w:t>
      </w:r>
      <w:proofErr w:type="spellStart"/>
      <w:r w:rsidRPr="00B60C68">
        <w:t>text</w:t>
      </w:r>
      <w:proofErr w:type="spellEnd"/>
      <w:r w:rsidRPr="00B60C68">
        <w:t>{</w:t>
      </w:r>
      <w:proofErr w:type="spellStart"/>
      <w:r w:rsidRPr="00B60C68">
        <w:t>medium</w:t>
      </w:r>
      <w:proofErr w:type="spellEnd"/>
      <w:proofErr w:type="gramStart"/>
      <w:r w:rsidRPr="00B60C68">
        <w:t>}}(</w:t>
      </w:r>
      <w:proofErr w:type="gramEnd"/>
      <w:r w:rsidRPr="00B60C68">
        <w:t>t), \theta_{\</w:t>
      </w:r>
      <w:proofErr w:type="spellStart"/>
      <w:r w:rsidRPr="00B60C68">
        <w:t>text</w:t>
      </w:r>
      <w:proofErr w:type="spellEnd"/>
      <w:r w:rsidRPr="00B60C68">
        <w:t>{</w:t>
      </w:r>
      <w:proofErr w:type="spellStart"/>
      <w:r w:rsidRPr="00B60C68">
        <w:t>slow</w:t>
      </w:r>
      <w:proofErr w:type="spellEnd"/>
      <w:proofErr w:type="gramStart"/>
      <w:r w:rsidRPr="00B60C68">
        <w:t>}}(</w:t>
      </w:r>
      <w:proofErr w:type="gramEnd"/>
      <w:r w:rsidRPr="00B60C68">
        <w:t>t)$. Cuando la diferencia de fase entre ellas tiende a cero, las escalas se sincronizan ($</w:t>
      </w:r>
      <w:proofErr w:type="spellStart"/>
      <w:r w:rsidRPr="00B60C68">
        <w:t>S_t</w:t>
      </w:r>
      <w:proofErr w:type="spellEnd"/>
      <w:r w:rsidRPr="00B60C68">
        <w:t xml:space="preserve"> \</w:t>
      </w:r>
      <w:proofErr w:type="spellStart"/>
      <w:r w:rsidRPr="00B60C68">
        <w:t>to</w:t>
      </w:r>
      <w:proofErr w:type="spellEnd"/>
      <w:r w:rsidRPr="00B60C68">
        <w:t xml:space="preserve"> 1$). Matemáticamente, el </w:t>
      </w:r>
      <w:r w:rsidRPr="00B60C68">
        <w:rPr>
          <w:b/>
          <w:bCs/>
        </w:rPr>
        <w:t xml:space="preserve">modelo de </w:t>
      </w:r>
      <w:proofErr w:type="spellStart"/>
      <w:r w:rsidRPr="00B60C68">
        <w:rPr>
          <w:b/>
          <w:bCs/>
        </w:rPr>
        <w:t>Kuramoto</w:t>
      </w:r>
      <w:proofErr w:type="spellEnd"/>
      <w:r w:rsidRPr="00B60C68">
        <w:t xml:space="preserve"> clásico se define por un conjunto de ecuaciones acopladas:</w:t>
      </w:r>
    </w:p>
    <w:p w14:paraId="64216199" w14:textId="40E4B313" w:rsidR="00B60C68" w:rsidRPr="00B60C68" w:rsidRDefault="00B60C68" w:rsidP="00B60C68">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θ</m:t>
                  </m:r>
                </m:e>
                <m:sub>
                  <m:r>
                    <w:rPr>
                      <w:rFonts w:ascii="Cambria Math" w:hAnsi="Cambria Math"/>
                    </w:rPr>
                    <m:t>i</m:t>
                  </m:r>
                </m:sub>
              </m:sSub>
            </m:e>
          </m:acc>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den>
          </m:f>
          <m:nary>
            <m:naryPr>
              <m:chr m:val="∑"/>
              <m:limLoc m:val="subSup"/>
              <m:grow m:val="1"/>
              <m:supHide m:val="1"/>
              <m:ctrlPr>
                <w:rPr>
                  <w:rFonts w:ascii="Cambria Math" w:hAnsi="Cambria Math"/>
                </w:rPr>
              </m:ctrlPr>
            </m:naryPr>
            <m:sub>
              <m:r>
                <w:rPr>
                  <w:rFonts w:ascii="Cambria Math" w:hAnsi="Cambria Math"/>
                </w:rPr>
                <m:t>j</m:t>
              </m:r>
            </m:sub>
            <m:sup/>
            <m:e/>
          </m:nary>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oMath>
      </m:oMathPara>
    </w:p>
    <w:p w14:paraId="6FAA1DAB" w14:textId="77777777" w:rsidR="00B60C68" w:rsidRPr="00B60C68" w:rsidRDefault="00B60C68" w:rsidP="00B60C68">
      <w:r w:rsidRPr="00B60C68">
        <w:t>donde $\</w:t>
      </w:r>
      <w:proofErr w:type="spellStart"/>
      <w:r w:rsidRPr="00B60C68">
        <w:t>omega_i</w:t>
      </w:r>
      <w:proofErr w:type="spellEnd"/>
      <w:r w:rsidRPr="00B60C68">
        <w:t>$ es la frecuencia natural del $i$-</w:t>
      </w:r>
      <w:proofErr w:type="spellStart"/>
      <w:r w:rsidRPr="00B60C68">
        <w:t>ésimo</w:t>
      </w:r>
      <w:proofErr w:type="spellEnd"/>
      <w:r w:rsidRPr="00B60C68">
        <w:t xml:space="preserve"> oscilador y $K$ es el acoplamiento. En nuestro contexto, podríamos interpretar que en periodos normales las distintas partes del mercado ($i$) oscilan con sus propias frecuencias (</w:t>
      </w:r>
      <w:proofErr w:type="spellStart"/>
      <w:r w:rsidRPr="00B60C68">
        <w:rPr>
          <w:i/>
          <w:iCs/>
        </w:rPr>
        <w:t>investors</w:t>
      </w:r>
      <w:proofErr w:type="spellEnd"/>
      <w:r w:rsidRPr="00B60C68">
        <w:rPr>
          <w:i/>
          <w:iCs/>
        </w:rPr>
        <w:t xml:space="preserve"> con horizontes distintos, mercados con ritmos distintos</w:t>
      </w:r>
      <w:r w:rsidRPr="00B60C68">
        <w:t xml:space="preserve">), pero ante una crisis inminente aumenta el </w:t>
      </w:r>
      <w:r w:rsidRPr="00B60C68">
        <w:rPr>
          <w:b/>
          <w:bCs/>
        </w:rPr>
        <w:t>acoplamiento sistémico</w:t>
      </w:r>
      <w:r w:rsidRPr="00B60C68">
        <w:t xml:space="preserve"> (por factores como pánico generalizado, arbitraje entre mercados, flujo de información común), equivalente a un $K$ efectivo creciente. Cuando $K$ excede cierto umbral, el sistema de </w:t>
      </w:r>
      <w:proofErr w:type="spellStart"/>
      <w:r w:rsidRPr="00B60C68">
        <w:t>Kuramoto</w:t>
      </w:r>
      <w:proofErr w:type="spellEnd"/>
      <w:r w:rsidRPr="00B60C68">
        <w:t xml:space="preserve"> entra en sincronía y $</w:t>
      </w:r>
      <w:proofErr w:type="spellStart"/>
      <w:r w:rsidRPr="00B60C68">
        <w:t>S_t</w:t>
      </w:r>
      <w:proofErr w:type="spellEnd"/>
      <w:r w:rsidRPr="00B60C68">
        <w:t xml:space="preserve">$ se aproxima a 1. En la publicación, argumentaríamos cómo un </w:t>
      </w:r>
      <w:r w:rsidRPr="00B60C68">
        <w:rPr>
          <w:b/>
          <w:bCs/>
        </w:rPr>
        <w:t>aumento en $</w:t>
      </w:r>
      <w:proofErr w:type="spellStart"/>
      <w:r w:rsidRPr="00B60C68">
        <w:rPr>
          <w:b/>
          <w:bCs/>
        </w:rPr>
        <w:t>S_t</w:t>
      </w:r>
      <w:proofErr w:type="spellEnd"/>
      <w:r w:rsidRPr="00B60C68">
        <w:rPr>
          <w:b/>
          <w:bCs/>
        </w:rPr>
        <w:t>$</w:t>
      </w:r>
      <w:r w:rsidRPr="00B60C68">
        <w:t xml:space="preserve"> señaliza que las dinámicas financieras de distintas escalas u orígenes se están </w:t>
      </w:r>
      <w:r w:rsidRPr="00B60C68">
        <w:rPr>
          <w:b/>
          <w:bCs/>
        </w:rPr>
        <w:t>entrelazando</w:t>
      </w:r>
      <w:r w:rsidRPr="00B60C68">
        <w:t>, lo cual es consistente con observaciones empíricas de que antes de crisis mayores, la correlación entre activos dispares tiende a subir (</w:t>
      </w:r>
      <w:r w:rsidRPr="00B60C68">
        <w:rPr>
          <w:i/>
          <w:iCs/>
        </w:rPr>
        <w:t>todos caen juntos</w:t>
      </w:r>
      <w:r w:rsidRPr="00B60C68">
        <w:t xml:space="preserve">). Este fenómeno es complementario a la cúspide: la sincronización describe </w:t>
      </w:r>
      <w:r w:rsidRPr="00B60C68">
        <w:rPr>
          <w:i/>
          <w:iCs/>
        </w:rPr>
        <w:t>cómo</w:t>
      </w:r>
      <w:r w:rsidRPr="00B60C68">
        <w:t xml:space="preserve"> diferentes componentes se alinean simultáneamente, posiblemente contribuyendo a que todo el sistema alcance la bifurcación de manera conjunta. Presentaríamos quizás soluciones analíticas aproximadas del modelo de </w:t>
      </w:r>
      <w:proofErr w:type="spellStart"/>
      <w:r w:rsidRPr="00B60C68">
        <w:t>Kuramoto</w:t>
      </w:r>
      <w:proofErr w:type="spellEnd"/>
      <w:r w:rsidRPr="00B60C68">
        <w:t xml:space="preserve"> en el límite $N=3$ (tres bandas de tiempo) para ilustrar en qué condiciones ocurre la sincronización completa. Asimismo, podríamos conectar $</w:t>
      </w:r>
      <w:proofErr w:type="spellStart"/>
      <w:r w:rsidRPr="00B60C68">
        <w:t>S_t</w:t>
      </w:r>
      <w:proofErr w:type="spellEnd"/>
      <w:r w:rsidRPr="00B60C68">
        <w:t xml:space="preserve">$ con medidas de </w:t>
      </w:r>
      <w:r w:rsidRPr="00B60C68">
        <w:rPr>
          <w:b/>
          <w:bCs/>
        </w:rPr>
        <w:t>entropía de sincronización</w:t>
      </w:r>
      <w:r w:rsidRPr="00B60C68">
        <w:t xml:space="preserve"> </w:t>
      </w:r>
      <w:proofErr w:type="spellStart"/>
      <w:r w:rsidRPr="00B60C68">
        <w:t>o</w:t>
      </w:r>
      <w:proofErr w:type="spellEnd"/>
      <w:r w:rsidRPr="00B60C68">
        <w:t xml:space="preserve"> </w:t>
      </w:r>
      <w:r w:rsidRPr="00B60C68">
        <w:rPr>
          <w:b/>
          <w:bCs/>
        </w:rPr>
        <w:t>orden/desorden</w:t>
      </w:r>
      <w:r w:rsidRPr="00B60C68">
        <w:t xml:space="preserve"> en el sistema, mostrando que $</w:t>
      </w:r>
      <w:proofErr w:type="spellStart"/>
      <w:r w:rsidRPr="00B60C68">
        <w:t>S_t</w:t>
      </w:r>
      <w:proofErr w:type="spellEnd"/>
      <w:r w:rsidRPr="00B60C68">
        <w:t>$ cerca de 1 implica pérdida de dimensionalidad efectiva del sistema (todas las escalas colapsan en una sola dinámica dominante), lo cual puede facilitar grandes oscilaciones colectivas (crisis).</w:t>
      </w:r>
    </w:p>
    <w:p w14:paraId="6C412952" w14:textId="77777777" w:rsidR="00B60C68" w:rsidRPr="00B60C68" w:rsidRDefault="00B60C68" w:rsidP="00B60C68">
      <w:pPr>
        <w:numPr>
          <w:ilvl w:val="0"/>
          <w:numId w:val="3"/>
        </w:numPr>
      </w:pPr>
      <w:r w:rsidRPr="00B60C68">
        <w:rPr>
          <w:b/>
          <w:bCs/>
        </w:rPr>
        <w:t>Conexión Integral del Modelo</w:t>
      </w:r>
      <w:r w:rsidRPr="00B60C68">
        <w:t>: Finalmente, después de derivar individualmente estos componentes, proveeríamos una visión unificada en términos de ecuaciones. Podríamos proponer un sistema acoplado sencillo que combine: una variable de estado agregada $x(t)$ con dinámica de cúspide, y quizás dos variables auxiliares para las fases rápida y lenta $\theta_{\</w:t>
      </w:r>
      <w:proofErr w:type="spellStart"/>
      <w:r w:rsidRPr="00B60C68">
        <w:t>text</w:t>
      </w:r>
      <w:proofErr w:type="spellEnd"/>
      <w:r w:rsidRPr="00B60C68">
        <w:t>{</w:t>
      </w:r>
      <w:proofErr w:type="spellStart"/>
      <w:r w:rsidRPr="00B60C68">
        <w:t>fast</w:t>
      </w:r>
      <w:proofErr w:type="spellEnd"/>
      <w:r w:rsidRPr="00B60C68">
        <w:t>}}, \theta_{\</w:t>
      </w:r>
      <w:proofErr w:type="spellStart"/>
      <w:r w:rsidRPr="00B60C68">
        <w:t>text</w:t>
      </w:r>
      <w:proofErr w:type="spellEnd"/>
      <w:r w:rsidRPr="00B60C68">
        <w:t>{</w:t>
      </w:r>
      <w:proofErr w:type="spellStart"/>
      <w:r w:rsidRPr="00B60C68">
        <w:t>slow</w:t>
      </w:r>
      <w:proofErr w:type="spellEnd"/>
      <w:proofErr w:type="gramStart"/>
      <w:r w:rsidRPr="00B60C68">
        <w:t>}}$</w:t>
      </w:r>
      <w:proofErr w:type="gramEnd"/>
      <w:r w:rsidRPr="00B60C68">
        <w:t xml:space="preserve"> acopladas tipo </w:t>
      </w:r>
      <w:proofErr w:type="spellStart"/>
      <w:r w:rsidRPr="00B60C68">
        <w:t>Kuramoto</w:t>
      </w:r>
      <w:proofErr w:type="spellEnd"/>
      <w:r w:rsidRPr="00B60C68">
        <w:t xml:space="preserve">. Esto resultaría en un </w:t>
      </w:r>
      <w:r w:rsidRPr="00B60C68">
        <w:rPr>
          <w:b/>
          <w:bCs/>
        </w:rPr>
        <w:t>modelo de ecuaciones diferenciales</w:t>
      </w:r>
      <w:r w:rsidRPr="00B60C68">
        <w:t xml:space="preserve"> conceptual del tipo:</w:t>
      </w:r>
    </w:p>
    <w:p w14:paraId="1ADB26E7" w14:textId="6ED861FD" w:rsidR="00B60C68" w:rsidRPr="00B60C68" w:rsidRDefault="00B60C68" w:rsidP="00B60C68">
      <m:oMathPara>
        <m:oMath>
          <m:r>
            <w:rPr>
              <w:rFonts w:ascii="Cambria Math" w:hAnsi="Cambria Math"/>
            </w:rPr>
            <w:lastRenderedPageBreak/>
            <m:t>{</m:t>
          </m:r>
          <m:eqArr>
            <m:eqArrPr>
              <m:ctrlPr>
                <w:rPr>
                  <w:rFonts w:ascii="Cambria Math" w:hAnsi="Cambria Math"/>
                </w:rPr>
              </m:ctrlPr>
            </m:eqArrPr>
            <m:e>
              <m:acc>
                <m:accPr>
                  <m:chr m:val="̇"/>
                  <m:ctrlPr>
                    <w:rPr>
                      <w:rFonts w:ascii="Cambria Math" w:hAnsi="Cambria Math"/>
                    </w:rPr>
                  </m:ctrlPr>
                </m:accPr>
                <m:e>
                  <m:r>
                    <w:rPr>
                      <w:rFonts w:ascii="Cambria Math" w:hAnsi="Cambria Math"/>
                    </w:rPr>
                    <m:t>x</m:t>
                  </m:r>
                </m:e>
              </m:acc>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+a(t)</m:t>
              </m:r>
              <m:r>
                <m:rPr>
                  <m:nor/>
                </m:rPr>
                <w:rPr>
                  <w:rFonts w:ascii="Arial" w:hAnsi="Arial" w:cs="Arial"/>
                </w:rPr>
                <m:t> </m:t>
              </m:r>
              <m:r>
                <w:rPr>
                  <w:rFonts w:ascii="Cambria Math" w:hAnsi="Cambria Math"/>
                </w:rPr>
                <m:t>x+b(t))+ϵ</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m:rPr>
                      <m:nor/>
                    </m:rPr>
                    <m:t>slow</m:t>
                  </m:r>
                </m:sub>
              </m:sSub>
              <m:r>
                <w:rPr>
                  <w:rFonts w:ascii="Cambria Math" w:hAnsi="Cambria Math"/>
                </w:rPr>
                <m:t>-</m:t>
              </m:r>
              <m:sSub>
                <m:sSubPr>
                  <m:ctrlPr>
                    <w:rPr>
                      <w:rFonts w:ascii="Cambria Math" w:hAnsi="Cambria Math"/>
                    </w:rPr>
                  </m:ctrlPr>
                </m:sSubPr>
                <m:e>
                  <m:r>
                    <w:rPr>
                      <w:rFonts w:ascii="Cambria Math" w:hAnsi="Cambria Math"/>
                    </w:rPr>
                    <m:t>θ</m:t>
                  </m:r>
                </m:e>
                <m:sub>
                  <m:r>
                    <m:rPr>
                      <m:nor/>
                    </m:rPr>
                    <m:t>fast</m:t>
                  </m:r>
                </m:sub>
              </m:sSub>
              <m:r>
                <w:rPr>
                  <w:rFonts w:ascii="Cambria Math" w:hAnsi="Cambria Math"/>
                </w:rPr>
                <m:t>),</m:t>
              </m:r>
            </m:e>
            <m:e>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nor/>
                    </m:rPr>
                    <m:t>slow</m:t>
                  </m:r>
                </m:sub>
              </m:sSub>
              <m:r>
                <w:rPr>
                  <w:rFonts w:ascii="Cambria Math" w:hAnsi="Cambria Math"/>
                </w:rPr>
                <m:t>=</m:t>
              </m:r>
              <m:sSub>
                <m:sSubPr>
                  <m:ctrlPr>
                    <w:rPr>
                      <w:rFonts w:ascii="Cambria Math" w:hAnsi="Cambria Math"/>
                    </w:rPr>
                  </m:ctrlPr>
                </m:sSubPr>
                <m:e>
                  <m:r>
                    <w:rPr>
                      <w:rFonts w:ascii="Cambria Math" w:hAnsi="Cambria Math"/>
                    </w:rPr>
                    <m:t>ω</m:t>
                  </m:r>
                </m:e>
                <m:sub>
                  <m:r>
                    <m:rPr>
                      <m:nor/>
                    </m:rPr>
                    <m:t>slow</m:t>
                  </m:r>
                </m:sub>
              </m:sSub>
              <m:r>
                <w:rPr>
                  <w:rFonts w:ascii="Cambria Math" w:hAnsi="Cambria Math"/>
                </w:rPr>
                <m:t>+K</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m:rPr>
                      <m:nor/>
                    </m:rPr>
                    <m:t>fast</m:t>
                  </m:r>
                </m:sub>
              </m:sSub>
              <m:r>
                <w:rPr>
                  <w:rFonts w:ascii="Cambria Math" w:hAnsi="Cambria Math"/>
                </w:rPr>
                <m:t>-</m:t>
              </m:r>
              <m:sSub>
                <m:sSubPr>
                  <m:ctrlPr>
                    <w:rPr>
                      <w:rFonts w:ascii="Cambria Math" w:hAnsi="Cambria Math"/>
                    </w:rPr>
                  </m:ctrlPr>
                </m:sSubPr>
                <m:e>
                  <m:r>
                    <w:rPr>
                      <w:rFonts w:ascii="Cambria Math" w:hAnsi="Cambria Math"/>
                    </w:rPr>
                    <m:t>θ</m:t>
                  </m:r>
                </m:e>
                <m:sub>
                  <m:r>
                    <m:rPr>
                      <m:nor/>
                    </m:rPr>
                    <m:t>slow</m:t>
                  </m:r>
                </m:sub>
              </m:sSub>
              <m:r>
                <w:rPr>
                  <w:rFonts w:ascii="Cambria Math" w:hAnsi="Cambria Math"/>
                </w:rPr>
                <m:t>),</m:t>
              </m:r>
            </m:e>
            <m:e>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nor/>
                    </m:rPr>
                    <m:t>fast</m:t>
                  </m:r>
                </m:sub>
              </m:sSub>
              <m:r>
                <w:rPr>
                  <w:rFonts w:ascii="Cambria Math" w:hAnsi="Cambria Math"/>
                </w:rPr>
                <m:t>=</m:t>
              </m:r>
              <m:sSub>
                <m:sSubPr>
                  <m:ctrlPr>
                    <w:rPr>
                      <w:rFonts w:ascii="Cambria Math" w:hAnsi="Cambria Math"/>
                    </w:rPr>
                  </m:ctrlPr>
                </m:sSubPr>
                <m:e>
                  <m:r>
                    <w:rPr>
                      <w:rFonts w:ascii="Cambria Math" w:hAnsi="Cambria Math"/>
                    </w:rPr>
                    <m:t>ω</m:t>
                  </m:r>
                </m:e>
                <m:sub>
                  <m:r>
                    <m:rPr>
                      <m:nor/>
                    </m:rPr>
                    <m:t>fast</m:t>
                  </m:r>
                </m:sub>
              </m:sSub>
              <m:r>
                <w:rPr>
                  <w:rFonts w:ascii="Cambria Math" w:hAnsi="Cambria Math"/>
                </w:rPr>
                <m:t>+K</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m:rPr>
                      <m:nor/>
                    </m:rPr>
                    <m:t>slow</m:t>
                  </m:r>
                </m:sub>
              </m:sSub>
              <m:r>
                <w:rPr>
                  <w:rFonts w:ascii="Cambria Math" w:hAnsi="Cambria Math"/>
                </w:rPr>
                <m:t>-</m:t>
              </m:r>
              <m:sSub>
                <m:sSubPr>
                  <m:ctrlPr>
                    <w:rPr>
                      <w:rFonts w:ascii="Cambria Math" w:hAnsi="Cambria Math"/>
                    </w:rPr>
                  </m:ctrlPr>
                </m:sSubPr>
                <m:e>
                  <m:r>
                    <w:rPr>
                      <w:rFonts w:ascii="Cambria Math" w:hAnsi="Cambria Math"/>
                    </w:rPr>
                    <m:t>θ</m:t>
                  </m:r>
                </m:e>
                <m:sub>
                  <m:r>
                    <m:rPr>
                      <m:nor/>
                    </m:rPr>
                    <m:t>fast</m:t>
                  </m:r>
                </m:sub>
              </m:sSub>
              <m:r>
                <w:rPr>
                  <w:rFonts w:ascii="Cambria Math" w:hAnsi="Cambria Math"/>
                </w:rPr>
                <m:t>),</m:t>
              </m:r>
            </m:e>
          </m:eqArr>
          <m:r>
            <w:br/>
          </m:r>
        </m:oMath>
      </m:oMathPara>
    </w:p>
    <w:p w14:paraId="647025FC" w14:textId="77777777" w:rsidR="00B60C68" w:rsidRPr="00B60C68" w:rsidRDefault="00B60C68" w:rsidP="00B60C68">
      <w:r w:rsidRPr="00B60C68">
        <w:t>donde hemos acoplado la dinámica del estado financiero $x$ con el término $\</w:t>
      </w:r>
      <w:proofErr w:type="spellStart"/>
      <w:r w:rsidRPr="00B60C68">
        <w:t>epsilon</w:t>
      </w:r>
      <w:proofErr w:type="spellEnd"/>
      <w:r w:rsidRPr="00B60C68">
        <w:t xml:space="preserve"> \cos(</w:t>
      </w:r>
      <w:proofErr w:type="gramStart"/>
      <w:r w:rsidRPr="00B60C68">
        <w:t>\Delta\theta)$</w:t>
      </w:r>
      <w:proofErr w:type="gramEnd"/>
      <w:r w:rsidRPr="00B60C68">
        <w:t xml:space="preserve"> representando el efecto de la sincronización (cuando $\Delta\theta = 0$, ese término añade estrés al sistema al empujar $x$ en cierta dirección, por </w:t>
      </w:r>
      <w:proofErr w:type="gramStart"/>
      <w:r w:rsidRPr="00B60C68">
        <w:t>ejemplo</w:t>
      </w:r>
      <w:proofErr w:type="gramEnd"/>
      <w:r w:rsidRPr="00B60C68">
        <w:t xml:space="preserve"> incrementando $b(t)$ de manera resonante). Este sistema es solo ilustrativo, pero sirve para argumentar teóricamente cómo </w:t>
      </w:r>
      <w:r w:rsidRPr="00B60C68">
        <w:rPr>
          <w:b/>
          <w:bCs/>
        </w:rPr>
        <w:t>la sincronización (resonancia entre escalas) puede precipitar la transición catastrófica</w:t>
      </w:r>
      <w:r w:rsidRPr="00B60C68">
        <w:t xml:space="preserve"> en $x$. Exploraríamos el espacio de fases de este sistema cualitativamente: sin sincronización ($K=0$), $x$ podría cruzar la bifurcación más tardíamente o con un $a$ más extremo; en cambio, con sincronización alta ($K$ grande, fases alineadas), pequeñas perturbaciones sincronizadas en las dos escalas podrían forzar a $x$ a saltar de rama (colapso) incluso cuando $a$ aún no es tan negativo, acortando los plazos de crisis. Esto proporcionaría un marco teórico para entender por qué la combinación de señales de distintas velocidades mejora la anticipación de crisis – esencialmente, nuestro modelo </w:t>
      </w:r>
      <w:r w:rsidRPr="00B60C68">
        <w:rPr>
          <w:i/>
          <w:iCs/>
        </w:rPr>
        <w:t>detecta</w:t>
      </w:r>
      <w:r w:rsidRPr="00B60C68">
        <w:t xml:space="preserve"> cuándo las condiciones de </w:t>
      </w:r>
      <w:r w:rsidRPr="00B60C68">
        <w:rPr>
          <w:b/>
          <w:bCs/>
        </w:rPr>
        <w:t>bifurcación inminente</w:t>
      </w:r>
      <w:r w:rsidRPr="00B60C68">
        <w:t xml:space="preserve"> ($a \</w:t>
      </w:r>
      <w:proofErr w:type="spellStart"/>
      <w:r w:rsidRPr="00B60C68">
        <w:t>to</w:t>
      </w:r>
      <w:proofErr w:type="spellEnd"/>
      <w:r w:rsidRPr="00B60C68">
        <w:t xml:space="preserve"> 0^-$) </w:t>
      </w:r>
      <w:proofErr w:type="spellStart"/>
      <w:r w:rsidRPr="00B60C68">
        <w:t>co-ocurren</w:t>
      </w:r>
      <w:proofErr w:type="spellEnd"/>
      <w:r w:rsidRPr="00B60C68">
        <w:t xml:space="preserve"> con </w:t>
      </w:r>
      <w:r w:rsidRPr="00B60C68">
        <w:rPr>
          <w:b/>
          <w:bCs/>
        </w:rPr>
        <w:t>acoplamiento fuerte del sistema</w:t>
      </w:r>
      <w:r w:rsidRPr="00B60C68">
        <w:t xml:space="preserve"> ($</w:t>
      </w:r>
      <w:proofErr w:type="spellStart"/>
      <w:r w:rsidRPr="00B60C68">
        <w:t>S_t</w:t>
      </w:r>
      <w:proofErr w:type="spellEnd"/>
      <w:r w:rsidRPr="00B60C68">
        <w:t xml:space="preserve"> \</w:t>
      </w:r>
      <w:proofErr w:type="spellStart"/>
      <w:r w:rsidRPr="00B60C68">
        <w:t>to</w:t>
      </w:r>
      <w:proofErr w:type="spellEnd"/>
      <w:r w:rsidRPr="00B60C68">
        <w:t xml:space="preserve"> 1$), situación en la cual una crisis sistémica es mucho más probable.</w:t>
      </w:r>
    </w:p>
    <w:p w14:paraId="3D6E2BFC" w14:textId="77777777" w:rsidR="00B60C68" w:rsidRPr="00B60C68" w:rsidRDefault="00B60C68" w:rsidP="00B60C68">
      <w:r w:rsidRPr="00B60C68">
        <w:t xml:space="preserve">En conclusión, esta sección matemático-formal demostraría rigurosamente los fundamentos de nuestro modelo. Se conectaría la teoría de bifurcaciones con los datos financieros vía las ecuaciones derivadas, mostrando que conceptos como la </w:t>
      </w:r>
      <w:r w:rsidRPr="00B60C68">
        <w:rPr>
          <w:b/>
          <w:bCs/>
        </w:rPr>
        <w:t>cúspide</w:t>
      </w:r>
      <w:r w:rsidRPr="00B60C68">
        <w:t xml:space="preserve"> y la </w:t>
      </w:r>
      <w:r w:rsidRPr="00B60C68">
        <w:rPr>
          <w:b/>
          <w:bCs/>
        </w:rPr>
        <w:t>ralentización crítica</w:t>
      </w:r>
      <w:r w:rsidRPr="00B60C68">
        <w:t xml:space="preserve"> no son meras analogías </w:t>
      </w:r>
      <w:proofErr w:type="gramStart"/>
      <w:r w:rsidRPr="00B60C68">
        <w:t>cualitativas</w:t>
      </w:r>
      <w:proofErr w:type="gramEnd"/>
      <w:r w:rsidRPr="00B60C68">
        <w:t xml:space="preserve"> sino que pueden ser cuantificados y relacionados directamente con nuestros indicadores ($</w:t>
      </w:r>
      <w:proofErr w:type="spellStart"/>
      <w:r w:rsidRPr="00B60C68">
        <w:t>F_t</w:t>
      </w:r>
      <w:proofErr w:type="spellEnd"/>
      <w:r w:rsidRPr="00B60C68">
        <w:t>$, $</w:t>
      </w:r>
      <w:proofErr w:type="spellStart"/>
      <w:r w:rsidRPr="00B60C68">
        <w:t>ACF_t</w:t>
      </w:r>
      <w:proofErr w:type="spellEnd"/>
      <w:r w:rsidRPr="00B60C68">
        <w:t xml:space="preserve">$, varianza, etc.). Al ofrecer las derivaciones y </w:t>
      </w:r>
      <w:r w:rsidRPr="00B60C68">
        <w:rPr>
          <w:b/>
          <w:bCs/>
        </w:rPr>
        <w:t>pruebas matemáticas</w:t>
      </w:r>
      <w:r w:rsidRPr="00B60C68">
        <w:t xml:space="preserve"> de estos vínculos, el artículo convencerá al lector de que el modelo no es un </w:t>
      </w:r>
      <w:proofErr w:type="spellStart"/>
      <w:r w:rsidRPr="00B60C68">
        <w:rPr>
          <w:i/>
          <w:iCs/>
        </w:rPr>
        <w:t>black</w:t>
      </w:r>
      <w:proofErr w:type="spellEnd"/>
      <w:r w:rsidRPr="00B60C68">
        <w:rPr>
          <w:i/>
          <w:iCs/>
        </w:rPr>
        <w:t xml:space="preserve"> box</w:t>
      </w:r>
      <w:r w:rsidRPr="00B60C68">
        <w:t xml:space="preserve">, sino que tiene un sustento teórico sólido: los fenómenos físicos (inestabilidad </w:t>
      </w:r>
      <w:proofErr w:type="spellStart"/>
      <w:r w:rsidRPr="00B60C68">
        <w:t>bifurcativa</w:t>
      </w:r>
      <w:proofErr w:type="spellEnd"/>
      <w:r w:rsidRPr="00B60C68">
        <w:t xml:space="preserve">, sincronización de osciladores, dinámica </w:t>
      </w:r>
      <w:proofErr w:type="spellStart"/>
      <w:r w:rsidRPr="00B60C68">
        <w:t>multiescala</w:t>
      </w:r>
      <w:proofErr w:type="spellEnd"/>
      <w:r w:rsidRPr="00B60C68">
        <w:t>) se traducen coherentemente al comportamiento de los mercados financieros y explican por qué nuestro enfoque logra identificar fragilidad sistémica con antelación y precisión superiores a las de modelos tradicionales.</w:t>
      </w:r>
    </w:p>
    <w:p w14:paraId="3331CC0E" w14:textId="77777777" w:rsidR="00C758FD" w:rsidRDefault="00C758FD"/>
    <w:sectPr w:rsidR="00C758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1F0D"/>
    <w:multiLevelType w:val="multilevel"/>
    <w:tmpl w:val="CF60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E37BA"/>
    <w:multiLevelType w:val="multilevel"/>
    <w:tmpl w:val="16E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A7649"/>
    <w:multiLevelType w:val="multilevel"/>
    <w:tmpl w:val="3700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151881">
    <w:abstractNumId w:val="2"/>
  </w:num>
  <w:num w:numId="2" w16cid:durableId="838468313">
    <w:abstractNumId w:val="1"/>
  </w:num>
  <w:num w:numId="3" w16cid:durableId="1445539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C68"/>
    <w:rsid w:val="00454C80"/>
    <w:rsid w:val="006A18B6"/>
    <w:rsid w:val="00A35403"/>
    <w:rsid w:val="00B60C68"/>
    <w:rsid w:val="00C758F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1DC55"/>
  <w15:chartTrackingRefBased/>
  <w15:docId w15:val="{32B30E4B-0FF5-4D4C-9EB4-19B4CB2D8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0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0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0C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0C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0C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0C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0C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0C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0C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0C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0C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0C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0C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0C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0C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0C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0C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0C68"/>
    <w:rPr>
      <w:rFonts w:eastAsiaTheme="majorEastAsia" w:cstheme="majorBidi"/>
      <w:color w:val="272727" w:themeColor="text1" w:themeTint="D8"/>
    </w:rPr>
  </w:style>
  <w:style w:type="paragraph" w:styleId="Ttulo">
    <w:name w:val="Title"/>
    <w:basedOn w:val="Normal"/>
    <w:next w:val="Normal"/>
    <w:link w:val="TtuloCar"/>
    <w:uiPriority w:val="10"/>
    <w:qFormat/>
    <w:rsid w:val="00B60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0C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0C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0C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0C68"/>
    <w:pPr>
      <w:spacing w:before="160"/>
      <w:jc w:val="center"/>
    </w:pPr>
    <w:rPr>
      <w:i/>
      <w:iCs/>
      <w:color w:val="404040" w:themeColor="text1" w:themeTint="BF"/>
    </w:rPr>
  </w:style>
  <w:style w:type="character" w:customStyle="1" w:styleId="CitaCar">
    <w:name w:val="Cita Car"/>
    <w:basedOn w:val="Fuentedeprrafopredeter"/>
    <w:link w:val="Cita"/>
    <w:uiPriority w:val="29"/>
    <w:rsid w:val="00B60C68"/>
    <w:rPr>
      <w:i/>
      <w:iCs/>
      <w:color w:val="404040" w:themeColor="text1" w:themeTint="BF"/>
    </w:rPr>
  </w:style>
  <w:style w:type="paragraph" w:styleId="Prrafodelista">
    <w:name w:val="List Paragraph"/>
    <w:basedOn w:val="Normal"/>
    <w:uiPriority w:val="34"/>
    <w:qFormat/>
    <w:rsid w:val="00B60C68"/>
    <w:pPr>
      <w:ind w:left="720"/>
      <w:contextualSpacing/>
    </w:pPr>
  </w:style>
  <w:style w:type="character" w:styleId="nfasisintenso">
    <w:name w:val="Intense Emphasis"/>
    <w:basedOn w:val="Fuentedeprrafopredeter"/>
    <w:uiPriority w:val="21"/>
    <w:qFormat/>
    <w:rsid w:val="00B60C68"/>
    <w:rPr>
      <w:i/>
      <w:iCs/>
      <w:color w:val="0F4761" w:themeColor="accent1" w:themeShade="BF"/>
    </w:rPr>
  </w:style>
  <w:style w:type="paragraph" w:styleId="Citadestacada">
    <w:name w:val="Intense Quote"/>
    <w:basedOn w:val="Normal"/>
    <w:next w:val="Normal"/>
    <w:link w:val="CitadestacadaCar"/>
    <w:uiPriority w:val="30"/>
    <w:qFormat/>
    <w:rsid w:val="00B60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0C68"/>
    <w:rPr>
      <w:i/>
      <w:iCs/>
      <w:color w:val="0F4761" w:themeColor="accent1" w:themeShade="BF"/>
    </w:rPr>
  </w:style>
  <w:style w:type="character" w:styleId="Referenciaintensa">
    <w:name w:val="Intense Reference"/>
    <w:basedOn w:val="Fuentedeprrafopredeter"/>
    <w:uiPriority w:val="32"/>
    <w:qFormat/>
    <w:rsid w:val="00B60C68"/>
    <w:rPr>
      <w:b/>
      <w:bCs/>
      <w:smallCaps/>
      <w:color w:val="0F4761" w:themeColor="accent1" w:themeShade="BF"/>
      <w:spacing w:val="5"/>
    </w:rPr>
  </w:style>
  <w:style w:type="character" w:styleId="Hipervnculo">
    <w:name w:val="Hyperlink"/>
    <w:basedOn w:val="Fuentedeprrafopredeter"/>
    <w:uiPriority w:val="99"/>
    <w:unhideWhenUsed/>
    <w:rsid w:val="00B60C68"/>
    <w:rPr>
      <w:color w:val="467886" w:themeColor="hyperlink"/>
      <w:u w:val="single"/>
    </w:rPr>
  </w:style>
  <w:style w:type="character" w:styleId="Mencinsinresolver">
    <w:name w:val="Unresolved Mention"/>
    <w:basedOn w:val="Fuentedeprrafopredeter"/>
    <w:uiPriority w:val="99"/>
    <w:semiHidden/>
    <w:unhideWhenUsed/>
    <w:rsid w:val="00B60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vyinstitute.org/pubs/wp_654.pdf" TargetMode="External"/><Relationship Id="rId13" Type="http://schemas.openxmlformats.org/officeDocument/2006/relationships/hyperlink" Target="https://www.sciencedirect.com/science/article/abs/pii/S016518891630069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cb.europa.eu/pub/pdf/scpwps/ecbwp1426.pdf" TargetMode="External"/><Relationship Id="rId12" Type="http://schemas.openxmlformats.org/officeDocument/2006/relationships/hyperlink" Target="https://epge.fgv.br/cfrio/articles/CF005.pdf" TargetMode="External"/><Relationship Id="rId17" Type="http://schemas.openxmlformats.org/officeDocument/2006/relationships/hyperlink" Target="https://www.science.org/doi/10.1126/sciadv.abq4558" TargetMode="External"/><Relationship Id="rId2" Type="http://schemas.openxmlformats.org/officeDocument/2006/relationships/styles" Target="styles.xml"/><Relationship Id="rId16" Type="http://schemas.openxmlformats.org/officeDocument/2006/relationships/hyperlink" Target="https://www.science.org/doi/10.1126/sciadv.abq4558" TargetMode="External"/><Relationship Id="rId1" Type="http://schemas.openxmlformats.org/officeDocument/2006/relationships/numbering" Target="numbering.xml"/><Relationship Id="rId6" Type="http://schemas.openxmlformats.org/officeDocument/2006/relationships/hyperlink" Target="https://www.science.org/doi/10.1126/sciadv.abq4558" TargetMode="External"/><Relationship Id="rId11" Type="http://schemas.openxmlformats.org/officeDocument/2006/relationships/hyperlink" Target="https://www.sciencedirect.com/science/article/abs/pii/S0378437121007329" TargetMode="External"/><Relationship Id="rId5" Type="http://schemas.openxmlformats.org/officeDocument/2006/relationships/hyperlink" Target="https://www.science.org/doi/10.1126/sciadv.abq4558" TargetMode="External"/><Relationship Id="rId15" Type="http://schemas.openxmlformats.org/officeDocument/2006/relationships/hyperlink" Target="https://royalsocietypublishing.org/doi/10.1098/rsta.2011.0304" TargetMode="External"/><Relationship Id="rId10" Type="http://schemas.openxmlformats.org/officeDocument/2006/relationships/hyperlink" Target="https://link.springer.com/article/10.1007/s00181-018-1527-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evyinstitute.org/pubs/wp_654.pdf" TargetMode="External"/><Relationship Id="rId14" Type="http://schemas.openxmlformats.org/officeDocument/2006/relationships/hyperlink" Target="https://epge.fgv.br/cfrio/articles/CF005.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3615</Words>
  <Characters>19887</Characters>
  <Application>Microsoft Office Word</Application>
  <DocSecurity>0</DocSecurity>
  <Lines>165</Lines>
  <Paragraphs>46</Paragraphs>
  <ScaleCrop>false</ScaleCrop>
  <Company/>
  <LinksUpToDate>false</LinksUpToDate>
  <CharactersWithSpaces>23456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Basaure</dc:creator>
  <cp:keywords/>
  <dc:description/>
  <cp:lastModifiedBy>Tomás Basaure</cp:lastModifiedBy>
  <cp:revision>1</cp:revision>
  <dcterms:created xsi:type="dcterms:W3CDTF">2025-12-06T20:40:00Z</dcterms:created>
  <dcterms:modified xsi:type="dcterms:W3CDTF">2025-12-06T20:41:00Z</dcterms:modified>
</cp:coreProperties>
</file>