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12D49" w14:textId="77777777" w:rsidR="00E844B5" w:rsidRPr="00E844B5" w:rsidRDefault="00E844B5" w:rsidP="00E844B5">
      <w:r w:rsidRPr="00E844B5">
        <w:t>Consideraciones para una Publicación Formal del Modelo de Fragilidad Sistémica</w:t>
      </w:r>
    </w:p>
    <w:p w14:paraId="0B5323D0" w14:textId="77777777" w:rsidR="00E844B5" w:rsidRPr="00E844B5" w:rsidRDefault="00E844B5" w:rsidP="00E844B5">
      <w:r w:rsidRPr="00E844B5">
        <w:t>1. Detalles de Datos Fuente</w:t>
      </w:r>
    </w:p>
    <w:p w14:paraId="0F919152" w14:textId="77777777" w:rsidR="00E844B5" w:rsidRPr="00E844B5" w:rsidRDefault="00E844B5" w:rsidP="00E844B5">
      <w:r w:rsidRPr="00E844B5">
        <w:t>El modelo define la fragilidad sistémica latente ($</w:t>
      </w:r>
      <w:proofErr w:type="spellStart"/>
      <w:r w:rsidRPr="00E844B5">
        <w:t>F_t</w:t>
      </w:r>
      <w:proofErr w:type="spellEnd"/>
      <w:r w:rsidRPr="00E844B5">
        <w:t>$) como una variable extraída mediante Análisis Factorial, construida a partir de varios indicadores financieros subyacentes. En una publicación formal se deben enumerar explícitamente estos indicadores y su significado. En este caso, $</w:t>
      </w:r>
      <w:proofErr w:type="spellStart"/>
      <w:r w:rsidRPr="00E844B5">
        <w:t>F_t</w:t>
      </w:r>
      <w:proofErr w:type="spellEnd"/>
      <w:r w:rsidRPr="00E844B5">
        <w:t>$ se compone de los siguientes factores clave:</w:t>
      </w:r>
    </w:p>
    <w:p w14:paraId="5E80B773" w14:textId="77777777" w:rsidR="00E844B5" w:rsidRPr="00E844B5" w:rsidRDefault="00E844B5" w:rsidP="00E844B5">
      <w:pPr>
        <w:numPr>
          <w:ilvl w:val="0"/>
          <w:numId w:val="4"/>
        </w:numPr>
      </w:pPr>
      <w:r w:rsidRPr="00E844B5">
        <w:t>$</w:t>
      </w:r>
      <w:proofErr w:type="spellStart"/>
      <w:r w:rsidRPr="00E844B5">
        <w:t>CF_t</w:t>
      </w:r>
      <w:proofErr w:type="spellEnd"/>
      <w:r w:rsidRPr="00E844B5">
        <w:t xml:space="preserve">$ (Crisis Factor) – </w:t>
      </w:r>
      <w:r w:rsidRPr="00E844B5">
        <w:rPr>
          <w:i/>
          <w:iCs/>
        </w:rPr>
        <w:t>Factor de crisis</w:t>
      </w:r>
      <w:r w:rsidRPr="00E844B5">
        <w:t xml:space="preserve">, representa un índice compuesto de estrés calculado mediante la correlación y la volatilidad de activos financieros. Combina la </w:t>
      </w:r>
      <w:proofErr w:type="spellStart"/>
      <w:r w:rsidRPr="00E844B5">
        <w:t>co-movilidad</w:t>
      </w:r>
      <w:proofErr w:type="spellEnd"/>
      <w:r w:rsidRPr="00E844B5">
        <w:t xml:space="preserve"> de los precios con su nivel de turbulencia, reflejando condiciones de mercado estresadas.</w:t>
      </w:r>
    </w:p>
    <w:p w14:paraId="0B0AAD9E" w14:textId="77777777" w:rsidR="00E844B5" w:rsidRPr="00E844B5" w:rsidRDefault="00E844B5" w:rsidP="00E844B5">
      <w:pPr>
        <w:numPr>
          <w:ilvl w:val="0"/>
          <w:numId w:val="4"/>
        </w:numPr>
      </w:pPr>
      <w:r w:rsidRPr="00E844B5">
        <w:t>$</w:t>
      </w:r>
      <w:proofErr w:type="spellStart"/>
      <w:r w:rsidRPr="00E844B5">
        <w:t>S_t</w:t>
      </w:r>
      <w:proofErr w:type="spellEnd"/>
      <w:r w:rsidRPr="00E844B5">
        <w:t>$ (</w:t>
      </w:r>
      <w:proofErr w:type="spellStart"/>
      <w:r w:rsidRPr="00E844B5">
        <w:t>Synchronization</w:t>
      </w:r>
      <w:proofErr w:type="spellEnd"/>
      <w:r w:rsidRPr="00E844B5">
        <w:t xml:space="preserve"> </w:t>
      </w:r>
      <w:proofErr w:type="spellStart"/>
      <w:r w:rsidRPr="00E844B5">
        <w:t>order</w:t>
      </w:r>
      <w:proofErr w:type="spellEnd"/>
      <w:r w:rsidRPr="00E844B5">
        <w:t xml:space="preserve">) – </w:t>
      </w:r>
      <w:r w:rsidRPr="00E844B5">
        <w:rPr>
          <w:i/>
          <w:iCs/>
        </w:rPr>
        <w:t xml:space="preserve">Orden de sincronización de </w:t>
      </w:r>
      <w:proofErr w:type="spellStart"/>
      <w:r w:rsidRPr="00E844B5">
        <w:rPr>
          <w:i/>
          <w:iCs/>
        </w:rPr>
        <w:t>Kuramoto</w:t>
      </w:r>
      <w:proofErr w:type="spellEnd"/>
      <w:r w:rsidRPr="00E844B5">
        <w:t>, mide el acoplamiento del mercado o grado de sincronización entre actores/sectores. Un valor alto indica que los agentes financieros se están moviendo al unísono (fuertemente correlacionados), un síntoma común antes de crisis financieras donde los mercados muestran comportamientos colectivos anómalos</w:t>
      </w:r>
      <w:hyperlink r:id="rId5" w:anchor=":~:text=market%20by%20using%20concepts%20of,stock%20prices%20present%20a%20similar" w:tgtFrame="_blank" w:history="1">
        <w:r w:rsidRPr="00E844B5">
          <w:rPr>
            <w:rStyle w:val="Hipervnculo"/>
          </w:rPr>
          <w:t>arxiv.org</w:t>
        </w:r>
      </w:hyperlink>
      <w:r w:rsidRPr="00E844B5">
        <w:t>.</w:t>
      </w:r>
    </w:p>
    <w:p w14:paraId="33B33D06" w14:textId="77777777" w:rsidR="00E844B5" w:rsidRPr="00E844B5" w:rsidRDefault="00E844B5" w:rsidP="00E844B5">
      <w:pPr>
        <w:numPr>
          <w:ilvl w:val="0"/>
          <w:numId w:val="4"/>
        </w:numPr>
      </w:pPr>
      <w:r w:rsidRPr="00E844B5">
        <w:t>$</w:t>
      </w:r>
      <w:proofErr w:type="spellStart"/>
      <w:r w:rsidRPr="00E844B5">
        <w:t>ACF_t</w:t>
      </w:r>
      <w:proofErr w:type="spellEnd"/>
      <w:r w:rsidRPr="00E844B5">
        <w:t xml:space="preserve">$ (Autocorrelación) – </w:t>
      </w:r>
      <w:r w:rsidRPr="00E844B5">
        <w:rPr>
          <w:i/>
          <w:iCs/>
        </w:rPr>
        <w:t xml:space="preserve">Autocorrelación a </w:t>
      </w:r>
      <w:proofErr w:type="spellStart"/>
      <w:r w:rsidRPr="00E844B5">
        <w:rPr>
          <w:i/>
          <w:iCs/>
        </w:rPr>
        <w:t>lag</w:t>
      </w:r>
      <w:proofErr w:type="spellEnd"/>
      <w:r w:rsidRPr="00E844B5">
        <w:rPr>
          <w:i/>
          <w:iCs/>
        </w:rPr>
        <w:t xml:space="preserve"> 1</w:t>
      </w:r>
      <w:r w:rsidRPr="00E844B5">
        <w:t>, indicador de ralentización crítica (</w:t>
      </w:r>
      <w:proofErr w:type="spellStart"/>
      <w:r w:rsidRPr="00E844B5">
        <w:rPr>
          <w:i/>
          <w:iCs/>
        </w:rPr>
        <w:t>critical</w:t>
      </w:r>
      <w:proofErr w:type="spellEnd"/>
      <w:r w:rsidRPr="00E844B5">
        <w:rPr>
          <w:i/>
          <w:iCs/>
        </w:rPr>
        <w:t xml:space="preserve"> </w:t>
      </w:r>
      <w:proofErr w:type="spellStart"/>
      <w:r w:rsidRPr="00E844B5">
        <w:rPr>
          <w:i/>
          <w:iCs/>
        </w:rPr>
        <w:t>slowing</w:t>
      </w:r>
      <w:proofErr w:type="spellEnd"/>
      <w:r w:rsidRPr="00E844B5">
        <w:rPr>
          <w:i/>
          <w:iCs/>
        </w:rPr>
        <w:t xml:space="preserve"> </w:t>
      </w:r>
      <w:proofErr w:type="spellStart"/>
      <w:r w:rsidRPr="00E844B5">
        <w:rPr>
          <w:i/>
          <w:iCs/>
        </w:rPr>
        <w:t>down</w:t>
      </w:r>
      <w:proofErr w:type="spellEnd"/>
      <w:r w:rsidRPr="00E844B5">
        <w:t>). Un aumento en $</w:t>
      </w:r>
      <w:proofErr w:type="spellStart"/>
      <w:r w:rsidRPr="00E844B5">
        <w:t>ACF_t</w:t>
      </w:r>
      <w:proofErr w:type="spellEnd"/>
      <w:r w:rsidRPr="00E844B5">
        <w:t>$ sugiere que el sistema tarda más en regresar a su equilibrio después de perturbaciones, anticipando posibles transiciones críticas. En otras palabras, la persistencia temporal de choques incrementa al acercarse a un punto de fragilidad.</w:t>
      </w:r>
    </w:p>
    <w:p w14:paraId="7E38D29D" w14:textId="77777777" w:rsidR="00E844B5" w:rsidRPr="00E844B5" w:rsidRDefault="00E844B5" w:rsidP="00E844B5">
      <w:pPr>
        <w:numPr>
          <w:ilvl w:val="0"/>
          <w:numId w:val="4"/>
        </w:numPr>
      </w:pPr>
      <w:r w:rsidRPr="00E844B5">
        <w:t>$</w:t>
      </w:r>
      <w:proofErr w:type="spellStart"/>
      <w:r w:rsidRPr="00E844B5">
        <w:t>Var_t</w:t>
      </w:r>
      <w:proofErr w:type="spellEnd"/>
      <w:r w:rsidRPr="00E844B5">
        <w:t xml:space="preserve">$ (Varianza móvil) – </w:t>
      </w:r>
      <w:r w:rsidRPr="00E844B5">
        <w:rPr>
          <w:i/>
          <w:iCs/>
        </w:rPr>
        <w:t xml:space="preserve">Varianza </w:t>
      </w:r>
      <w:proofErr w:type="spellStart"/>
      <w:r w:rsidRPr="00E844B5">
        <w:rPr>
          <w:i/>
          <w:iCs/>
        </w:rPr>
        <w:t>rolling</w:t>
      </w:r>
      <w:proofErr w:type="spellEnd"/>
      <w:r w:rsidRPr="00E844B5">
        <w:t xml:space="preserve"> (en ventana móvil), captura la volatilidad de régimen. Subidas inusuales en la varianza indican inestabilidad creciente en el sistema financiero. Junto con $</w:t>
      </w:r>
      <w:proofErr w:type="spellStart"/>
      <w:r w:rsidRPr="00E844B5">
        <w:t>ACF_t</w:t>
      </w:r>
      <w:proofErr w:type="spellEnd"/>
      <w:r w:rsidRPr="00E844B5">
        <w:t>$, la varianza tiende a aumentar antes de crisis debido a la pérdida de estabilidad (ambos son señales clásicas de alerta temprana)</w:t>
      </w:r>
      <w:hyperlink r:id="rId6" w:anchor=":~:text=However%2C%20this%20study%20is%20focusing,gives%20a%20rising%20trend%20in" w:tgtFrame="_blank" w:history="1">
        <w:r w:rsidRPr="00E844B5">
          <w:rPr>
            <w:rStyle w:val="Hipervnculo"/>
          </w:rPr>
          <w:t>frontiersin.org</w:t>
        </w:r>
      </w:hyperlink>
      <w:r w:rsidRPr="00E844B5">
        <w:t>.</w:t>
      </w:r>
    </w:p>
    <w:p w14:paraId="64F4BD28" w14:textId="77777777" w:rsidR="00E844B5" w:rsidRPr="00E844B5" w:rsidRDefault="00E844B5" w:rsidP="00E844B5">
      <w:pPr>
        <w:numPr>
          <w:ilvl w:val="0"/>
          <w:numId w:val="4"/>
        </w:numPr>
      </w:pPr>
      <w:r w:rsidRPr="00E844B5">
        <w:t>$</w:t>
      </w:r>
      <w:proofErr w:type="spellStart"/>
      <w:r w:rsidRPr="00E844B5">
        <w:t>Skew_t</w:t>
      </w:r>
      <w:proofErr w:type="spellEnd"/>
      <w:r w:rsidRPr="00E844B5">
        <w:t xml:space="preserve">$ (Sesgo de distribución) – </w:t>
      </w:r>
      <w:proofErr w:type="spellStart"/>
      <w:r w:rsidRPr="00E844B5">
        <w:rPr>
          <w:i/>
          <w:iCs/>
        </w:rPr>
        <w:t>Skewness</w:t>
      </w:r>
      <w:proofErr w:type="spellEnd"/>
      <w:r w:rsidRPr="00E844B5">
        <w:t xml:space="preserve"> o asimetría muestral de la distribución de rendimientos. Refleja el riesgo de cola: valores negativos pronunciados en la asimetría implican una mayor probabilidad de eventos extremos negativos (colas pesadas a la izquierda), lo cual puede indicar fragilidad financiera creciente.</w:t>
      </w:r>
    </w:p>
    <w:p w14:paraId="1C098592" w14:textId="77777777" w:rsidR="00E844B5" w:rsidRPr="00E844B5" w:rsidRDefault="00E844B5" w:rsidP="00E844B5">
      <w:pPr>
        <w:numPr>
          <w:ilvl w:val="0"/>
          <w:numId w:val="4"/>
        </w:numPr>
      </w:pPr>
      <w:r w:rsidRPr="00E844B5">
        <w:t>$</w:t>
      </w:r>
      <w:proofErr w:type="spellStart"/>
      <w:r w:rsidRPr="00E844B5">
        <w:t>Curvature_t</w:t>
      </w:r>
      <w:proofErr w:type="spellEnd"/>
      <w:r w:rsidRPr="00E844B5">
        <w:t xml:space="preserve">$ (Curvatura) – </w:t>
      </w:r>
      <w:r w:rsidRPr="00E844B5">
        <w:rPr>
          <w:i/>
          <w:iCs/>
        </w:rPr>
        <w:t>Curvatura de red</w:t>
      </w:r>
      <w:r w:rsidRPr="00E844B5">
        <w:t>, actúa como proxy de la resiliencia de la red financiera. Habitualmente se asocia con la forma de la estructura interbancaria o de correlaciones: por ejemplo, puede derivarse de medidas de curvatura en el gráfico de contagios o de la curvatura de la curva de rendimientos crediticios. Una curvatura baja sugiere que la red está cerca de configuraciones menos estables.</w:t>
      </w:r>
    </w:p>
    <w:p w14:paraId="3455E3F1" w14:textId="77777777" w:rsidR="00E844B5" w:rsidRPr="00E844B5" w:rsidRDefault="00E844B5" w:rsidP="00E844B5">
      <w:r w:rsidRPr="00E844B5">
        <w:t>Estos seis indicadores se integran mediante un análisis factorial para obtener $</w:t>
      </w:r>
      <w:proofErr w:type="spellStart"/>
      <w:r w:rsidRPr="00E844B5">
        <w:t>F_t</w:t>
      </w:r>
      <w:proofErr w:type="spellEnd"/>
      <w:r w:rsidRPr="00E844B5">
        <w:t xml:space="preserve">$, que explica alrededor del 41.6% de la varianza conjunta de las señales utilizadas. En una publicación formal, convendría detallar la fuente de cada indicador (p. ej., datos de mercado utilizados para calcular correlaciones, horizontes de cálculo de varianza y autocorrelación, etc.) y justificar su inclusión. También se podrían presentar las cargas factoriales de cada </w:t>
      </w:r>
      <w:r w:rsidRPr="00E844B5">
        <w:lastRenderedPageBreak/>
        <w:t>indicador sobre la fragilidad latente; por ejemplo, en nuestros resultados preliminares la varianza y el factor de crisis tuvieron cargas más elevadas (contribución alta), sincronización y autocorrelación contribuyeron en nivel medio, mientras que la asimetría y la curvatura tuvieron cargas más bajas. Esta descomposición ayuda al lector a entender qué aspectos financieros pesan más en la fragilidad sistémica medida.</w:t>
      </w:r>
    </w:p>
    <w:p w14:paraId="5E166D57" w14:textId="77777777" w:rsidR="00E844B5" w:rsidRPr="00E844B5" w:rsidRDefault="00E844B5" w:rsidP="00E844B5">
      <w:r w:rsidRPr="00E844B5">
        <w:t>Además, el modelo descompone la señal de fragilidad en tres bandas temporales mediante análisis wavelet (</w:t>
      </w:r>
      <w:proofErr w:type="spellStart"/>
      <w:r w:rsidRPr="00E844B5">
        <w:t>multirresolución</w:t>
      </w:r>
      <w:proofErr w:type="spellEnd"/>
      <w:r w:rsidRPr="00E844B5">
        <w:t>). Es importante clarificar esto en el artículo: se emplea un filtro pasa-banda o wavelet para separar $</w:t>
      </w:r>
      <w:proofErr w:type="spellStart"/>
      <w:r w:rsidRPr="00E844B5">
        <w:t>F_t</w:t>
      </w:r>
      <w:proofErr w:type="spellEnd"/>
      <w:r w:rsidRPr="00E844B5">
        <w:t xml:space="preserve">$ en componentes </w:t>
      </w:r>
      <w:r w:rsidRPr="00E844B5">
        <w:rPr>
          <w:i/>
          <w:iCs/>
        </w:rPr>
        <w:t>lento</w:t>
      </w:r>
      <w:r w:rsidRPr="00E844B5">
        <w:t xml:space="preserve">, </w:t>
      </w:r>
      <w:r w:rsidRPr="00E844B5">
        <w:rPr>
          <w:i/>
          <w:iCs/>
        </w:rPr>
        <w:t>medio</w:t>
      </w:r>
      <w:r w:rsidRPr="00E844B5">
        <w:t xml:space="preserve"> y </w:t>
      </w:r>
      <w:r w:rsidRPr="00E844B5">
        <w:rPr>
          <w:i/>
          <w:iCs/>
        </w:rPr>
        <w:t>rápido</w:t>
      </w:r>
      <w:r w:rsidRPr="00E844B5">
        <w:t>, asociados a diferentes escalas temporales: más de 60 días (tendencias estructurales de ciclo, alerta temprana), entre 10–60 días (oscilaciones sistémicas de mes), y menos de 10 días (ruido crítico de alta frecuencia). Una sección de datos fuente formal describiría cómo se implementó esta separación (por ejemplo, tipo de wavelet o filtro utilizado, longitud de ventana) y cómo estas bandas capturan comportamientos distintos del mercado. Dichos detalles aseguran la replicabilidad del estudio y conectan la teoría de “escalas múltiples” con la construcción empírica del índice de fragilidad.</w:t>
      </w:r>
    </w:p>
    <w:p w14:paraId="1D6D85D0" w14:textId="77777777" w:rsidR="00E844B5" w:rsidRPr="00E844B5" w:rsidRDefault="00E844B5" w:rsidP="00E844B5">
      <w:r w:rsidRPr="00E844B5">
        <w:t>2. Revisión de Literatura Detallada</w:t>
      </w:r>
    </w:p>
    <w:p w14:paraId="0DB342EC" w14:textId="77777777" w:rsidR="00E844B5" w:rsidRPr="00E844B5" w:rsidRDefault="00E844B5" w:rsidP="00E844B5">
      <w:r w:rsidRPr="00E844B5">
        <w:t>En una publicación académica, se requiere un marco comparativo que sitúe este modelo relativista de escalas múltiples dentro de la literatura existente sobre fragilidad y riesgo sistémico. Aunque el informe original destaca las contribuciones novedosas del modelo, es necesario contrastarlo formalmente con enfoques previos:</w:t>
      </w:r>
    </w:p>
    <w:p w14:paraId="311B20B7" w14:textId="77777777" w:rsidR="00E844B5" w:rsidRPr="00E844B5" w:rsidRDefault="00E844B5" w:rsidP="00E844B5">
      <w:pPr>
        <w:numPr>
          <w:ilvl w:val="0"/>
          <w:numId w:val="5"/>
        </w:numPr>
      </w:pPr>
      <w:r w:rsidRPr="00E844B5">
        <w:t>Índices de fragilidad financiera tradicionales: Históricamente, organismos internacionales y académicos han desarrollado indicadores compuestos de vulnerabilidad financiera basados en variables macroeconómicas y financieras. Por ejemplo, es común monitorear combinaciones de alto endeudamiento y burbujas en precios de activos como señales de fragilidad</w:t>
      </w:r>
      <w:hyperlink r:id="rId7" w:anchor=":~:text=Systemic%20Risk%20Board%20in%20the,%C3%96nancial%20system%20is%20more%20fragile" w:tgtFrame="_blank" w:history="1">
        <w:r w:rsidRPr="00E844B5">
          <w:rPr>
            <w:rStyle w:val="Hipervnculo"/>
          </w:rPr>
          <w:t>frbsf.org</w:t>
        </w:r>
      </w:hyperlink>
      <w:r w:rsidRPr="00E844B5">
        <w:t xml:space="preserve">. Estudios desde Minsky y </w:t>
      </w:r>
      <w:proofErr w:type="spellStart"/>
      <w:r w:rsidRPr="00E844B5">
        <w:t>Kindleberger</w:t>
      </w:r>
      <w:proofErr w:type="spellEnd"/>
      <w:r w:rsidRPr="00E844B5">
        <w:t xml:space="preserve"> hasta trabajos más recientes del BIS/FSB apuntan a que </w:t>
      </w:r>
      <w:r w:rsidRPr="00E844B5">
        <w:rPr>
          <w:i/>
          <w:iCs/>
        </w:rPr>
        <w:t>rápidas expansiones de crédito junto con valuaciones infladas</w:t>
      </w:r>
      <w:r w:rsidRPr="00E844B5">
        <w:t xml:space="preserve"> anteceden crisis financieras</w:t>
      </w:r>
      <w:hyperlink r:id="rId8" w:anchor=":~:text=variables%20for%20monitoring%20%C3%96nancial%20stability%3A,%C3%96nancial%20system%20is%20more%20fragile" w:tgtFrame="_blank" w:history="1">
        <w:r w:rsidRPr="00E844B5">
          <w:rPr>
            <w:rStyle w:val="Hipervnculo"/>
          </w:rPr>
          <w:t>frbsf.org</w:t>
        </w:r>
      </w:hyperlink>
      <w:r w:rsidRPr="00E844B5">
        <w:t xml:space="preserve">. Modelos de alerta temprana clásicos (Kaminsky &amp; Reinhart, 1999; </w:t>
      </w:r>
      <w:proofErr w:type="spellStart"/>
      <w:r w:rsidRPr="00E844B5">
        <w:t>Borio</w:t>
      </w:r>
      <w:proofErr w:type="spellEnd"/>
      <w:r w:rsidRPr="00E844B5">
        <w:t xml:space="preserve"> &amp; </w:t>
      </w:r>
      <w:proofErr w:type="spellStart"/>
      <w:r w:rsidRPr="00E844B5">
        <w:t>Drehmann</w:t>
      </w:r>
      <w:proofErr w:type="spellEnd"/>
      <w:r w:rsidRPr="00E844B5">
        <w:t>, 2009) se enfocan en indicadores como la brecha de crédito (</w:t>
      </w:r>
      <w:proofErr w:type="spellStart"/>
      <w:r w:rsidRPr="00E844B5">
        <w:t>credit</w:t>
      </w:r>
      <w:proofErr w:type="spellEnd"/>
      <w:r w:rsidRPr="00E844B5">
        <w:t>-</w:t>
      </w:r>
      <w:proofErr w:type="spellStart"/>
      <w:r w:rsidRPr="00E844B5">
        <w:t>to</w:t>
      </w:r>
      <w:proofErr w:type="spellEnd"/>
      <w:r w:rsidRPr="00E844B5">
        <w:t xml:space="preserve">-GDP gap), crecimiento de M2, déficits por cuenta corriente, inflación, etc., para predecir crisis bancarias o cambiarias. Estos enfoques tienden a usar regresiones logísticas o métodos de señales ad-hoc y suelen operar en una única escala temporal (trimestral o anual). Un ejemplo reciente es el índice de fragilidad para economías emergentes que combina cinco variables </w:t>
      </w:r>
      <w:proofErr w:type="spellStart"/>
      <w:r w:rsidRPr="00E844B5">
        <w:t>macro-financieras</w:t>
      </w:r>
      <w:proofErr w:type="spellEnd"/>
      <w:r w:rsidRPr="00E844B5">
        <w:t xml:space="preserve"> mediante técnicas de normalización y factor análisis</w:t>
      </w:r>
      <w:hyperlink r:id="rId9" w:anchor=":~:text=lifeblood%20of%20the%20entire%20economy,%28%2033%2C%202020b%29%20implied" w:tgtFrame="_blank" w:history="1">
        <w:r w:rsidRPr="00E844B5">
          <w:rPr>
            <w:rStyle w:val="Hipervnculo"/>
          </w:rPr>
          <w:t>nature.com</w:t>
        </w:r>
      </w:hyperlink>
      <w:r w:rsidRPr="00E844B5">
        <w:t>. Dichos índices incluyen típicamente crecimiento del PIB, tasas de interés reales, inflación, crecimiento del crédito, morosidad bancaria, ratios de liquidez y capitalización, entre otros</w:t>
      </w:r>
      <w:hyperlink r:id="rId10" w:anchor=":~:text=lifeblood%20of%20the%20entire%20economy,business%20might%20also%20increase%20financial" w:tgtFrame="_blank" w:history="1">
        <w:r w:rsidRPr="00E844B5">
          <w:rPr>
            <w:rStyle w:val="Hipervnculo"/>
          </w:rPr>
          <w:t>nature.com</w:t>
        </w:r>
      </w:hyperlink>
      <w:r w:rsidRPr="00E844B5">
        <w:t>. Nuestro modelo comparte con estos enfoques el uso de un análisis factorial para sintetizar múltiples variables, pero se distingue en la naturaleza de las señales consideradas (en lugar de solo agregados macro, incorporamos medidas de dinámica de mercado como correlación, autocorrelación y sincronización) y en el tratamiento explícito de no linealidades críticas.</w:t>
      </w:r>
    </w:p>
    <w:p w14:paraId="78C2E32B" w14:textId="77777777" w:rsidR="00E844B5" w:rsidRPr="00E844B5" w:rsidRDefault="00E844B5" w:rsidP="00E844B5">
      <w:pPr>
        <w:numPr>
          <w:ilvl w:val="0"/>
          <w:numId w:val="5"/>
        </w:numPr>
      </w:pPr>
      <w:r w:rsidRPr="00E844B5">
        <w:lastRenderedPageBreak/>
        <w:t xml:space="preserve">Medidas de riesgo sistémico basadas en el mercado: Otra rama de la literatura se enfoca en mediciones cuantitativas de riesgo sistémico derivadas de precios de mercado y balance de instituciones. Entre ellas destacan el </w:t>
      </w:r>
      <w:proofErr w:type="spellStart"/>
      <w:r w:rsidRPr="00E844B5">
        <w:t>CoVaR</w:t>
      </w:r>
      <w:proofErr w:type="spellEnd"/>
      <w:r w:rsidRPr="00E844B5">
        <w:t xml:space="preserve"> (</w:t>
      </w:r>
      <w:proofErr w:type="spellStart"/>
      <w:r w:rsidRPr="00E844B5">
        <w:t>Value</w:t>
      </w:r>
      <w:proofErr w:type="spellEnd"/>
      <w:r w:rsidRPr="00E844B5">
        <w:t xml:space="preserve"> at </w:t>
      </w:r>
      <w:proofErr w:type="spellStart"/>
      <w:r w:rsidRPr="00E844B5">
        <w:t>Risk</w:t>
      </w:r>
      <w:proofErr w:type="spellEnd"/>
      <w:r w:rsidRPr="00E844B5">
        <w:t xml:space="preserve"> condicional; </w:t>
      </w:r>
      <w:proofErr w:type="spellStart"/>
      <w:r w:rsidRPr="00E844B5">
        <w:t>Adrian</w:t>
      </w:r>
      <w:proofErr w:type="spellEnd"/>
      <w:r w:rsidRPr="00E844B5">
        <w:t xml:space="preserve"> &amp; </w:t>
      </w:r>
      <w:proofErr w:type="spellStart"/>
      <w:r w:rsidRPr="00E844B5">
        <w:t>Brunnermeier</w:t>
      </w:r>
      <w:proofErr w:type="spellEnd"/>
      <w:r w:rsidRPr="00E844B5">
        <w:t>, 2011) y el SRISK (</w:t>
      </w:r>
      <w:proofErr w:type="spellStart"/>
      <w:r w:rsidRPr="00E844B5">
        <w:t>Acharya</w:t>
      </w:r>
      <w:proofErr w:type="spellEnd"/>
      <w:r w:rsidRPr="00E844B5">
        <w:t xml:space="preserve"> et al., 2012) que estiman la contribución de una entidad al riesgo sistémico bajo escenarios extremos. Estas métricas se calculan típicamente en horizontes cortos (diarios o semanales) usando datos de mercado (retornos, volatilidades, capitalización) y modelan relaciones contemporáneas (correlaciones en cola, pérdidas esperadas) sin incorporar necesariamente indicadores de </w:t>
      </w:r>
      <w:r w:rsidRPr="00E844B5">
        <w:rPr>
          <w:i/>
          <w:iCs/>
        </w:rPr>
        <w:t>ralentización temporal</w:t>
      </w:r>
      <w:r w:rsidRPr="00E844B5">
        <w:t xml:space="preserve">. Otros índices como el índice de absorción de </w:t>
      </w:r>
      <w:proofErr w:type="spellStart"/>
      <w:r w:rsidRPr="00E844B5">
        <w:t>Kritzman</w:t>
      </w:r>
      <w:proofErr w:type="spellEnd"/>
      <w:r w:rsidRPr="00E844B5">
        <w:t xml:space="preserve"> et al. (2011) utilizan la proporción de varianza explicada por las principales componentes de un conjunto de activos para inferir fragilidad (bajo el argumento de que mercados altamente correlacionados —alta absorción— son más propensos a choques sistémicos). Si bien estos enfoques capturan cierta interdependencia entre agentes, no abordan explícitamente múltiples escalas temporales ni la proximidad a bifurcaciones dinámicas. En comparación, nuestro modelo introduce la noción de “relatividad económica” en el tiempo, separando las señales en bandas de frecuencia para aislar la </w:t>
      </w:r>
      <w:r w:rsidRPr="00E844B5">
        <w:rPr>
          <w:i/>
          <w:iCs/>
        </w:rPr>
        <w:t>fragilidad estructural lenta</w:t>
      </w:r>
      <w:r w:rsidRPr="00E844B5">
        <w:t xml:space="preserve"> de la </w:t>
      </w:r>
      <w:r w:rsidRPr="00E844B5">
        <w:rPr>
          <w:i/>
          <w:iCs/>
        </w:rPr>
        <w:t>dinámica rápida de ruido</w:t>
      </w:r>
      <w:r w:rsidRPr="00E844B5">
        <w:t>. Esto significa que integra información de corto y largo plazo simultáneamente, algo poco explorado en los índices tradicionales de riesgo sistémico.</w:t>
      </w:r>
    </w:p>
    <w:p w14:paraId="6791EEE4" w14:textId="77777777" w:rsidR="00E844B5" w:rsidRPr="00E844B5" w:rsidRDefault="00E844B5" w:rsidP="00E844B5">
      <w:pPr>
        <w:numPr>
          <w:ilvl w:val="0"/>
          <w:numId w:val="5"/>
        </w:numPr>
      </w:pPr>
      <w:r w:rsidRPr="00E844B5">
        <w:t xml:space="preserve">Modelos de redes y sincronización sistémica: Existe literatura emergente que aplica conceptos de la física de redes complejas a las finanzas. Por ejemplo, estudios han modelado los mercados financieros como conjuntos de osciladores acoplados, utilizando el orden de sincronización de </w:t>
      </w:r>
      <w:proofErr w:type="spellStart"/>
      <w:r w:rsidRPr="00E844B5">
        <w:t>Kuramoto</w:t>
      </w:r>
      <w:proofErr w:type="spellEnd"/>
      <w:r w:rsidRPr="00E844B5">
        <w:t xml:space="preserve"> para cuantificar coherencia de fases entre activos o instituciones. </w:t>
      </w:r>
      <w:proofErr w:type="spellStart"/>
      <w:r w:rsidRPr="00E844B5">
        <w:t>Peron</w:t>
      </w:r>
      <w:proofErr w:type="spellEnd"/>
      <w:r w:rsidRPr="00E844B5">
        <w:t xml:space="preserve"> y </w:t>
      </w:r>
      <w:proofErr w:type="spellStart"/>
      <w:r w:rsidRPr="00E844B5">
        <w:t>Rodrigues</w:t>
      </w:r>
      <w:proofErr w:type="spellEnd"/>
      <w:r w:rsidRPr="00E844B5">
        <w:t xml:space="preserve"> (2011) demostraron que durante las crisis financieras </w:t>
      </w:r>
      <w:r w:rsidRPr="00E844B5">
        <w:rPr>
          <w:i/>
          <w:iCs/>
        </w:rPr>
        <w:t>“emerge un estado sincrónico”</w:t>
      </w:r>
      <w:r w:rsidRPr="00E844B5">
        <w:t xml:space="preserve"> en el mercado, donde los precios de los activos se mueven de forma altamente coherente</w:t>
      </w:r>
      <w:hyperlink r:id="rId11" w:anchor=":~:text=market%20by%20using%20concepts%20of,stock%20prices%20present%20a%20similar" w:tgtFrame="_blank" w:history="1">
        <w:r w:rsidRPr="00E844B5">
          <w:rPr>
            <w:rStyle w:val="Hipervnculo"/>
          </w:rPr>
          <w:t>arxiv.org</w:t>
        </w:r>
      </w:hyperlink>
      <w:r w:rsidRPr="00E844B5">
        <w:t>. En otras palabras, se observa una fuerte sincronización de comportamientos que define la dirección general del mercado en momentos de estrés. También se ha observado que en fases críticas las distancias efectivas en la red financiera se reducen, indicando una mayor conectividad o contagio</w:t>
      </w:r>
      <w:hyperlink r:id="rId12" w:anchor=":~:text=evolution%20of%20the%20phase%20coherence,stocks%2C%20indication%20a%20collective%20dynamics" w:tgtFrame="_blank" w:history="1">
        <w:r w:rsidRPr="00E844B5">
          <w:rPr>
            <w:rStyle w:val="Hipervnculo"/>
          </w:rPr>
          <w:t>arxiv.org</w:t>
        </w:r>
      </w:hyperlink>
      <w:r w:rsidRPr="00E844B5">
        <w:t>. Otros trabajos en esta línea incluyen modelos de contagio bancario mediante redes interbancarias y medidas de centralidad sistémica (</w:t>
      </w:r>
      <w:proofErr w:type="spellStart"/>
      <w:r w:rsidRPr="00E844B5">
        <w:t>e.g</w:t>
      </w:r>
      <w:proofErr w:type="spellEnd"/>
      <w:r w:rsidRPr="00E844B5">
        <w:t xml:space="preserve">. </w:t>
      </w:r>
      <w:proofErr w:type="spellStart"/>
      <w:r w:rsidRPr="00E844B5">
        <w:t>DebtRank</w:t>
      </w:r>
      <w:proofErr w:type="spellEnd"/>
      <w:r w:rsidRPr="00E844B5">
        <w:t xml:space="preserve">), así como análisis de propagación de choques usando simulaciones </w:t>
      </w:r>
      <w:proofErr w:type="spellStart"/>
      <w:r w:rsidRPr="00E844B5">
        <w:t>multi-agente</w:t>
      </w:r>
      <w:proofErr w:type="spellEnd"/>
      <w:r w:rsidRPr="00E844B5">
        <w:t>. La contribución de nuestro enfoque relativista de escalas múltiples es integrar algunas de estas ideas (</w:t>
      </w:r>
      <w:proofErr w:type="spellStart"/>
      <w:r w:rsidRPr="00E844B5">
        <w:t>e.g</w:t>
      </w:r>
      <w:proofErr w:type="spellEnd"/>
      <w:r w:rsidRPr="00E844B5">
        <w:t xml:space="preserve">. </w:t>
      </w:r>
      <w:r w:rsidRPr="00E844B5">
        <w:rPr>
          <w:i/>
          <w:iCs/>
        </w:rPr>
        <w:t>acoplamiento global del mercado</w:t>
      </w:r>
      <w:r w:rsidRPr="00E844B5">
        <w:t xml:space="preserve"> medido por $</w:t>
      </w:r>
      <w:proofErr w:type="spellStart"/>
      <w:r w:rsidRPr="00E844B5">
        <w:t>S_t</w:t>
      </w:r>
      <w:proofErr w:type="spellEnd"/>
      <w:r w:rsidRPr="00E844B5">
        <w:t xml:space="preserve">$) en un marco unificado con indicadores de transiciones críticas. A diferencia de modelos de red puros, aquí combinamos la sincronización con métricas de distribución (sesgo), volatilidad y memoria (ACF) para capturar tanto la </w:t>
      </w:r>
      <w:r w:rsidRPr="00E844B5">
        <w:rPr>
          <w:i/>
          <w:iCs/>
        </w:rPr>
        <w:t>conectividad sistémica</w:t>
      </w:r>
      <w:r w:rsidRPr="00E844B5">
        <w:t xml:space="preserve"> como la </w:t>
      </w:r>
      <w:r w:rsidRPr="00E844B5">
        <w:rPr>
          <w:i/>
          <w:iCs/>
        </w:rPr>
        <w:t>fragilidad intrínseca</w:t>
      </w:r>
      <w:r w:rsidRPr="00E844B5">
        <w:t xml:space="preserve"> del sistema. Además, incorporamos explícitamente la teoría de bifurcaciones (catástrofe cúspide), la cual no aparece en modelos estándares de redes financieras. Esta integración interdisciplinaria –física de sistemas complejos con finanzas– es un aporte novedoso: propone que los mercados pueden experimentar transiciones de fase cuando diferentes escalas temporales “se </w:t>
      </w:r>
      <w:r w:rsidRPr="00E844B5">
        <w:lastRenderedPageBreak/>
        <w:t>sincronizan” y el sistema pierde estabilidad, algo que los modelos tradicionales no formulan explícitamente.</w:t>
      </w:r>
    </w:p>
    <w:p w14:paraId="64868DD9" w14:textId="77777777" w:rsidR="00E844B5" w:rsidRPr="00E844B5" w:rsidRDefault="00E844B5" w:rsidP="00E844B5">
      <w:r w:rsidRPr="00E844B5">
        <w:t>En suma, la literatura previa ofrece piezas aisladas: indicadores macro de vulnerabilidad, métricas de riesgo de mercado contemporáneo, o modelos de red para contagio. Sin embargo, ningún modelo previo combina (i) un índice latente multifactorial, (</w:t>
      </w:r>
      <w:proofErr w:type="spellStart"/>
      <w:r w:rsidRPr="00E844B5">
        <w:t>ii</w:t>
      </w:r>
      <w:proofErr w:type="spellEnd"/>
      <w:r w:rsidRPr="00E844B5">
        <w:t>) descomposición multiescalar del tiempo, y (</w:t>
      </w:r>
      <w:proofErr w:type="spellStart"/>
      <w:r w:rsidRPr="00E844B5">
        <w:t>iii</w:t>
      </w:r>
      <w:proofErr w:type="spellEnd"/>
      <w:r w:rsidRPr="00E844B5">
        <w:t xml:space="preserve">) dinámica de bifurcación no lineal como lo hace nuestro enfoque. En la sección de revisión, se discutiría cómo cada componente de nuestro modelo se relaciona con hallazgos previos (por ejemplo, conectar la ralentización crítica con trabajos de </w:t>
      </w:r>
      <w:proofErr w:type="spellStart"/>
      <w:r w:rsidRPr="00E844B5">
        <w:rPr>
          <w:i/>
          <w:iCs/>
        </w:rPr>
        <w:t>early</w:t>
      </w:r>
      <w:proofErr w:type="spellEnd"/>
      <w:r w:rsidRPr="00E844B5">
        <w:rPr>
          <w:i/>
          <w:iCs/>
        </w:rPr>
        <w:t xml:space="preserve"> </w:t>
      </w:r>
      <w:proofErr w:type="spellStart"/>
      <w:r w:rsidRPr="00E844B5">
        <w:rPr>
          <w:i/>
          <w:iCs/>
        </w:rPr>
        <w:t>warning</w:t>
      </w:r>
      <w:proofErr w:type="spellEnd"/>
      <w:r w:rsidRPr="00E844B5">
        <w:t xml:space="preserve"> que examinan autocorrelación y varianza</w:t>
      </w:r>
      <w:hyperlink r:id="rId13" w:anchor=":~:text=However%2C%20this%20study%20is%20focusing,gives%20a%20rising%20trend%20in" w:tgtFrame="_blank" w:history="1">
        <w:r w:rsidRPr="00E844B5">
          <w:rPr>
            <w:rStyle w:val="Hipervnculo"/>
          </w:rPr>
          <w:t>frontiersin.org</w:t>
        </w:r>
      </w:hyperlink>
      <w:r w:rsidRPr="00E844B5">
        <w:t xml:space="preserve">, o conectar la sincronización </w:t>
      </w:r>
      <w:proofErr w:type="spellStart"/>
      <w:r w:rsidRPr="00E844B5">
        <w:t>Kuramoto</w:t>
      </w:r>
      <w:proofErr w:type="spellEnd"/>
      <w:r w:rsidRPr="00E844B5">
        <w:t xml:space="preserve"> con estudios de coherencia de mercados</w:t>
      </w:r>
      <w:hyperlink r:id="rId14" w:anchor=":~:text=market%20by%20using%20concepts%20of,stock%20prices%20present%20a%20similar" w:tgtFrame="_blank" w:history="1">
        <w:r w:rsidRPr="00E844B5">
          <w:rPr>
            <w:rStyle w:val="Hipervnculo"/>
          </w:rPr>
          <w:t>arxiv.org</w:t>
        </w:r>
      </w:hyperlink>
      <w:r w:rsidRPr="00E844B5">
        <w:t>), resaltando cómo la síntesis de todos estos elementos en un marco cohesivo constituye la originalidad de nuestra propuesta.</w:t>
      </w:r>
    </w:p>
    <w:p w14:paraId="18FCA2B0" w14:textId="77777777" w:rsidR="00E844B5" w:rsidRPr="00E844B5" w:rsidRDefault="00E844B5" w:rsidP="00E844B5">
      <w:r w:rsidRPr="00E844B5">
        <w:t>3. Análisis Estadístico Completo</w:t>
      </w:r>
    </w:p>
    <w:p w14:paraId="2EFA0026" w14:textId="77777777" w:rsidR="00E844B5" w:rsidRPr="00E844B5" w:rsidRDefault="00E844B5" w:rsidP="00E844B5">
      <w:r w:rsidRPr="00E844B5">
        <w:t xml:space="preserve">El informe actual menciona, de manera prometedora, una reducción aproximada del 60% en falsos positivos al emplear este modelo (es decir, una disminución significativa de </w:t>
      </w:r>
      <w:r w:rsidRPr="00E844B5">
        <w:rPr>
          <w:i/>
          <w:iCs/>
        </w:rPr>
        <w:t>alertas falsas</w:t>
      </w:r>
      <w:r w:rsidRPr="00E844B5">
        <w:t xml:space="preserve"> de crisis en comparación con enfoques previos o con un umbral tradicional). No obstante, una publicación formal debe respaldar cuantitativamente tales afirmaciones con un análisis estadístico exhaustivo. Esto implicaría incluir resultados numéricos detallados, pruebas de significancia y visualizaciones que demuestren rigurosamente la mejora del modelo. Algunos elementos clave a incorporar serían:</w:t>
      </w:r>
    </w:p>
    <w:p w14:paraId="47E46CD9" w14:textId="77777777" w:rsidR="00E844B5" w:rsidRPr="00E844B5" w:rsidRDefault="00E844B5" w:rsidP="00E844B5">
      <w:pPr>
        <w:numPr>
          <w:ilvl w:val="0"/>
          <w:numId w:val="6"/>
        </w:numPr>
      </w:pPr>
      <w:r w:rsidRPr="00E844B5">
        <w:t xml:space="preserve">Métricas de desempeño y tablas de contingencia: Presentar tablas con las métricas clásicas de clasificación binaria para la predicción de crisis. Por ejemplo, una tabla comparativa de </w:t>
      </w:r>
      <w:r w:rsidRPr="00E844B5">
        <w:rPr>
          <w:i/>
          <w:iCs/>
        </w:rPr>
        <w:t>verdaderos positivos</w:t>
      </w:r>
      <w:r w:rsidRPr="00E844B5">
        <w:t xml:space="preserve">, </w:t>
      </w:r>
      <w:r w:rsidRPr="00E844B5">
        <w:rPr>
          <w:i/>
          <w:iCs/>
        </w:rPr>
        <w:t>falsos positivos</w:t>
      </w:r>
      <w:r w:rsidRPr="00E844B5">
        <w:t xml:space="preserve">, </w:t>
      </w:r>
      <w:r w:rsidRPr="00E844B5">
        <w:rPr>
          <w:i/>
          <w:iCs/>
        </w:rPr>
        <w:t>verdaderos negativos</w:t>
      </w:r>
      <w:r w:rsidRPr="00E844B5">
        <w:t xml:space="preserve"> y </w:t>
      </w:r>
      <w:r w:rsidRPr="00E844B5">
        <w:rPr>
          <w:i/>
          <w:iCs/>
        </w:rPr>
        <w:t>falsos negativos</w:t>
      </w:r>
      <w:r w:rsidRPr="00E844B5">
        <w:t xml:space="preserve"> para nuestro modelo vs. un modelo de referencia (por ejemplo, un indicador tradicional o un modelo anterior) en un conjunto de validación. De estas tablas se derivarían tasas como la tasa de falsos positivos (FPR) y tasa de falsos negativos (FNR), precisión, sensibilidad (</w:t>
      </w:r>
      <w:proofErr w:type="spellStart"/>
      <w:r w:rsidRPr="00E844B5">
        <w:t>recall</w:t>
      </w:r>
      <w:proofErr w:type="spellEnd"/>
      <w:r w:rsidRPr="00E844B5">
        <w:t>) y especificidad. La afirmación de “60% menos falsos positivos” debe mostrarse numéricamente; por ejemplo, si un modelo base tuvo 10 falsas alarmas por año y el nuestro 4, exponer claramente esa diferencia. Asimismo, habría que documentar intervalos de confianza para estas tasas, dado que las estimaciones dependen del número de eventos de crisis en el muestreo.</w:t>
      </w:r>
    </w:p>
    <w:p w14:paraId="21309FC5" w14:textId="77777777" w:rsidR="00E844B5" w:rsidRPr="00E844B5" w:rsidRDefault="00E844B5" w:rsidP="00E844B5">
      <w:pPr>
        <w:numPr>
          <w:ilvl w:val="0"/>
          <w:numId w:val="6"/>
        </w:numPr>
      </w:pPr>
      <w:r w:rsidRPr="00E844B5">
        <w:t>Curvas ROC y AUC: Incluir una Curva ROC (</w:t>
      </w:r>
      <w:r w:rsidRPr="00E844B5">
        <w:rPr>
          <w:i/>
          <w:iCs/>
        </w:rPr>
        <w:t xml:space="preserve">Receiver </w:t>
      </w:r>
      <w:proofErr w:type="spellStart"/>
      <w:r w:rsidRPr="00E844B5">
        <w:rPr>
          <w:i/>
          <w:iCs/>
        </w:rPr>
        <w:t>Operating</w:t>
      </w:r>
      <w:proofErr w:type="spellEnd"/>
      <w:r w:rsidRPr="00E844B5">
        <w:rPr>
          <w:i/>
          <w:iCs/>
        </w:rPr>
        <w:t xml:space="preserve"> </w:t>
      </w:r>
      <w:proofErr w:type="spellStart"/>
      <w:r w:rsidRPr="00E844B5">
        <w:rPr>
          <w:i/>
          <w:iCs/>
        </w:rPr>
        <w:t>Characteristic</w:t>
      </w:r>
      <w:proofErr w:type="spellEnd"/>
      <w:r w:rsidRPr="00E844B5">
        <w:t>) comparando el desempeño de nuestro índice integrado vs. otros indicadores. La curva ROC mostraría cómo varía la tasa de verdaderos positivos vs. falsos positivos a diferentes umbrales del indicador de fragilidad. Una mejora del modelo típicamente se reflejaría en una curva ROC más cercana a la esquina superior izquierda (mayor área bajo la curva). De hecho, una reducción sustancial de falsos positivos sugiere un aumento de la especificidad sin sacrificar sensibilidad, lo que elevaría el AUC (</w:t>
      </w:r>
      <w:proofErr w:type="spellStart"/>
      <w:r w:rsidRPr="00E844B5">
        <w:t>Area</w:t>
      </w:r>
      <w:proofErr w:type="spellEnd"/>
      <w:r w:rsidRPr="00E844B5">
        <w:t xml:space="preserve"> </w:t>
      </w:r>
      <w:proofErr w:type="spellStart"/>
      <w:r w:rsidRPr="00E844B5">
        <w:t>Under</w:t>
      </w:r>
      <w:proofErr w:type="spellEnd"/>
      <w:r w:rsidRPr="00E844B5">
        <w:t xml:space="preserve"> </w:t>
      </w:r>
      <w:proofErr w:type="spellStart"/>
      <w:r w:rsidRPr="00E844B5">
        <w:t>the</w:t>
      </w:r>
      <w:proofErr w:type="spellEnd"/>
      <w:r w:rsidRPr="00E844B5">
        <w:t xml:space="preserve"> Curve). Presentar el AUC cuantifica el desempeño global: por ejemplo, un AUC de 0.85 para nuestro modelo frente a 0.70 de un </w:t>
      </w:r>
      <w:proofErr w:type="spellStart"/>
      <w:r w:rsidRPr="00E844B5">
        <w:t>benchmark</w:t>
      </w:r>
      <w:proofErr w:type="spellEnd"/>
      <w:r w:rsidRPr="00E844B5">
        <w:t xml:space="preserve"> evidenciaría una mejora notable. Además, en un artículo se podría aplicar la prueba de </w:t>
      </w:r>
      <w:proofErr w:type="spellStart"/>
      <w:r w:rsidRPr="00E844B5">
        <w:t>DeLong</w:t>
      </w:r>
      <w:proofErr w:type="spellEnd"/>
      <w:r w:rsidRPr="00E844B5">
        <w:t xml:space="preserve"> (1988) </w:t>
      </w:r>
      <w:r w:rsidRPr="00E844B5">
        <w:lastRenderedPageBreak/>
        <w:t>u otra para evaluar si la diferencia entre dos AUC es estadísticamente significativa (con un p-valor apropiado).</w:t>
      </w:r>
    </w:p>
    <w:p w14:paraId="616E015C" w14:textId="77777777" w:rsidR="00E844B5" w:rsidRPr="00E844B5" w:rsidRDefault="00E844B5" w:rsidP="00E844B5">
      <w:pPr>
        <w:numPr>
          <w:ilvl w:val="0"/>
          <w:numId w:val="6"/>
        </w:numPr>
      </w:pPr>
      <w:r w:rsidRPr="00E844B5">
        <w:t xml:space="preserve">Pruebas de significancia estadística: Para afirmar rigurosamente la superioridad del modelo, se deben realizar pruebas de hipótesis. Por ejemplo, podría usarse </w:t>
      </w:r>
      <w:proofErr w:type="gramStart"/>
      <w:r w:rsidRPr="00E844B5">
        <w:t>un test</w:t>
      </w:r>
      <w:proofErr w:type="gramEnd"/>
      <w:r w:rsidRPr="00E844B5">
        <w:t xml:space="preserve"> de </w:t>
      </w:r>
      <w:proofErr w:type="spellStart"/>
      <w:r w:rsidRPr="00E844B5">
        <w:t>McNemar</w:t>
      </w:r>
      <w:proofErr w:type="spellEnd"/>
      <w:r w:rsidRPr="00E844B5">
        <w:t xml:space="preserve"> para comparar la proporción de errores (falsos positivos/negativos) entre nuestro modelo y el método de referencia en predicciones binarias de crisis. </w:t>
      </w:r>
      <w:proofErr w:type="gramStart"/>
      <w:r w:rsidRPr="00E844B5">
        <w:t>Este test</w:t>
      </w:r>
      <w:proofErr w:type="gramEnd"/>
      <w:r w:rsidRPr="00E844B5">
        <w:t xml:space="preserve"> contrastaría la hipótesis de que las diferencias en clasificaciones erróneas son aleatorias; un resultado significativo (p. ej. $p &lt; 0.05$) apoyaría que la reducción del 60% en falsos positivos no es atribuible al azar sino al desempeño superior del modelo. Asimismo, se podrían reportar </w:t>
      </w:r>
      <w:r w:rsidRPr="00E844B5">
        <w:rPr>
          <w:i/>
          <w:iCs/>
        </w:rPr>
        <w:t>p-</w:t>
      </w:r>
      <w:proofErr w:type="spellStart"/>
      <w:r w:rsidRPr="00E844B5">
        <w:rPr>
          <w:i/>
          <w:iCs/>
        </w:rPr>
        <w:t>values</w:t>
      </w:r>
      <w:proofErr w:type="spellEnd"/>
      <w:r w:rsidRPr="00E844B5">
        <w:t xml:space="preserve"> o estadísticos $t$ para la diferencia en tasas de falsos positivos entre métodos. Otra prueba pertinente sería evaluar la estabilidad temporal del desempeño mediante validación cruzada por bloques de tiempo (evaluando si en distintos períodos la tasa de alerta falsa se mantiene consistentemente baja, con pequeñas desviaciones estándar). El uso de pruebas de aleatorización o </w:t>
      </w:r>
      <w:proofErr w:type="spellStart"/>
      <w:r w:rsidRPr="00E844B5">
        <w:rPr>
          <w:i/>
          <w:iCs/>
        </w:rPr>
        <w:t>bootstrapping</w:t>
      </w:r>
      <w:proofErr w:type="spellEnd"/>
      <w:r w:rsidRPr="00E844B5">
        <w:t xml:space="preserve"> también reforzaría la robustez de los resultados, por ejemplo, </w:t>
      </w:r>
      <w:proofErr w:type="spellStart"/>
      <w:r w:rsidRPr="00E844B5">
        <w:t>re-muestreando</w:t>
      </w:r>
      <w:proofErr w:type="spellEnd"/>
      <w:r w:rsidRPr="00E844B5">
        <w:t xml:space="preserve"> las series de tiempo de crisis para estimar la distribución de métricas de desempeño bajo distintas condiciones.</w:t>
      </w:r>
    </w:p>
    <w:p w14:paraId="54371A7C" w14:textId="77777777" w:rsidR="00E844B5" w:rsidRPr="00E844B5" w:rsidRDefault="00E844B5" w:rsidP="00E844B5">
      <w:pPr>
        <w:numPr>
          <w:ilvl w:val="0"/>
          <w:numId w:val="6"/>
        </w:numPr>
      </w:pPr>
      <w:r w:rsidRPr="00E844B5">
        <w:t xml:space="preserve">Resumen visual de mejoras: Más allá de tablas, es útil incluir figuras que ilustren el poder predictivo. Por ejemplo, un gráfico de timeline que marque las crisis históricas y muestre la señal de fragilidad generada por nuestro modelo vs. otro índice, evidenciando que el nuestro genera menos “falsas alarmas” (picos por encima del umbral crítico en periodos que no desembocaron en crisis). Esto permitiría al lector ver cualitativamente que el modelo es más parsimonioso en alertar solo cuando realmente había riesgo sistémico inminente. Adicionalmente, gráficos de importancia de variables o </w:t>
      </w:r>
      <w:proofErr w:type="spellStart"/>
      <w:r w:rsidRPr="00E844B5">
        <w:t>ablasión</w:t>
      </w:r>
      <w:proofErr w:type="spellEnd"/>
      <w:r w:rsidRPr="00E844B5">
        <w:t xml:space="preserve"> de componentes podrían demostrar que la combinación multiescalar y multifactorial efectivamente contribuye a reducir los errores: por ejemplo, mostrar que quitar el componente lento (estructural) haría aumentar los falsos positivos, etc.</w:t>
      </w:r>
    </w:p>
    <w:p w14:paraId="60FFEEBF" w14:textId="77777777" w:rsidR="00E844B5" w:rsidRPr="00E844B5" w:rsidRDefault="00E844B5" w:rsidP="00E844B5">
      <w:r w:rsidRPr="00E844B5">
        <w:t>En resumen, la sección de análisis estadístico en la publicación formal debe transformar las promesas numéricas en evidencia cuantitativa sólida. Cada afirmación (p.ej., “reducción de falsos positivos de 60%”) irá acompañada de datos reproducibles y contrastes estadísticos. Esto dará credibilidad al modelo, demostrando que mejoras como la ampliación del lead time de alerta temprana (171 días en la banda lenta) o la tasa reducida de alarmas erróneas están respaldadas por pruebas rigurosas y son estadísticamente significativas, fortaleciendo la validez científica de la propuesta.</w:t>
      </w:r>
    </w:p>
    <w:p w14:paraId="5576FE36" w14:textId="77777777" w:rsidR="00E844B5" w:rsidRPr="00E844B5" w:rsidRDefault="00E844B5" w:rsidP="00E844B5">
      <w:r w:rsidRPr="00E844B5">
        <w:t>4. Derivaciones y Pruebas Matemáticas</w:t>
      </w:r>
    </w:p>
    <w:p w14:paraId="51033BE0" w14:textId="77777777" w:rsidR="00E844B5" w:rsidRPr="00E844B5" w:rsidRDefault="00E844B5" w:rsidP="00E844B5">
      <w:r w:rsidRPr="00E844B5">
        <w:t>La base teórica del modelo involucra conceptos avanzados de dinámica no lineal (como la catástrofe cúspide) y de señales de transición crítica (ralentización, sincronización), los cuales en un artículo científico deben exponerse con mayor formalidad matemática. A continuación, se describen las derivaciones esenciales que habría que incluir, vinculando dichas teorías con el modelo financiero:</w:t>
      </w:r>
    </w:p>
    <w:p w14:paraId="041CED8D" w14:textId="77777777" w:rsidR="00E844B5" w:rsidRPr="00E844B5" w:rsidRDefault="00E844B5" w:rsidP="00E844B5">
      <w:pPr>
        <w:numPr>
          <w:ilvl w:val="0"/>
          <w:numId w:val="7"/>
        </w:numPr>
      </w:pPr>
      <w:r w:rsidRPr="00E844B5">
        <w:lastRenderedPageBreak/>
        <w:t>Formalismo de la catástrofe cúspide: El modelo emplea la teoría de catástrofes para describir cambios abruptos en la estabilidad del sistema financiero. En particular, asume que la dinámica subyacente de la fragilidad sistémica se puede aproximar mediante una catástrofe de cúspide (</w:t>
      </w:r>
      <w:proofErr w:type="spellStart"/>
      <w:r w:rsidRPr="00E844B5">
        <w:t>cusp</w:t>
      </w:r>
      <w:proofErr w:type="spellEnd"/>
      <w:r w:rsidRPr="00E844B5">
        <w:t xml:space="preserve"> </w:t>
      </w:r>
      <w:proofErr w:type="spellStart"/>
      <w:r w:rsidRPr="00E844B5">
        <w:t>catastrophe</w:t>
      </w:r>
      <w:proofErr w:type="spellEnd"/>
      <w:r w:rsidRPr="00E844B5">
        <w:t>). Matemáticamente, esto se representa con una función potencial de la forma:</w:t>
      </w:r>
    </w:p>
    <w:p w14:paraId="64D1E049" w14:textId="17DCCF6A" w:rsidR="00E844B5" w:rsidRPr="00E844B5" w:rsidRDefault="00E844B5" w:rsidP="00E844B5">
      <m:oMathPara>
        <m:oMath>
          <m:r>
            <w:rPr>
              <w:rFonts w:ascii="Cambria Math" w:hAnsi="Cambria Math"/>
            </w:rPr>
            <m:t>V(x;a,b)=</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en>
          </m:f>
          <m:r>
            <m:rPr>
              <m:nor/>
            </m:rPr>
            <w:rPr>
              <w:rFonts w:ascii="Arial" w:hAnsi="Arial" w:cs="Arial"/>
            </w:rPr>
            <m:t>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m:t>
          </m:r>
          <m:r>
            <m:rPr>
              <m:nor/>
            </m:rPr>
            <w:rPr>
              <w:rFonts w:ascii="Arial" w:hAnsi="Arial" w:cs="Arial"/>
            </w:rPr>
            <m:t> </m:t>
          </m:r>
          <m:r>
            <w:rPr>
              <w:rFonts w:ascii="Cambria Math" w:hAnsi="Cambria Math"/>
            </w:rPr>
            <m:t>x,</m:t>
          </m:r>
        </m:oMath>
      </m:oMathPara>
    </w:p>
    <w:p w14:paraId="629634D9" w14:textId="77777777" w:rsidR="00E844B5" w:rsidRPr="00E844B5" w:rsidRDefault="00E844B5" w:rsidP="00E844B5">
      <w:r w:rsidRPr="00E844B5">
        <w:t>donde $x$ sería una variable de estado asociada al nivel de fragilidad sistémica, y $a$ y $</w:t>
      </w:r>
      <w:proofErr w:type="spellStart"/>
      <w:r w:rsidRPr="00E844B5">
        <w:t>b$</w:t>
      </w:r>
      <w:proofErr w:type="spellEnd"/>
      <w:r w:rsidRPr="00E844B5">
        <w:t xml:space="preserve"> son parámetros de control (determinados por las condiciones del sistema). En términos financieros, podemos interpretar $a$ como un parámetro relacionado con la estructura estable vs inestable del sistema (p. ej., la fortaleza de los mecanismos de autorregulación o retroalimentación negativa del mercado), y $</w:t>
      </w:r>
      <w:proofErr w:type="spellStart"/>
      <w:r w:rsidRPr="00E844B5">
        <w:t>b$</w:t>
      </w:r>
      <w:proofErr w:type="spellEnd"/>
      <w:r w:rsidRPr="00E844B5">
        <w:t xml:space="preserve"> como un factor de fuerza externa o estrés neto que empuja al sistema (p. ej., choques acumulados, sesgos que inclinan la balanza hacia un colapso).</w:t>
      </w:r>
    </w:p>
    <w:p w14:paraId="37764AFD" w14:textId="77777777" w:rsidR="00E844B5" w:rsidRPr="00E844B5" w:rsidRDefault="00E844B5" w:rsidP="00E844B5">
      <w:r w:rsidRPr="00E844B5">
        <w:t>Para entender el comportamiento, se deriva la ecuación de equilibrio ajustando a cero la derivada del potencial (i.e. imponiendo $\</w:t>
      </w:r>
      <w:proofErr w:type="spellStart"/>
      <w:r w:rsidRPr="00E844B5">
        <w:t>partial</w:t>
      </w:r>
      <w:proofErr w:type="spellEnd"/>
      <w:r w:rsidRPr="00E844B5">
        <w:t xml:space="preserve"> V/\</w:t>
      </w:r>
      <w:proofErr w:type="spellStart"/>
      <w:r w:rsidRPr="00E844B5">
        <w:t>partial</w:t>
      </w:r>
      <w:proofErr w:type="spellEnd"/>
      <w:r w:rsidRPr="00E844B5">
        <w:t xml:space="preserve"> x = 0$):</w:t>
      </w:r>
    </w:p>
    <w:p w14:paraId="5027A3CD" w14:textId="52A55CE4" w:rsidR="00E844B5" w:rsidRPr="00E844B5" w:rsidRDefault="00E844B5" w:rsidP="00E844B5">
      <m:oMathPara>
        <m:oMath>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x</m:t>
              </m:r>
            </m:den>
          </m:f>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+a</m:t>
          </m:r>
          <m:r>
            <m:rPr>
              <m:nor/>
            </m:rPr>
            <w:rPr>
              <w:rFonts w:ascii="Arial" w:hAnsi="Arial" w:cs="Arial"/>
            </w:rPr>
            <m:t> </m:t>
          </m:r>
          <m:r>
            <w:rPr>
              <w:rFonts w:ascii="Cambria Math" w:hAnsi="Cambria Math"/>
            </w:rPr>
            <m:t>x+b=0.</m:t>
          </m:r>
        </m:oMath>
      </m:oMathPara>
    </w:p>
    <w:p w14:paraId="1BC3CBC9" w14:textId="77777777" w:rsidR="00E844B5" w:rsidRPr="00E844B5" w:rsidRDefault="00E844B5" w:rsidP="00E844B5">
      <w:r w:rsidRPr="00E844B5">
        <w:t xml:space="preserve">Esta es la </w:t>
      </w:r>
      <w:r w:rsidRPr="00E844B5">
        <w:rPr>
          <w:i/>
          <w:iCs/>
        </w:rPr>
        <w:t>ecuación cúbica</w:t>
      </w:r>
      <w:r w:rsidRPr="00E844B5">
        <w:t xml:space="preserve"> </w:t>
      </w:r>
      <w:proofErr w:type="gramStart"/>
      <w:r w:rsidRPr="00E844B5">
        <w:t>cuyos soluciones</w:t>
      </w:r>
      <w:proofErr w:type="gramEnd"/>
      <w:r w:rsidRPr="00E844B5">
        <w:t xml:space="preserve"> $x^*$ representan los puntos de equilibrio (atractores) posibles del sistema. La naturaleza de estos equilibrios depende de los parámetros $a$ y $b$. En un régimen estable (región segura), hay una única solución de equilibrio estable; en un régimen biestable (frágil), la ecuación cúbica tiene tres raíces reales: dos de ellas representan atractores estables (p. ej., un estado “normal” y uno “de crisis”) separados por un punto de equilibrio inestable intermedio. La condición para la transición de un régimen a otro ocurre cuando el sistema alcanza un punto crítico de bifurcación, matemáticamente dado por los valores de $a, </w:t>
      </w:r>
      <w:proofErr w:type="spellStart"/>
      <w:r w:rsidRPr="00E844B5">
        <w:t>b$</w:t>
      </w:r>
      <w:proofErr w:type="spellEnd"/>
      <w:r w:rsidRPr="00E844B5">
        <w:t xml:space="preserve"> donde las soluciones múltiples colapsan. Esto ocurre cuando se satisface simultáneamente $\</w:t>
      </w:r>
      <w:proofErr w:type="spellStart"/>
      <w:r w:rsidRPr="00E844B5">
        <w:t>partial</w:t>
      </w:r>
      <w:proofErr w:type="spellEnd"/>
      <w:r w:rsidRPr="00E844B5">
        <w:t xml:space="preserve"> V/\</w:t>
      </w:r>
      <w:proofErr w:type="spellStart"/>
      <w:r w:rsidRPr="00E844B5">
        <w:t>partial</w:t>
      </w:r>
      <w:proofErr w:type="spellEnd"/>
      <w:r w:rsidRPr="00E844B5">
        <w:t xml:space="preserve"> x = 0$ y $\partial^2 V/\</w:t>
      </w:r>
      <w:proofErr w:type="spellStart"/>
      <w:r w:rsidRPr="00E844B5">
        <w:t>partial</w:t>
      </w:r>
      <w:proofErr w:type="spellEnd"/>
      <w:r w:rsidRPr="00E844B5">
        <w:t xml:space="preserve"> x^2 = 0$ (es decir, la raíz de equilibrio es de multiplicidad mayor a 1). Del polinomio cúbico $x^3 + a x + b = 0$, se puede derivar que la frontera de bifurcación (condición de catástrofe cúspide) viene dada por el discriminante cero:</w:t>
      </w:r>
    </w:p>
    <w:p w14:paraId="416DAF78" w14:textId="5E42B6E6" w:rsidR="00E844B5" w:rsidRPr="00E844B5" w:rsidRDefault="00E844B5" w:rsidP="00E844B5">
      <m:oMathPara>
        <m:oMath>
          <m:r>
            <m:rPr>
              <m:sty m:val="p"/>
            </m:rPr>
            <w:rPr>
              <w:rFonts w:ascii="Cambria Math" w:hAnsi="Cambria Math"/>
            </w:rPr>
            <m:t>Δ</m:t>
          </m:r>
          <m:r>
            <w:rPr>
              <w:rFonts w:ascii="Cambria Math" w:hAnsi="Cambria Math"/>
            </w:rPr>
            <m:t>=-(4</m:t>
          </m:r>
          <m:sSup>
            <m:sSupPr>
              <m:ctrlPr>
                <w:rPr>
                  <w:rFonts w:ascii="Cambria Math" w:hAnsi="Cambria Math"/>
                </w:rPr>
              </m:ctrlPr>
            </m:sSupPr>
            <m:e>
              <m:r>
                <w:rPr>
                  <w:rFonts w:ascii="Cambria Math" w:hAnsi="Cambria Math"/>
                </w:rPr>
                <m:t>a</m:t>
              </m:r>
            </m:e>
            <m:sup>
              <m:r>
                <w:rPr>
                  <w:rFonts w:ascii="Cambria Math" w:hAnsi="Cambria Math"/>
                </w:rPr>
                <m:t>3</m:t>
              </m:r>
            </m:sup>
          </m:sSup>
          <m:r>
            <w:rPr>
              <w:rFonts w:ascii="Cambria Math" w:hAnsi="Cambria Math"/>
            </w:rPr>
            <m:t>+27</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)=0⇒27</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a</m:t>
              </m:r>
            </m:e>
            <m:sup>
              <m:r>
                <w:rPr>
                  <w:rFonts w:ascii="Cambria Math" w:hAnsi="Cambria Math"/>
                </w:rPr>
                <m:t>3</m:t>
              </m:r>
            </m:sup>
          </m:sSup>
          <m:r>
            <w:rPr>
              <w:rFonts w:ascii="Cambria Math" w:hAnsi="Cambria Math"/>
            </w:rPr>
            <m:t>=0.</m:t>
          </m:r>
        </m:oMath>
      </m:oMathPara>
    </w:p>
    <w:p w14:paraId="27F15314" w14:textId="77777777" w:rsidR="00E844B5" w:rsidRPr="00E844B5" w:rsidRDefault="00E844B5" w:rsidP="00E844B5">
      <w:r w:rsidRPr="00E844B5">
        <w:t>Esta curva (con forma de cúspide) en el plano $(</w:t>
      </w:r>
      <w:proofErr w:type="spellStart"/>
      <w:proofErr w:type="gramStart"/>
      <w:r w:rsidRPr="00E844B5">
        <w:t>a,b</w:t>
      </w:r>
      <w:proofErr w:type="spellEnd"/>
      <w:proofErr w:type="gramEnd"/>
      <w:r w:rsidRPr="00E844B5">
        <w:t xml:space="preserve">)$ separa la región de </w:t>
      </w:r>
      <w:r w:rsidRPr="00E844B5">
        <w:rPr>
          <w:i/>
          <w:iCs/>
        </w:rPr>
        <w:t>único equilibrio</w:t>
      </w:r>
      <w:r w:rsidRPr="00E844B5">
        <w:t xml:space="preserve"> de la región de </w:t>
      </w:r>
      <w:r w:rsidRPr="00E844B5">
        <w:rPr>
          <w:i/>
          <w:iCs/>
        </w:rPr>
        <w:t>equilibrios múltiples</w:t>
      </w:r>
      <w:r w:rsidRPr="00E844B5">
        <w:t xml:space="preserve">. En particular, para valores de $a \ge 0$, típicamente el sistema está en el régimen estable </w:t>
      </w:r>
      <w:proofErr w:type="spellStart"/>
      <w:r w:rsidRPr="00E844B5">
        <w:t>monostable</w:t>
      </w:r>
      <w:proofErr w:type="spellEnd"/>
      <w:r w:rsidRPr="00E844B5">
        <w:t xml:space="preserve"> (un solo atractor dominante, considerado “seguro”). Cuando $a &lt; 0$, el potencial tiene doble pozo (doble </w:t>
      </w:r>
      <w:proofErr w:type="spellStart"/>
      <w:r w:rsidRPr="00E844B5">
        <w:t>well</w:t>
      </w:r>
      <w:proofErr w:type="spellEnd"/>
      <w:r w:rsidRPr="00E844B5">
        <w:t xml:space="preserve">) y existe </w:t>
      </w:r>
      <w:proofErr w:type="spellStart"/>
      <w:r w:rsidRPr="00E844B5">
        <w:t>biestabilidad</w:t>
      </w:r>
      <w:proofErr w:type="spellEnd"/>
      <w:r w:rsidRPr="00E844B5">
        <w:t>, indicando un sistema predispuesto a saltar entre dos estados distintos. En términos más intuitivos: $a &lt; 0$ señala que el mercado tiene dos posibles estados de equilibrio (por ejemplo, uno de normalidad y otro de crisis) y pequeñas perturbaciones pueden hacer que salte de uno a otro; $a \</w:t>
      </w:r>
      <w:proofErr w:type="spellStart"/>
      <w:r w:rsidRPr="00E844B5">
        <w:t>approx</w:t>
      </w:r>
      <w:proofErr w:type="spellEnd"/>
      <w:r w:rsidRPr="00E844B5">
        <w:t xml:space="preserve"> 0^-$ indicaría que el sistema está </w:t>
      </w:r>
      <w:r w:rsidRPr="00E844B5">
        <w:rPr>
          <w:i/>
          <w:iCs/>
        </w:rPr>
        <w:t>al borde</w:t>
      </w:r>
      <w:r w:rsidRPr="00E844B5">
        <w:t xml:space="preserve"> de perder uno de esos atractores, entrando en crisis sistémica cuando finalmente la trayectoria converge al pozo catastrófico. Un artículo formal desarrollaría estos argumentos con detalle, </w:t>
      </w:r>
      <w:r w:rsidRPr="00E844B5">
        <w:lastRenderedPageBreak/>
        <w:t>posiblemente mostrando la integración de este modelo teórico con los datos – por ejemplo, explicando cómo se estima o calibra el parámetro $a(t)$ en función de las observables del mercado. De hecho, en nuestro índice integrado IFI se incorporó un término $(1 - \</w:t>
      </w:r>
      <w:proofErr w:type="spellStart"/>
      <w:r w:rsidRPr="00E844B5">
        <w:t>text</w:t>
      </w:r>
      <w:proofErr w:type="spellEnd"/>
      <w:r w:rsidRPr="00E844B5">
        <w:t>{</w:t>
      </w:r>
      <w:proofErr w:type="spellStart"/>
      <w:r w:rsidRPr="00E844B5">
        <w:t>cusp</w:t>
      </w:r>
      <w:proofErr w:type="spellEnd"/>
      <w:r w:rsidRPr="00E844B5">
        <w:t>}_{</w:t>
      </w:r>
      <w:proofErr w:type="gramStart"/>
      <w:r w:rsidRPr="00E844B5">
        <w:t>a,\</w:t>
      </w:r>
      <w:proofErr w:type="spellStart"/>
      <w:proofErr w:type="gramEnd"/>
      <w:r w:rsidRPr="00E844B5">
        <w:t>text</w:t>
      </w:r>
      <w:proofErr w:type="spellEnd"/>
      <w:r w:rsidRPr="00E844B5">
        <w:t>{</w:t>
      </w:r>
      <w:proofErr w:type="spellStart"/>
      <w:r w:rsidRPr="00E844B5">
        <w:t>norm</w:t>
      </w:r>
      <w:proofErr w:type="spellEnd"/>
      <w:r w:rsidRPr="00E844B5">
        <w:t>}</w:t>
      </w:r>
      <w:proofErr w:type="gramStart"/>
      <w:r w:rsidRPr="00E844B5">
        <w:t>})$</w:t>
      </w:r>
      <w:proofErr w:type="gramEnd"/>
      <w:r w:rsidRPr="00E844B5">
        <w:t>, lo que sugiere que se normalizó el parámetro $a$ para indicar cuán cerca está el sistema de la región biestable (1 indicaría máxima inestabilidad). Un artículo podría incluir la derivación de cómo, a partir de la serie de fragilidad latente $</w:t>
      </w:r>
      <w:proofErr w:type="spellStart"/>
      <w:r w:rsidRPr="00E844B5">
        <w:t>F_t</w:t>
      </w:r>
      <w:proofErr w:type="spellEnd"/>
      <w:r w:rsidRPr="00E844B5">
        <w:t>$ o de otras métricas, se obtiene una estimación de $</w:t>
      </w:r>
      <w:proofErr w:type="spellStart"/>
      <w:r w:rsidRPr="00E844B5">
        <w:t>a_t</w:t>
      </w:r>
      <w:proofErr w:type="spellEnd"/>
      <w:r w:rsidRPr="00E844B5">
        <w:t>$ y $</w:t>
      </w:r>
      <w:proofErr w:type="spellStart"/>
      <w:r w:rsidRPr="00E844B5">
        <w:t>b_t</w:t>
      </w:r>
      <w:proofErr w:type="spellEnd"/>
      <w:r w:rsidRPr="00E844B5">
        <w:t xml:space="preserve">$ que alimentan esta ecuación de </w:t>
      </w:r>
      <w:proofErr w:type="spellStart"/>
      <w:r w:rsidRPr="00E844B5">
        <w:t>cuspide</w:t>
      </w:r>
      <w:proofErr w:type="spellEnd"/>
      <w:r w:rsidRPr="00E844B5">
        <w:t xml:space="preserve">, y cómo esas estimaciones mostraron, por ejemplo, valores de $a$ negativos sostenidos antes de las crisis validadas (respaldando el concepto de “antesala </w:t>
      </w:r>
      <w:proofErr w:type="spellStart"/>
      <w:r w:rsidRPr="00E844B5">
        <w:t>bifurcativa</w:t>
      </w:r>
      <w:proofErr w:type="spellEnd"/>
      <w:r w:rsidRPr="00E844B5">
        <w:t xml:space="preserve">”). Vale mencionar que, según nuestros resultados, efectivamente los grandes eventos sistémicos fueron precedidos por un régimen biestable ($a&lt;0$) en la dinámica estimada, con evidencia de </w:t>
      </w:r>
      <w:proofErr w:type="spellStart"/>
      <w:r w:rsidRPr="00E844B5">
        <w:rPr>
          <w:i/>
          <w:iCs/>
        </w:rPr>
        <w:t>flickering</w:t>
      </w:r>
      <w:proofErr w:type="spellEnd"/>
      <w:r w:rsidRPr="00E844B5">
        <w:t xml:space="preserve"> o intermitencia entre estados antes del colapso final (el índice de fragilidad oscilaba entre niveles normales y críticos, reflejando la coexistencia de atractores). Estos fenómenos deberían mostrarse matemáticamente (por ejemplo, con simulaciones o análisis de estabilidad locales).</w:t>
      </w:r>
    </w:p>
    <w:p w14:paraId="700D00DA" w14:textId="77777777" w:rsidR="00E844B5" w:rsidRPr="00E844B5" w:rsidRDefault="00E844B5" w:rsidP="00E844B5">
      <w:pPr>
        <w:numPr>
          <w:ilvl w:val="0"/>
          <w:numId w:val="7"/>
        </w:numPr>
      </w:pPr>
      <w:r w:rsidRPr="00E844B5">
        <w:t xml:space="preserve">Ralentización crítica y autocorrelación: Conectar la teoría de bifurcaciones con </w:t>
      </w:r>
      <w:proofErr w:type="spellStart"/>
      <w:r w:rsidRPr="00E844B5">
        <w:rPr>
          <w:i/>
          <w:iCs/>
        </w:rPr>
        <w:t>early</w:t>
      </w:r>
      <w:proofErr w:type="spellEnd"/>
      <w:r w:rsidRPr="00E844B5">
        <w:rPr>
          <w:i/>
          <w:iCs/>
        </w:rPr>
        <w:t xml:space="preserve"> </w:t>
      </w:r>
      <w:proofErr w:type="spellStart"/>
      <w:proofErr w:type="gramStart"/>
      <w:r w:rsidRPr="00E844B5">
        <w:rPr>
          <w:i/>
          <w:iCs/>
        </w:rPr>
        <w:t>warning</w:t>
      </w:r>
      <w:proofErr w:type="spellEnd"/>
      <w:proofErr w:type="gramEnd"/>
      <w:r w:rsidRPr="00E844B5">
        <w:rPr>
          <w:i/>
          <w:iCs/>
        </w:rPr>
        <w:t xml:space="preserve"> </w:t>
      </w:r>
      <w:proofErr w:type="spellStart"/>
      <w:r w:rsidRPr="00E844B5">
        <w:rPr>
          <w:i/>
          <w:iCs/>
        </w:rPr>
        <w:t>signals</w:t>
      </w:r>
      <w:proofErr w:type="spellEnd"/>
      <w:r w:rsidRPr="00E844B5">
        <w:t xml:space="preserve"> requiere exponer el concepto de ralentización crítica. Conforme el parámetro de control $a$ se acerca al valor crítico de bifurcación (por ejemplo $a \</w:t>
      </w:r>
      <w:proofErr w:type="spellStart"/>
      <w:r w:rsidRPr="00E844B5">
        <w:t>to</w:t>
      </w:r>
      <w:proofErr w:type="spellEnd"/>
      <w:r w:rsidRPr="00E844B5">
        <w:t xml:space="preserve"> 0^-$ desde negativo), el sistema pierde estabilidad en uno de los pozos del potencial. En términos dinámicos, si modelamos la evolución como $\</w:t>
      </w:r>
      <w:proofErr w:type="spellStart"/>
      <w:r w:rsidRPr="00E844B5">
        <w:t>dot</w:t>
      </w:r>
      <w:proofErr w:type="spellEnd"/>
      <w:r w:rsidRPr="00E844B5">
        <w:t>{x} = -\</w:t>
      </w:r>
      <w:proofErr w:type="gramStart"/>
      <w:r w:rsidRPr="00E844B5">
        <w:t>frac{</w:t>
      </w:r>
      <w:proofErr w:type="gramEnd"/>
      <w:r w:rsidRPr="00E844B5">
        <w:t>\</w:t>
      </w:r>
      <w:proofErr w:type="spellStart"/>
      <w:r w:rsidRPr="00E844B5">
        <w:t>partial</w:t>
      </w:r>
      <w:proofErr w:type="spellEnd"/>
      <w:r w:rsidRPr="00E844B5">
        <w:t xml:space="preserve"> </w:t>
      </w:r>
      <w:proofErr w:type="gramStart"/>
      <w:r w:rsidRPr="00E844B5">
        <w:t>V}{</w:t>
      </w:r>
      <w:proofErr w:type="gramEnd"/>
      <w:r w:rsidRPr="00E844B5">
        <w:t>\</w:t>
      </w:r>
      <w:proofErr w:type="spellStart"/>
      <w:r w:rsidRPr="00E844B5">
        <w:t>partial</w:t>
      </w:r>
      <w:proofErr w:type="spellEnd"/>
      <w:r w:rsidRPr="00E844B5">
        <w:t xml:space="preserve"> x} + \eta(t) = -\</w:t>
      </w:r>
      <w:proofErr w:type="spellStart"/>
      <w:proofErr w:type="gramStart"/>
      <w:r w:rsidRPr="00E844B5">
        <w:t>left</w:t>
      </w:r>
      <w:proofErr w:type="spellEnd"/>
      <w:r w:rsidRPr="00E844B5">
        <w:t>(</w:t>
      </w:r>
      <w:proofErr w:type="gramEnd"/>
      <w:r w:rsidRPr="00E844B5">
        <w:t>x^3 + a x + b\</w:t>
      </w:r>
      <w:proofErr w:type="spellStart"/>
      <w:r w:rsidRPr="00E844B5">
        <w:t>right</w:t>
      </w:r>
      <w:proofErr w:type="spellEnd"/>
      <w:r w:rsidRPr="00E844B5">
        <w:t>) + \eta(t)$ (donde $\eta(t)$ representa pequeñas perturbaciones aleatorias, i.e. “ruido” del mercado), podemos analizar la respuesta lineal cerca de un equilibrio estable $x^</w:t>
      </w:r>
      <w:r w:rsidRPr="00E844B5">
        <w:rPr>
          <w:i/>
          <w:iCs/>
        </w:rPr>
        <w:t>$. El término linealizado sería $\</w:t>
      </w:r>
      <w:proofErr w:type="spellStart"/>
      <w:r w:rsidRPr="00E844B5">
        <w:rPr>
          <w:i/>
          <w:iCs/>
        </w:rPr>
        <w:t>dot</w:t>
      </w:r>
      <w:proofErr w:type="spellEnd"/>
      <w:r w:rsidRPr="00E844B5">
        <w:rPr>
          <w:i/>
          <w:iCs/>
        </w:rPr>
        <w:t>{\xi} \</w:t>
      </w:r>
      <w:proofErr w:type="spellStart"/>
      <w:r w:rsidRPr="00E844B5">
        <w:rPr>
          <w:i/>
          <w:iCs/>
        </w:rPr>
        <w:t>approx</w:t>
      </w:r>
      <w:proofErr w:type="spellEnd"/>
      <w:r w:rsidRPr="00E844B5">
        <w:rPr>
          <w:i/>
          <w:iCs/>
        </w:rPr>
        <w:t xml:space="preserve"> -\lambda, \xi + \eta(t)$, donde $\xi = x - x^</w:t>
      </w:r>
      <w:r w:rsidRPr="00E844B5">
        <w:t>$ es la desviación pequeña y $\lambda = \</w:t>
      </w:r>
      <w:proofErr w:type="spellStart"/>
      <w:r w:rsidRPr="00E844B5">
        <w:t>left</w:t>
      </w:r>
      <w:proofErr w:type="spellEnd"/>
      <w:r w:rsidRPr="00E844B5">
        <w:t>|\partial^2 V/\</w:t>
      </w:r>
      <w:proofErr w:type="spellStart"/>
      <w:r w:rsidRPr="00E844B5">
        <w:t>partial</w:t>
      </w:r>
      <w:proofErr w:type="spellEnd"/>
      <w:r w:rsidRPr="00E844B5">
        <w:t xml:space="preserve"> x^2 (x</w:t>
      </w:r>
      <w:proofErr w:type="gramStart"/>
      <w:r w:rsidRPr="00E844B5">
        <w:t>^</w:t>
      </w:r>
      <w:r w:rsidRPr="00E844B5">
        <w:rPr>
          <w:i/>
          <w:iCs/>
        </w:rPr>
        <w:t>)\</w:t>
      </w:r>
      <w:proofErr w:type="spellStart"/>
      <w:proofErr w:type="gramEnd"/>
      <w:r w:rsidRPr="00E844B5">
        <w:rPr>
          <w:i/>
          <w:iCs/>
        </w:rPr>
        <w:t>right</w:t>
      </w:r>
      <w:proofErr w:type="spellEnd"/>
      <w:r w:rsidRPr="00E844B5">
        <w:rPr>
          <w:i/>
          <w:iCs/>
        </w:rPr>
        <w:t>| = |3{x</w:t>
      </w:r>
      <w:proofErr w:type="gramStart"/>
      <w:r w:rsidRPr="00E844B5">
        <w:rPr>
          <w:i/>
          <w:iCs/>
        </w:rPr>
        <w:t>^</w:t>
      </w:r>
      <w:r w:rsidRPr="00E844B5">
        <w:t>}^</w:t>
      </w:r>
      <w:proofErr w:type="gramEnd"/>
      <w:r w:rsidRPr="00E844B5">
        <w:t>2 + a|$ es la tasa de decaimiento local (autovalor negativo del sistema). A medida que $a \</w:t>
      </w:r>
      <w:proofErr w:type="spellStart"/>
      <w:r w:rsidRPr="00E844B5">
        <w:t>to</w:t>
      </w:r>
      <w:proofErr w:type="spellEnd"/>
      <w:r w:rsidRPr="00E844B5">
        <w:t xml:space="preserve"> 0$ (y en particular $a&lt;0$ pequeño en valor absoluto), uno de los atractores pierde fuerza confinante: matemáticamente, $\lambda \</w:t>
      </w:r>
      <w:proofErr w:type="spellStart"/>
      <w:r w:rsidRPr="00E844B5">
        <w:t>to</w:t>
      </w:r>
      <w:proofErr w:type="spellEnd"/>
      <w:r w:rsidRPr="00E844B5">
        <w:t xml:space="preserve"> 0^+$ en el pozo que está por desaparecer (porque $3{x^</w:t>
      </w:r>
      <w:proofErr w:type="gramStart"/>
      <w:r w:rsidRPr="00E844B5">
        <w:t>*}^</w:t>
      </w:r>
      <w:proofErr w:type="gramEnd"/>
      <w:r w:rsidRPr="00E844B5">
        <w:t>2 + a \</w:t>
      </w:r>
      <w:proofErr w:type="spellStart"/>
      <w:r w:rsidRPr="00E844B5">
        <w:t>to</w:t>
      </w:r>
      <w:proofErr w:type="spellEnd"/>
      <w:r w:rsidRPr="00E844B5">
        <w:t xml:space="preserve"> 0$). Esto implica que el sistema tarda cada vez más en retornar al equilibrio tras un shock, o sea, su tiempo de relajación $\tau = 1/\lambda$ diverge. En términos observacionales, este fenómeno de </w:t>
      </w:r>
      <w:proofErr w:type="spellStart"/>
      <w:r w:rsidRPr="00E844B5">
        <w:rPr>
          <w:i/>
          <w:iCs/>
        </w:rPr>
        <w:t>critical</w:t>
      </w:r>
      <w:proofErr w:type="spellEnd"/>
      <w:r w:rsidRPr="00E844B5">
        <w:rPr>
          <w:i/>
          <w:iCs/>
        </w:rPr>
        <w:t xml:space="preserve"> </w:t>
      </w:r>
      <w:proofErr w:type="spellStart"/>
      <w:r w:rsidRPr="00E844B5">
        <w:rPr>
          <w:i/>
          <w:iCs/>
        </w:rPr>
        <w:t>slowing</w:t>
      </w:r>
      <w:proofErr w:type="spellEnd"/>
      <w:r w:rsidRPr="00E844B5">
        <w:rPr>
          <w:i/>
          <w:iCs/>
        </w:rPr>
        <w:t xml:space="preserve"> </w:t>
      </w:r>
      <w:proofErr w:type="spellStart"/>
      <w:r w:rsidRPr="00E844B5">
        <w:rPr>
          <w:i/>
          <w:iCs/>
        </w:rPr>
        <w:t>down</w:t>
      </w:r>
      <w:proofErr w:type="spellEnd"/>
      <w:r w:rsidRPr="00E844B5">
        <w:t xml:space="preserve"> se manifiesta en que la serie de fragilidad (u otras variables financieras) muestra alta autocorrelación serial y mayor varianza conforme se aproxima la transición crítica</w:t>
      </w:r>
      <w:hyperlink r:id="rId15" w:anchor=":~:text=However%2C%20this%20study%20is%20focusing,gives%20a%20rising%20trend%20in" w:tgtFrame="_blank" w:history="1">
        <w:r w:rsidRPr="00E844B5">
          <w:rPr>
            <w:rStyle w:val="Hipervnculo"/>
          </w:rPr>
          <w:t>frontiersin.org</w:t>
        </w:r>
      </w:hyperlink>
      <w:r w:rsidRPr="00E844B5">
        <w:t>. Un artículo formal incluiría estas derivaciones: por ejemplo, partiendo de $\</w:t>
      </w:r>
      <w:proofErr w:type="spellStart"/>
      <w:r w:rsidRPr="00E844B5">
        <w:t>dot</w:t>
      </w:r>
      <w:proofErr w:type="spellEnd"/>
      <w:r w:rsidRPr="00E844B5">
        <w:t xml:space="preserve">{\xi} = -\lambda \xi + \eta(t)$ (que es un proceso </w:t>
      </w:r>
      <w:proofErr w:type="spellStart"/>
      <w:r w:rsidRPr="00E844B5">
        <w:t>Ornstein-Uhlenbeck</w:t>
      </w:r>
      <w:proofErr w:type="spellEnd"/>
      <w:r w:rsidRPr="00E844B5">
        <w:t xml:space="preserve"> para pequeñas perturbaciones), se puede demostrar que la función de autocorrelación de lag-1 se aproxima a $\</w:t>
      </w:r>
      <w:proofErr w:type="gramStart"/>
      <w:r w:rsidRPr="00E844B5">
        <w:t>rho(</w:t>
      </w:r>
      <w:proofErr w:type="gramEnd"/>
      <w:r w:rsidRPr="00E844B5">
        <w:t>1) \</w:t>
      </w:r>
      <w:proofErr w:type="spellStart"/>
      <w:r w:rsidRPr="00E844B5">
        <w:t>approx</w:t>
      </w:r>
      <w:proofErr w:type="spellEnd"/>
      <w:r w:rsidRPr="00E844B5">
        <w:t xml:space="preserve"> e</w:t>
      </w:r>
      <w:proofErr w:type="gramStart"/>
      <w:r w:rsidRPr="00E844B5">
        <w:t>^{</w:t>
      </w:r>
      <w:proofErr w:type="gramEnd"/>
      <w:r w:rsidRPr="00E844B5">
        <w:t xml:space="preserve">-\lambda \Delta </w:t>
      </w:r>
      <w:proofErr w:type="gramStart"/>
      <w:r w:rsidRPr="00E844B5">
        <w:t>t}$</w:t>
      </w:r>
      <w:proofErr w:type="gramEnd"/>
      <w:r w:rsidRPr="00E844B5">
        <w:t xml:space="preserve"> (para un cierto $\Delta t$ de muestreo). Si $\lambda$ es muy pequeño, $e</w:t>
      </w:r>
      <w:proofErr w:type="gramStart"/>
      <w:r w:rsidRPr="00E844B5">
        <w:t>^{</w:t>
      </w:r>
      <w:proofErr w:type="gramEnd"/>
      <w:r w:rsidRPr="00E844B5">
        <w:t>-\lambda \Delta t} \</w:t>
      </w:r>
      <w:proofErr w:type="spellStart"/>
      <w:r w:rsidRPr="00E844B5">
        <w:t>approx</w:t>
      </w:r>
      <w:proofErr w:type="spellEnd"/>
      <w:r w:rsidRPr="00E844B5">
        <w:t xml:space="preserve"> 1 - \lambda \Delta t$, cercano a 1, lo que implica $\</w:t>
      </w:r>
      <w:proofErr w:type="gramStart"/>
      <w:r w:rsidRPr="00E844B5">
        <w:t>rho(1)$</w:t>
      </w:r>
      <w:proofErr w:type="gramEnd"/>
      <w:r w:rsidRPr="00E844B5">
        <w:t xml:space="preserve"> elevada. Del mismo modo, la varianza estacionaria de $\xi$ en ese proceso estocástico es $\</w:t>
      </w:r>
      <w:proofErr w:type="spellStart"/>
      <w:proofErr w:type="gramStart"/>
      <w:r w:rsidRPr="00E844B5">
        <w:t>text</w:t>
      </w:r>
      <w:proofErr w:type="spellEnd"/>
      <w:r w:rsidRPr="00E844B5">
        <w:t>{</w:t>
      </w:r>
      <w:proofErr w:type="gramEnd"/>
      <w:r w:rsidRPr="00E844B5">
        <w:t>Var}(\xi) \</w:t>
      </w:r>
      <w:proofErr w:type="spellStart"/>
      <w:r w:rsidRPr="00E844B5">
        <w:t>approx</w:t>
      </w:r>
      <w:proofErr w:type="spellEnd"/>
      <w:r w:rsidRPr="00E844B5">
        <w:t xml:space="preserve"> \sigma^2/(2\</w:t>
      </w:r>
      <w:proofErr w:type="gramStart"/>
      <w:r w:rsidRPr="00E844B5">
        <w:t>lambda)$</w:t>
      </w:r>
      <w:proofErr w:type="gramEnd"/>
      <w:r w:rsidRPr="00E844B5">
        <w:t xml:space="preserve"> (donde $\sigma^2$ es la varianza del ruido $\eta$). Claramente, $\</w:t>
      </w:r>
      <w:proofErr w:type="spellStart"/>
      <w:proofErr w:type="gramStart"/>
      <w:r w:rsidRPr="00E844B5">
        <w:t>text</w:t>
      </w:r>
      <w:proofErr w:type="spellEnd"/>
      <w:r w:rsidRPr="00E844B5">
        <w:t>{</w:t>
      </w:r>
      <w:proofErr w:type="gramEnd"/>
      <w:r w:rsidRPr="00E844B5">
        <w:t>Var}(\</w:t>
      </w:r>
      <w:proofErr w:type="gramStart"/>
      <w:r w:rsidRPr="00E844B5">
        <w:t>xi)$</w:t>
      </w:r>
      <w:proofErr w:type="gramEnd"/>
      <w:r w:rsidRPr="00E844B5">
        <w:t xml:space="preserve"> crece al reducirse $\lambda$. Estas fórmulas fundamentan por qué en nuestro modelo incluimos $</w:t>
      </w:r>
      <w:proofErr w:type="spellStart"/>
      <w:r w:rsidRPr="00E844B5">
        <w:t>ACF_t</w:t>
      </w:r>
      <w:proofErr w:type="spellEnd"/>
      <w:r w:rsidRPr="00E844B5">
        <w:t>$ y $</w:t>
      </w:r>
      <w:proofErr w:type="spellStart"/>
      <w:r w:rsidRPr="00E844B5">
        <w:t>Var_t</w:t>
      </w:r>
      <w:proofErr w:type="spellEnd"/>
      <w:r w:rsidRPr="00E844B5">
        <w:t xml:space="preserve">$ como señales: un aumento significativo y sostenido de la autocorrelación y la varianza es un </w:t>
      </w:r>
      <w:r w:rsidRPr="00E844B5">
        <w:lastRenderedPageBreak/>
        <w:t>síntoma de que $\lambda$ está disminuyendo, es decir, el sistema se debilita en su capacidad de volver al equilibrio</w:t>
      </w:r>
      <w:hyperlink r:id="rId16" w:anchor=":~:text=However%2C%20this%20study%20is%20focusing,gives%20a%20rising%20trend%20in" w:tgtFrame="_blank" w:history="1">
        <w:r w:rsidRPr="00E844B5">
          <w:rPr>
            <w:rStyle w:val="Hipervnculo"/>
          </w:rPr>
          <w:t>frontiersin.org</w:t>
        </w:r>
      </w:hyperlink>
      <w:r w:rsidRPr="00E844B5">
        <w:t>. Estudios previos han buscado estas huellas de ralentización crítica antes de crisis financieras históricas (p.ej., incrementos de $ACF(1)$ y volatilidad anómala precediendo el Lunes Negro de 1987)</w:t>
      </w:r>
      <w:hyperlink r:id="rId17" w:anchor=":~:text=crises%3F%20link,the%20more%20recent%20financial" w:tgtFrame="_blank" w:history="1">
        <w:r w:rsidRPr="00E844B5">
          <w:rPr>
            <w:rStyle w:val="Hipervnculo"/>
          </w:rPr>
          <w:t>link.springer.com</w:t>
        </w:r>
      </w:hyperlink>
      <w:r w:rsidRPr="00E844B5">
        <w:t>. En la publicación formal sería importante citar dicha literatura de apoyo y quizás reproducir análisis sencillos mostrando que, en nuestros datos, efectivamente $</w:t>
      </w:r>
      <w:proofErr w:type="spellStart"/>
      <w:r w:rsidRPr="00E844B5">
        <w:t>ACF_t</w:t>
      </w:r>
      <w:proofErr w:type="spellEnd"/>
      <w:r w:rsidRPr="00E844B5">
        <w:t>$ y $</w:t>
      </w:r>
      <w:proofErr w:type="spellStart"/>
      <w:r w:rsidRPr="00E844B5">
        <w:t>Var_t</w:t>
      </w:r>
      <w:proofErr w:type="spellEnd"/>
      <w:r w:rsidRPr="00E844B5">
        <w:t>$ exhiben tendencias alcistas estadísticamente significativas antes de los puntos de quiebre (lo cual se puede constatar con pruebas de tendencia de Kendall $\tau$ o Spearman, como suelen hacerse en este campo</w:t>
      </w:r>
      <w:hyperlink r:id="rId18" w:anchor=":~:text=However%2C%20this%20study%20is%20focusing,autocorrelation%20function%20at%20lag%201" w:tgtFrame="_blank" w:history="1">
        <w:r w:rsidRPr="00E844B5">
          <w:rPr>
            <w:rStyle w:val="Hipervnculo"/>
          </w:rPr>
          <w:t>frontiersin.org</w:t>
        </w:r>
      </w:hyperlink>
      <w:r w:rsidRPr="00E844B5">
        <w:t>). Esto cerraría el círculo teórico: demostrando que nuestro modelo no solo predice crisis, sino que lo hace apoyándose en principios universales de las transiciones críticas.</w:t>
      </w:r>
    </w:p>
    <w:p w14:paraId="3DE69C30" w14:textId="77777777" w:rsidR="00E844B5" w:rsidRPr="00E844B5" w:rsidRDefault="00E844B5" w:rsidP="00E844B5">
      <w:pPr>
        <w:numPr>
          <w:ilvl w:val="0"/>
          <w:numId w:val="7"/>
        </w:numPr>
      </w:pPr>
      <w:r w:rsidRPr="00E844B5">
        <w:t>Orden de sincronización y “relatividad” económica: Otro aspecto matemático a detallar es la definición formal del orden de sincronización $</w:t>
      </w:r>
      <w:proofErr w:type="spellStart"/>
      <w:r w:rsidRPr="00E844B5">
        <w:t>S_t</w:t>
      </w:r>
      <w:proofErr w:type="spellEnd"/>
      <w:r w:rsidRPr="00E844B5">
        <w:t xml:space="preserve">$ que el modelo utiliza para representar la sincronización de escalas. Podríamos introducir la métrica de </w:t>
      </w:r>
      <w:proofErr w:type="spellStart"/>
      <w:r w:rsidRPr="00E844B5">
        <w:t>Kuramoto</w:t>
      </w:r>
      <w:proofErr w:type="spellEnd"/>
      <w:r w:rsidRPr="00E844B5">
        <w:t>: si consideramos $N$ subsistemas (por ejemplo, $N$ mercados o índices sectoriales) con fases $\</w:t>
      </w:r>
      <w:proofErr w:type="spellStart"/>
      <w:r w:rsidRPr="00E844B5">
        <w:t>theta_j</w:t>
      </w:r>
      <w:proofErr w:type="spellEnd"/>
      <w:r w:rsidRPr="00E844B5">
        <w:t>(t)$ asociadas a sus ciclos financieros, definimos el parámetro de orden como</w:t>
      </w:r>
    </w:p>
    <w:p w14:paraId="5302B3FB" w14:textId="71586172" w:rsidR="00E844B5" w:rsidRPr="00E844B5" w:rsidRDefault="00E844B5" w:rsidP="00E844B5">
      <m:oMathPara>
        <m:oMath>
          <m:r>
            <w:rPr>
              <w:rFonts w:ascii="Cambria Math" w:hAnsi="Cambria Math"/>
            </w:rPr>
            <m:t>r(t)=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N</m:t>
              </m:r>
            </m:sup>
            <m:e/>
          </m:nary>
          <m:sSup>
            <m:sSupPr>
              <m:ctrlPr>
                <w:rPr>
                  <w:rFonts w:ascii="Cambria Math" w:hAnsi="Cambria Math"/>
                </w:rPr>
              </m:ctrlPr>
            </m:sSupPr>
            <m:e>
              <m:r>
                <w:rPr>
                  <w:rFonts w:ascii="Cambria Math" w:hAnsi="Cambria Math"/>
                </w:rPr>
                <m:t>e</m:t>
              </m:r>
            </m:e>
            <m:sup>
              <m:r>
                <w:rPr>
                  <w:rFonts w:ascii="Cambria Math" w:hAnsi="Cambria Math"/>
                </w:rPr>
                <m:t>i</m:t>
              </m:r>
              <m:r>
                <m:rPr>
                  <m:nor/>
                </m:rPr>
                <w:rPr>
                  <w:rFonts w:ascii="Arial" w:hAnsi="Arial" w:cs="Arial"/>
                </w:rPr>
                <m:t> </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(t)</m:t>
              </m:r>
            </m:sup>
          </m:sSup>
          <m:r>
            <w:rPr>
              <w:rFonts w:ascii="Cambria Math" w:hAnsi="Cambria Math"/>
            </w:rPr>
            <m:t>∣,</m:t>
          </m:r>
        </m:oMath>
      </m:oMathPara>
    </w:p>
    <w:p w14:paraId="29BF7628" w14:textId="77777777" w:rsidR="00E844B5" w:rsidRPr="00E844B5" w:rsidRDefault="00E844B5" w:rsidP="00E844B5">
      <w:r w:rsidRPr="00E844B5">
        <w:t>donde $0 \le r(t) \le 1$ mide el grado de coherencia global en las fases</w:t>
      </w:r>
      <w:hyperlink r:id="rId19" w:anchor=":~:text=synchronization%20is%20defined%20by%20u,N%20%C3%95%20N%20j%3D1%20e" w:tgtFrame="_blank" w:history="1">
        <w:r w:rsidRPr="00E844B5">
          <w:rPr>
            <w:rStyle w:val="Hipervnculo"/>
          </w:rPr>
          <w:t>arxiv.org</w:t>
        </w:r>
      </w:hyperlink>
      <w:r w:rsidRPr="00E844B5">
        <w:t>. En un régimen totalmente desincronizado (cada mercado va por su lado), $r \</w:t>
      </w:r>
      <w:proofErr w:type="spellStart"/>
      <w:r w:rsidRPr="00E844B5">
        <w:t>approx</w:t>
      </w:r>
      <w:proofErr w:type="spellEnd"/>
      <w:r w:rsidRPr="00E844B5">
        <w:t xml:space="preserve"> 0$; en cambio, si todos los participantes se mueven al unísono, $r \</w:t>
      </w:r>
      <w:proofErr w:type="spellStart"/>
      <w:r w:rsidRPr="00E844B5">
        <w:t>to</w:t>
      </w:r>
      <w:proofErr w:type="spellEnd"/>
      <w:r w:rsidRPr="00E844B5">
        <w:t xml:space="preserve"> 1$. En la práctica, calcular $</w:t>
      </w:r>
      <w:proofErr w:type="spellStart"/>
      <w:r w:rsidRPr="00E844B5">
        <w:t>S_t</w:t>
      </w:r>
      <w:proofErr w:type="spellEnd"/>
      <w:r w:rsidRPr="00E844B5">
        <w:t>$ puede implicar asignar fases a cada serie financiera (por ejemplo, vía transformada de Hilbert de las series de precios para obtener ciclos) y luego evaluar $r(t)$. Un artículo académico detallaría este procedimiento. La razón de incluir $</w:t>
      </w:r>
      <w:proofErr w:type="spellStart"/>
      <w:r w:rsidRPr="00E844B5">
        <w:t>S_t</w:t>
      </w:r>
      <w:proofErr w:type="spellEnd"/>
      <w:r w:rsidRPr="00E844B5">
        <w:t xml:space="preserve">$ es que justo antes de una crisis severa los distintos componentes del sistema tienden a sincronizarse – un fenómeno análogo a un bloqueo de fase colectivo. La literatura documenta que </w:t>
      </w:r>
      <w:r w:rsidRPr="00E844B5">
        <w:rPr>
          <w:i/>
          <w:iCs/>
        </w:rPr>
        <w:t>“durante las crisis financieras surge un estado síncrono en el sistema, definiendo la dirección del mercado”</w:t>
      </w:r>
      <w:hyperlink r:id="rId20" w:anchor=":~:text=market%20by%20using%20concepts%20of,stock%20prices%20present%20a%20similar" w:tgtFrame="_blank" w:history="1">
        <w:r w:rsidRPr="00E844B5">
          <w:rPr>
            <w:rStyle w:val="Hipervnculo"/>
          </w:rPr>
          <w:t>arxiv.org</w:t>
        </w:r>
      </w:hyperlink>
      <w:r w:rsidRPr="00E844B5">
        <w:t xml:space="preserve">, lo que se condice con incrementos observados en correlaciones entre activos y en métricas tipo $r(t)$. Nuestro concepto de </w:t>
      </w:r>
      <w:r w:rsidRPr="00E844B5">
        <w:rPr>
          <w:i/>
          <w:iCs/>
        </w:rPr>
        <w:t>“relatividad económica”</w:t>
      </w:r>
      <w:r w:rsidRPr="00E844B5">
        <w:t xml:space="preserve"> postula que actores con horizontes distintos (corto vs largo plazo, bandas de tiempo) normalmente están </w:t>
      </w:r>
      <w:proofErr w:type="spellStart"/>
      <w:r w:rsidRPr="00E844B5">
        <w:t>descorrelacionados</w:t>
      </w:r>
      <w:proofErr w:type="spellEnd"/>
      <w:r w:rsidRPr="00E844B5">
        <w:t>, pero cuando las dinámicas de distintas escalas se alinean temporalmente, el sistema entra en una fase de riesgo máximo. Para sustentar esto formalmente, se podría mostrar en datos cómo la correlación entre la banda lenta y la banda rápida de fragilidad aumenta antes de las crisis, o cómo $</w:t>
      </w:r>
      <w:proofErr w:type="spellStart"/>
      <w:r w:rsidRPr="00E844B5">
        <w:t>S_t</w:t>
      </w:r>
      <w:proofErr w:type="spellEnd"/>
      <w:r w:rsidRPr="00E844B5">
        <w:t xml:space="preserve">$ alcanza picos próximos a 1 en los momentos críticos. Matemáticamente, habría que discutir </w:t>
      </w:r>
      <w:proofErr w:type="gramStart"/>
      <w:r w:rsidRPr="00E844B5">
        <w:t>que</w:t>
      </w:r>
      <w:proofErr w:type="gramEnd"/>
      <w:r w:rsidRPr="00E844B5">
        <w:t xml:space="preserve"> en un sistema multiescalar, la sincronización de frecuencias puede llevar a resonancia sistémica. Un apéndice teórico podría bosquejar un modelo simplificado de dos osciladores (representando dos escalas) acoplados, y mostrar que bajo ciertas condiciones de acoplamiento no lineal pueden exhibir </w:t>
      </w:r>
      <w:proofErr w:type="spellStart"/>
      <w:r w:rsidRPr="00E844B5">
        <w:t>entrainment</w:t>
      </w:r>
      <w:proofErr w:type="spellEnd"/>
      <w:r w:rsidRPr="00E844B5">
        <w:t xml:space="preserve"> (sincronización) que precipita una transición brusca. Si bien esto es más cualitativo, incluir algún argumento o referencia matemático ayudaría a convencer al lector de que la noción de sincronización no es solo metafórica sino cuantificable.</w:t>
      </w:r>
    </w:p>
    <w:p w14:paraId="3124AB6F" w14:textId="77777777" w:rsidR="00E844B5" w:rsidRPr="00E844B5" w:rsidRDefault="00E844B5" w:rsidP="00E844B5">
      <w:r w:rsidRPr="00E844B5">
        <w:lastRenderedPageBreak/>
        <w:t xml:space="preserve">En conclusión, la sección de derivaciones matemáticas en una publicación formal debe demostrar rigurosamente la consistencia interna del modelo con principios físicos/matemáticos. Cada componente novedoso – la catástrofe cúspide, la ralentización crítica, la sincronización </w:t>
      </w:r>
      <w:proofErr w:type="spellStart"/>
      <w:r w:rsidRPr="00E844B5">
        <w:t>Kuramoto</w:t>
      </w:r>
      <w:proofErr w:type="spellEnd"/>
      <w:r w:rsidRPr="00E844B5">
        <w:t xml:space="preserve"> – debe venir acompañado de sus ecuaciones fundamentales y, de ser posible, de pruebas o proposiciones que conecten esas ecuaciones con el comportamiento de los datos financieros. Por ejemplo, uno podría incluir una prueba breve de que “si $a(t)$ se aproxima a 0, entonces $</w:t>
      </w:r>
      <w:proofErr w:type="spellStart"/>
      <w:r w:rsidRPr="00E844B5">
        <w:t>ACF_t</w:t>
      </w:r>
      <w:proofErr w:type="spellEnd"/>
      <w:r w:rsidRPr="00E844B5">
        <w:t xml:space="preserve">$ tiende a 1”, o una derivación de la condición de </w:t>
      </w:r>
      <w:proofErr w:type="spellStart"/>
      <w:r w:rsidRPr="00E844B5">
        <w:t>cuspide</w:t>
      </w:r>
      <w:proofErr w:type="spellEnd"/>
      <w:r w:rsidRPr="00E844B5">
        <w:t xml:space="preserve"> para la aparición de dos atractores y relacionarla con un umbral empírico de nuestro índice de fragilidad. Al proveer estas bases formales, el artículo no solo presentaría un modelo predictivo, sino que anclaría sus mecanismos en teoría establecida, reforzando la validez y originalidad científica del enfoque.</w:t>
      </w:r>
    </w:p>
    <w:p w14:paraId="66D17F10" w14:textId="77777777" w:rsidR="00E844B5" w:rsidRPr="00E844B5" w:rsidRDefault="00E844B5" w:rsidP="00E844B5">
      <w:r w:rsidRPr="00E844B5">
        <w:t xml:space="preserve">Fuentes: Este informe integra contenido adaptado del reporte de investigación de Caria </w:t>
      </w:r>
      <w:proofErr w:type="spellStart"/>
      <w:r w:rsidRPr="00E844B5">
        <w:t>Research</w:t>
      </w:r>
      <w:proofErr w:type="spellEnd"/>
      <w:r w:rsidRPr="00E844B5">
        <w:t>, junto con literatura existente sobre comportamiento colectivo en mercados financieros</w:t>
      </w:r>
      <w:hyperlink r:id="rId21" w:anchor=":~:text=market%20by%20using%20concepts%20of,stock%20prices%20present%20a%20similar" w:tgtFrame="_blank" w:history="1">
        <w:r w:rsidRPr="00E844B5">
          <w:rPr>
            <w:rStyle w:val="Hipervnculo"/>
          </w:rPr>
          <w:t>arxiv.org</w:t>
        </w:r>
      </w:hyperlink>
      <w:r w:rsidRPr="00E844B5">
        <w:t xml:space="preserve"> y señales tempranas de transiciones críticas en sistemas complejos</w:t>
      </w:r>
      <w:hyperlink r:id="rId22" w:anchor=":~:text=However%2C%20this%20study%20is%20focusing,gives%20a%20rising%20trend%20in" w:tgtFrame="_blank" w:history="1">
        <w:r w:rsidRPr="00E844B5">
          <w:rPr>
            <w:rStyle w:val="Hipervnculo"/>
          </w:rPr>
          <w:t>frontiersin.org</w:t>
        </w:r>
      </w:hyperlink>
      <w:r w:rsidRPr="00E844B5">
        <w:t>, para delinear los refinamientos necesarios en una eventual publicación académica.</w:t>
      </w:r>
    </w:p>
    <w:p w14:paraId="3331CC0E" w14:textId="77777777" w:rsidR="00C758FD" w:rsidRPr="00E844B5" w:rsidRDefault="00C758FD" w:rsidP="00E844B5"/>
    <w:sectPr w:rsidR="00C758FD" w:rsidRPr="00E844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1F0D"/>
    <w:multiLevelType w:val="multilevel"/>
    <w:tmpl w:val="CF60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24295"/>
    <w:multiLevelType w:val="multilevel"/>
    <w:tmpl w:val="06A4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508DC"/>
    <w:multiLevelType w:val="multilevel"/>
    <w:tmpl w:val="1FC2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E37BA"/>
    <w:multiLevelType w:val="multilevel"/>
    <w:tmpl w:val="16E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66013"/>
    <w:multiLevelType w:val="multilevel"/>
    <w:tmpl w:val="214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A7649"/>
    <w:multiLevelType w:val="multilevel"/>
    <w:tmpl w:val="3700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43AFF"/>
    <w:multiLevelType w:val="multilevel"/>
    <w:tmpl w:val="086E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151881">
    <w:abstractNumId w:val="5"/>
  </w:num>
  <w:num w:numId="2" w16cid:durableId="838468313">
    <w:abstractNumId w:val="3"/>
  </w:num>
  <w:num w:numId="3" w16cid:durableId="1445539557">
    <w:abstractNumId w:val="0"/>
  </w:num>
  <w:num w:numId="4" w16cid:durableId="1794204525">
    <w:abstractNumId w:val="1"/>
  </w:num>
  <w:num w:numId="5" w16cid:durableId="705103350">
    <w:abstractNumId w:val="2"/>
  </w:num>
  <w:num w:numId="6" w16cid:durableId="1734935352">
    <w:abstractNumId w:val="6"/>
  </w:num>
  <w:num w:numId="7" w16cid:durableId="7938670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68"/>
    <w:rsid w:val="00454C80"/>
    <w:rsid w:val="006A18B6"/>
    <w:rsid w:val="00A35403"/>
    <w:rsid w:val="00B60C68"/>
    <w:rsid w:val="00C758FD"/>
    <w:rsid w:val="00D514B2"/>
    <w:rsid w:val="00E844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1DC55"/>
  <w15:chartTrackingRefBased/>
  <w15:docId w15:val="{32B30E4B-0FF5-4D4C-9EB4-19B4CB2D8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0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0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0C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0C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0C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0C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0C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0C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0C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0C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0C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0C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0C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0C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0C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0C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0C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0C68"/>
    <w:rPr>
      <w:rFonts w:eastAsiaTheme="majorEastAsia" w:cstheme="majorBidi"/>
      <w:color w:val="272727" w:themeColor="text1" w:themeTint="D8"/>
    </w:rPr>
  </w:style>
  <w:style w:type="paragraph" w:styleId="Ttulo">
    <w:name w:val="Title"/>
    <w:basedOn w:val="Normal"/>
    <w:next w:val="Normal"/>
    <w:link w:val="TtuloCar"/>
    <w:uiPriority w:val="10"/>
    <w:qFormat/>
    <w:rsid w:val="00B60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0C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0C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0C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0C68"/>
    <w:pPr>
      <w:spacing w:before="160"/>
      <w:jc w:val="center"/>
    </w:pPr>
    <w:rPr>
      <w:i/>
      <w:iCs/>
      <w:color w:val="404040" w:themeColor="text1" w:themeTint="BF"/>
    </w:rPr>
  </w:style>
  <w:style w:type="character" w:customStyle="1" w:styleId="CitaCar">
    <w:name w:val="Cita Car"/>
    <w:basedOn w:val="Fuentedeprrafopredeter"/>
    <w:link w:val="Cita"/>
    <w:uiPriority w:val="29"/>
    <w:rsid w:val="00B60C68"/>
    <w:rPr>
      <w:i/>
      <w:iCs/>
      <w:color w:val="404040" w:themeColor="text1" w:themeTint="BF"/>
    </w:rPr>
  </w:style>
  <w:style w:type="paragraph" w:styleId="Prrafodelista">
    <w:name w:val="List Paragraph"/>
    <w:basedOn w:val="Normal"/>
    <w:uiPriority w:val="34"/>
    <w:qFormat/>
    <w:rsid w:val="00B60C68"/>
    <w:pPr>
      <w:ind w:left="720"/>
      <w:contextualSpacing/>
    </w:pPr>
  </w:style>
  <w:style w:type="character" w:styleId="nfasisintenso">
    <w:name w:val="Intense Emphasis"/>
    <w:basedOn w:val="Fuentedeprrafopredeter"/>
    <w:uiPriority w:val="21"/>
    <w:qFormat/>
    <w:rsid w:val="00B60C68"/>
    <w:rPr>
      <w:i/>
      <w:iCs/>
      <w:color w:val="0F4761" w:themeColor="accent1" w:themeShade="BF"/>
    </w:rPr>
  </w:style>
  <w:style w:type="paragraph" w:styleId="Citadestacada">
    <w:name w:val="Intense Quote"/>
    <w:basedOn w:val="Normal"/>
    <w:next w:val="Normal"/>
    <w:link w:val="CitadestacadaCar"/>
    <w:uiPriority w:val="30"/>
    <w:qFormat/>
    <w:rsid w:val="00B60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0C68"/>
    <w:rPr>
      <w:i/>
      <w:iCs/>
      <w:color w:val="0F4761" w:themeColor="accent1" w:themeShade="BF"/>
    </w:rPr>
  </w:style>
  <w:style w:type="character" w:styleId="Referenciaintensa">
    <w:name w:val="Intense Reference"/>
    <w:basedOn w:val="Fuentedeprrafopredeter"/>
    <w:uiPriority w:val="32"/>
    <w:qFormat/>
    <w:rsid w:val="00B60C68"/>
    <w:rPr>
      <w:b/>
      <w:bCs/>
      <w:smallCaps/>
      <w:color w:val="0F4761" w:themeColor="accent1" w:themeShade="BF"/>
      <w:spacing w:val="5"/>
    </w:rPr>
  </w:style>
  <w:style w:type="character" w:styleId="Hipervnculo">
    <w:name w:val="Hyperlink"/>
    <w:basedOn w:val="Fuentedeprrafopredeter"/>
    <w:uiPriority w:val="99"/>
    <w:unhideWhenUsed/>
    <w:rsid w:val="00B60C68"/>
    <w:rPr>
      <w:color w:val="467886" w:themeColor="hyperlink"/>
      <w:u w:val="single"/>
    </w:rPr>
  </w:style>
  <w:style w:type="character" w:styleId="Mencinsinresolver">
    <w:name w:val="Unresolved Mention"/>
    <w:basedOn w:val="Fuentedeprrafopredeter"/>
    <w:uiPriority w:val="99"/>
    <w:semiHidden/>
    <w:unhideWhenUsed/>
    <w:rsid w:val="00B60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bsf.org/wp-content/uploads/wp2019-06.pdf" TargetMode="External"/><Relationship Id="rId13" Type="http://schemas.openxmlformats.org/officeDocument/2006/relationships/hyperlink" Target="https://www.frontiersin.org/journals/applied-mathematics-and-statistics/articles/10.3389/fams.2022.940133/full" TargetMode="External"/><Relationship Id="rId18" Type="http://schemas.openxmlformats.org/officeDocument/2006/relationships/hyperlink" Target="https://www.frontiersin.org/journals/applied-mathematics-and-statistics/articles/10.3389/fams.2022.940133/full" TargetMode="External"/><Relationship Id="rId3" Type="http://schemas.openxmlformats.org/officeDocument/2006/relationships/settings" Target="settings.xml"/><Relationship Id="rId21" Type="http://schemas.openxmlformats.org/officeDocument/2006/relationships/hyperlink" Target="https://arxiv.org/abs/1109.1167" TargetMode="External"/><Relationship Id="rId7" Type="http://schemas.openxmlformats.org/officeDocument/2006/relationships/hyperlink" Target="https://www.frbsf.org/wp-content/uploads/wp2019-06.pdf" TargetMode="External"/><Relationship Id="rId12" Type="http://schemas.openxmlformats.org/officeDocument/2006/relationships/hyperlink" Target="https://arxiv.org/abs/1109.1167" TargetMode="External"/><Relationship Id="rId17" Type="http://schemas.openxmlformats.org/officeDocument/2006/relationships/hyperlink" Target="https://link.springer.com/article/10.1007/s00181-018-1527-3" TargetMode="External"/><Relationship Id="rId2" Type="http://schemas.openxmlformats.org/officeDocument/2006/relationships/styles" Target="styles.xml"/><Relationship Id="rId16" Type="http://schemas.openxmlformats.org/officeDocument/2006/relationships/hyperlink" Target="https://www.frontiersin.org/journals/applied-mathematics-and-statistics/articles/10.3389/fams.2022.940133/full" TargetMode="External"/><Relationship Id="rId20" Type="http://schemas.openxmlformats.org/officeDocument/2006/relationships/hyperlink" Target="https://arxiv.org/abs/1109.1167" TargetMode="External"/><Relationship Id="rId1" Type="http://schemas.openxmlformats.org/officeDocument/2006/relationships/numbering" Target="numbering.xml"/><Relationship Id="rId6" Type="http://schemas.openxmlformats.org/officeDocument/2006/relationships/hyperlink" Target="https://www.frontiersin.org/journals/applied-mathematics-and-statistics/articles/10.3389/fams.2022.940133/full" TargetMode="External"/><Relationship Id="rId11" Type="http://schemas.openxmlformats.org/officeDocument/2006/relationships/hyperlink" Target="https://arxiv.org/abs/1109.1167" TargetMode="External"/><Relationship Id="rId24" Type="http://schemas.openxmlformats.org/officeDocument/2006/relationships/theme" Target="theme/theme1.xml"/><Relationship Id="rId5" Type="http://schemas.openxmlformats.org/officeDocument/2006/relationships/hyperlink" Target="https://arxiv.org/abs/1109.1167" TargetMode="External"/><Relationship Id="rId15" Type="http://schemas.openxmlformats.org/officeDocument/2006/relationships/hyperlink" Target="https://www.frontiersin.org/journals/applied-mathematics-and-statistics/articles/10.3389/fams.2022.940133/full" TargetMode="External"/><Relationship Id="rId23" Type="http://schemas.openxmlformats.org/officeDocument/2006/relationships/fontTable" Target="fontTable.xml"/><Relationship Id="rId10" Type="http://schemas.openxmlformats.org/officeDocument/2006/relationships/hyperlink" Target="https://www.nature.com/articles/s41599-024-02932-7?error=cookies_not_supported&amp;code=67906b53-5f20-47db-aea0-3de21f4e78e2" TargetMode="External"/><Relationship Id="rId19" Type="http://schemas.openxmlformats.org/officeDocument/2006/relationships/hyperlink" Target="https://arxiv.org/pdf/2001.11843" TargetMode="External"/><Relationship Id="rId4" Type="http://schemas.openxmlformats.org/officeDocument/2006/relationships/webSettings" Target="webSettings.xml"/><Relationship Id="rId9" Type="http://schemas.openxmlformats.org/officeDocument/2006/relationships/hyperlink" Target="https://www.nature.com/articles/s41599-024-02932-7?error=cookies_not_supported&amp;code=67906b53-5f20-47db-aea0-3de21f4e78e2" TargetMode="External"/><Relationship Id="rId14" Type="http://schemas.openxmlformats.org/officeDocument/2006/relationships/hyperlink" Target="https://arxiv.org/abs/1109.1167" TargetMode="External"/><Relationship Id="rId22" Type="http://schemas.openxmlformats.org/officeDocument/2006/relationships/hyperlink" Target="https://www.frontiersin.org/journals/applied-mathematics-and-statistics/articles/10.3389/fams.2022.940133/ful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9</Pages>
  <Words>4817</Words>
  <Characters>26494</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Basaure</dc:creator>
  <cp:keywords/>
  <dc:description/>
  <cp:lastModifiedBy>Tomás Basaure</cp:lastModifiedBy>
  <cp:revision>2</cp:revision>
  <dcterms:created xsi:type="dcterms:W3CDTF">2025-12-07T01:11:00Z</dcterms:created>
  <dcterms:modified xsi:type="dcterms:W3CDTF">2025-12-07T01:11:00Z</dcterms:modified>
</cp:coreProperties>
</file>