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EC" w:rsidRDefault="00502E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69437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09" w:rsidRDefault="009E4768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Overview</w:t>
                            </w:r>
                            <w:r w:rsidR="00502E09" w:rsidRPr="00502E0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 xml:space="preserve">:  </w:t>
                            </w:r>
                            <w:r w:rsidR="00220EE9" w:rsidRPr="00220EE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BP-01.01.01.9 EE-13</w:t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</w:p>
                          <w:p w:rsidR="00572DEC" w:rsidRP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</w:p>
                          <w:p w:rsidR="00502E09" w:rsidRPr="00502E09" w:rsidRDefault="00502E09" w:rsidP="00502E09">
                            <w:pPr>
                              <w:widowControl w:val="0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</w:pPr>
                            <w:r w:rsidRPr="00502E09"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  <w:t> </w:t>
                            </w:r>
                          </w:p>
                          <w:p w:rsidR="00502E09" w:rsidRDefault="00502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0;width:54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">
                <v:textbox>
                  <w:txbxContent>
                    <w:p w:rsidR="00502E09" w:rsidRDefault="009E4768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Overview</w:t>
                      </w:r>
                      <w:r w:rsidR="00502E09" w:rsidRPr="00502E09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 xml:space="preserve">:  </w:t>
                      </w:r>
                      <w:r w:rsidR="00220EE9" w:rsidRPr="00220EE9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BP-01.01.01.9 EE-13</w:t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</w:p>
                    <w:p w:rsidR="00572DEC" w:rsidRP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</w:p>
                    <w:p w:rsidR="00502E09" w:rsidRPr="00502E09" w:rsidRDefault="00502E09" w:rsidP="00502E09">
                      <w:pPr>
                        <w:widowControl w:val="0"/>
                        <w:spacing w:after="120" w:line="285" w:lineRule="auto"/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</w:pPr>
                      <w:r w:rsidRPr="00502E09"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  <w:t> </w:t>
                      </w:r>
                    </w:p>
                    <w:p w:rsidR="00502E09" w:rsidRDefault="00502E09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4743" w:rsidRDefault="00502E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0EE9" w:rsidRPr="00220EE9" w:rsidRDefault="00502E09" w:rsidP="003879BF">
      <w:pPr>
        <w:widowControl w:val="0"/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Description:   </w:t>
      </w:r>
      <w:r w:rsidR="00220EE9" w:rsidRPr="00220EE9">
        <w:rPr>
          <w:bCs/>
          <w:sz w:val="24"/>
          <w:szCs w:val="24"/>
        </w:rPr>
        <w:t>Individual enrollment in QHP post plan selection to determine individuals current enrollment sta</w:t>
      </w:r>
      <w:r w:rsidR="00220EE9">
        <w:rPr>
          <w:bCs/>
          <w:sz w:val="24"/>
          <w:szCs w:val="24"/>
        </w:rPr>
        <w:t>tus and notification to carrier.</w:t>
      </w:r>
    </w:p>
    <w:p w:rsidR="009E4768" w:rsidRDefault="00572DEC" w:rsidP="00220EE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  <w:r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Association:    </w:t>
      </w:r>
      <w:r w:rsidR="00C27254" w:rsidRPr="00C27254"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  <w:t>BP-01.01 Enrollment Process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</w:p>
    <w:p w:rsidR="00220EE9" w:rsidRPr="00220EE9" w:rsidRDefault="00220EE9" w:rsidP="00220EE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  <w:bookmarkStart w:id="0" w:name="_GoBack"/>
      <w:bookmarkEnd w:id="0"/>
    </w:p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Roles &amp; Responsibilities: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502E09" w:rsidTr="009E4768">
        <w:tc>
          <w:tcPr>
            <w:tcW w:w="18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Responsibility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Handoff</w:t>
            </w:r>
          </w:p>
        </w:tc>
      </w:tr>
      <w:tr w:rsidR="00502E09" w:rsidTr="003879BF">
        <w:trPr>
          <w:trHeight w:val="332"/>
        </w:trPr>
        <w:tc>
          <w:tcPr>
            <w:tcW w:w="1800" w:type="dxa"/>
            <w:vAlign w:val="center"/>
          </w:tcPr>
          <w:p w:rsidR="00502E09" w:rsidRPr="003879BF" w:rsidRDefault="003879BF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3879BF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Individual</w:t>
            </w:r>
          </w:p>
        </w:tc>
        <w:tc>
          <w:tcPr>
            <w:tcW w:w="7200" w:type="dxa"/>
            <w:vAlign w:val="center"/>
          </w:tcPr>
          <w:p w:rsidR="00220EE9" w:rsidRPr="00220EE9" w:rsidRDefault="00220EE9" w:rsidP="00220EE9">
            <w:pPr>
              <w:widowControl w:val="0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220EE9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Utilize QHP services</w:t>
            </w:r>
          </w:p>
          <w:p w:rsidR="00502E09" w:rsidRPr="00220EE9" w:rsidRDefault="00502E09" w:rsidP="003879BF">
            <w:pPr>
              <w:widowControl w:val="0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</w:p>
        </w:tc>
        <w:tc>
          <w:tcPr>
            <w:tcW w:w="1908" w:type="dxa"/>
            <w:vAlign w:val="center"/>
          </w:tcPr>
          <w:p w:rsidR="00502E09" w:rsidRPr="003879BF" w:rsidRDefault="003879BF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3879BF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SOV</w:t>
            </w:r>
          </w:p>
        </w:tc>
      </w:tr>
      <w:tr w:rsidR="00502E09" w:rsidTr="003879BF">
        <w:tc>
          <w:tcPr>
            <w:tcW w:w="1800" w:type="dxa"/>
            <w:vAlign w:val="center"/>
          </w:tcPr>
          <w:p w:rsidR="00502E09" w:rsidRPr="003879BF" w:rsidRDefault="005369B1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Carrier</w:t>
            </w:r>
          </w:p>
        </w:tc>
        <w:tc>
          <w:tcPr>
            <w:tcW w:w="7200" w:type="dxa"/>
            <w:vAlign w:val="center"/>
          </w:tcPr>
          <w:p w:rsidR="00502E09" w:rsidRPr="003879BF" w:rsidRDefault="005369B1" w:rsidP="003879BF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Process enrollment, ID Cards, and welcome package and subsequent changes</w:t>
            </w:r>
          </w:p>
        </w:tc>
        <w:tc>
          <w:tcPr>
            <w:tcW w:w="1908" w:type="dxa"/>
            <w:vAlign w:val="center"/>
          </w:tcPr>
          <w:p w:rsidR="003879BF" w:rsidRPr="003879BF" w:rsidRDefault="005369B1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Individual</w:t>
            </w:r>
          </w:p>
        </w:tc>
      </w:tr>
      <w:tr w:rsidR="00502E09" w:rsidTr="003879BF">
        <w:tc>
          <w:tcPr>
            <w:tcW w:w="1800" w:type="dxa"/>
            <w:vAlign w:val="center"/>
          </w:tcPr>
          <w:p w:rsidR="00502E09" w:rsidRPr="003879BF" w:rsidRDefault="005369B1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  <w:tc>
          <w:tcPr>
            <w:tcW w:w="7200" w:type="dxa"/>
            <w:vAlign w:val="center"/>
          </w:tcPr>
          <w:p w:rsidR="00502E09" w:rsidRPr="003879BF" w:rsidRDefault="005369B1" w:rsidP="003879BF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Initiate communication, verify enrollment status, prepare change notice.</w:t>
            </w:r>
          </w:p>
        </w:tc>
        <w:tc>
          <w:tcPr>
            <w:tcW w:w="1908" w:type="dxa"/>
            <w:vAlign w:val="center"/>
          </w:tcPr>
          <w:p w:rsidR="00502E09" w:rsidRDefault="005369B1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Carrier, CMS</w:t>
            </w:r>
          </w:p>
        </w:tc>
      </w:tr>
      <w:tr w:rsidR="005369B1" w:rsidTr="003879BF">
        <w:tc>
          <w:tcPr>
            <w:tcW w:w="1800" w:type="dxa"/>
            <w:vAlign w:val="center"/>
          </w:tcPr>
          <w:p w:rsidR="005369B1" w:rsidRDefault="005369B1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CMS</w:t>
            </w:r>
          </w:p>
        </w:tc>
        <w:tc>
          <w:tcPr>
            <w:tcW w:w="7200" w:type="dxa"/>
            <w:vAlign w:val="center"/>
          </w:tcPr>
          <w:p w:rsidR="005369B1" w:rsidRDefault="005369B1" w:rsidP="003879BF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Process enrollment in QHP and IRS notice</w:t>
            </w:r>
          </w:p>
        </w:tc>
        <w:tc>
          <w:tcPr>
            <w:tcW w:w="1908" w:type="dxa"/>
            <w:vAlign w:val="center"/>
          </w:tcPr>
          <w:p w:rsidR="005369B1" w:rsidRDefault="005369B1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IRS</w:t>
            </w:r>
          </w:p>
        </w:tc>
      </w:tr>
      <w:tr w:rsidR="005369B1" w:rsidTr="003879BF">
        <w:tc>
          <w:tcPr>
            <w:tcW w:w="1800" w:type="dxa"/>
            <w:vAlign w:val="center"/>
          </w:tcPr>
          <w:p w:rsidR="005369B1" w:rsidRDefault="005369B1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IRS</w:t>
            </w:r>
          </w:p>
        </w:tc>
        <w:tc>
          <w:tcPr>
            <w:tcW w:w="7200" w:type="dxa"/>
            <w:vAlign w:val="center"/>
          </w:tcPr>
          <w:p w:rsidR="005369B1" w:rsidRDefault="005369B1" w:rsidP="003879BF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 xml:space="preserve">Process QHP enrollment </w:t>
            </w:r>
          </w:p>
        </w:tc>
        <w:tc>
          <w:tcPr>
            <w:tcW w:w="1908" w:type="dxa"/>
            <w:vAlign w:val="center"/>
          </w:tcPr>
          <w:p w:rsidR="005369B1" w:rsidRDefault="005369B1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</w:p>
        </w:tc>
      </w:tr>
    </w:tbl>
    <w:p w:rsid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P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9E4768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Key Performance Indicators (KPI’s):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9E4768" w:rsidTr="009E4768">
        <w:tc>
          <w:tcPr>
            <w:tcW w:w="18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Indicator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Purpose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Measure</w:t>
            </w:r>
          </w:p>
        </w:tc>
      </w:tr>
      <w:tr w:rsidR="009E4768" w:rsidTr="003879BF">
        <w:trPr>
          <w:trHeight w:val="332"/>
        </w:trPr>
        <w:tc>
          <w:tcPr>
            <w:tcW w:w="1800" w:type="dxa"/>
            <w:vAlign w:val="center"/>
          </w:tcPr>
          <w:p w:rsidR="009E4768" w:rsidRPr="00EE0FC4" w:rsidRDefault="009E4768" w:rsidP="003879BF">
            <w:r w:rsidRPr="00EE0FC4">
              <w:t>HBE system/s response</w:t>
            </w:r>
          </w:p>
        </w:tc>
        <w:tc>
          <w:tcPr>
            <w:tcW w:w="7200" w:type="dxa"/>
            <w:vAlign w:val="center"/>
          </w:tcPr>
          <w:p w:rsidR="009E4768" w:rsidRPr="00621685" w:rsidRDefault="009E4768" w:rsidP="003879BF">
            <w:r w:rsidRPr="00621685">
              <w:t>Monitor system performance and responsiveness</w:t>
            </w:r>
          </w:p>
        </w:tc>
        <w:tc>
          <w:tcPr>
            <w:tcW w:w="1908" w:type="dxa"/>
            <w:vAlign w:val="center"/>
          </w:tcPr>
          <w:p w:rsidR="009E4768" w:rsidRPr="00621685" w:rsidRDefault="009E4768" w:rsidP="003879BF">
            <w:r w:rsidRPr="00621685">
              <w:t>Near-time</w:t>
            </w:r>
          </w:p>
        </w:tc>
      </w:tr>
      <w:tr w:rsidR="005369B1" w:rsidTr="003879BF">
        <w:trPr>
          <w:trHeight w:val="332"/>
        </w:trPr>
        <w:tc>
          <w:tcPr>
            <w:tcW w:w="1800" w:type="dxa"/>
            <w:vAlign w:val="center"/>
          </w:tcPr>
          <w:p w:rsidR="005369B1" w:rsidRPr="00EE0FC4" w:rsidRDefault="005369B1" w:rsidP="003879BF">
            <w:r>
              <w:t>Plan Utilization</w:t>
            </w:r>
          </w:p>
        </w:tc>
        <w:tc>
          <w:tcPr>
            <w:tcW w:w="7200" w:type="dxa"/>
            <w:vAlign w:val="center"/>
          </w:tcPr>
          <w:p w:rsidR="005369B1" w:rsidRDefault="005369B1" w:rsidP="005369B1">
            <w:pPr>
              <w:widowControl w:val="0"/>
              <w:spacing w:line="223" w:lineRule="auto"/>
            </w:pPr>
            <w:r>
              <w:t>Monitor types of plan selected by frequency and demographic</w:t>
            </w:r>
          </w:p>
          <w:p w:rsidR="005369B1" w:rsidRPr="00621685" w:rsidRDefault="005369B1" w:rsidP="005369B1">
            <w:pPr>
              <w:widowControl w:val="0"/>
            </w:pPr>
            <w:r>
              <w:t> </w:t>
            </w:r>
          </w:p>
        </w:tc>
        <w:tc>
          <w:tcPr>
            <w:tcW w:w="1908" w:type="dxa"/>
            <w:vAlign w:val="center"/>
          </w:tcPr>
          <w:p w:rsidR="005369B1" w:rsidRPr="00621685" w:rsidRDefault="005369B1" w:rsidP="003879BF">
            <w:r>
              <w:t>Count</w:t>
            </w:r>
          </w:p>
        </w:tc>
      </w:tr>
    </w:tbl>
    <w:p w:rsidR="009E4768" w:rsidRDefault="009E4768" w:rsidP="003879BF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2B0827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Revision History:</w:t>
      </w:r>
    </w:p>
    <w:p w:rsidR="002B0827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2B0827" w:rsidTr="00E948F2">
        <w:tc>
          <w:tcPr>
            <w:tcW w:w="18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Date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Action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Authorized By</w:t>
            </w:r>
          </w:p>
        </w:tc>
      </w:tr>
      <w:tr w:rsidR="002B0827" w:rsidTr="00E948F2">
        <w:trPr>
          <w:trHeight w:val="332"/>
        </w:trPr>
        <w:tc>
          <w:tcPr>
            <w:tcW w:w="1800" w:type="dxa"/>
          </w:tcPr>
          <w:p w:rsidR="002B0827" w:rsidRPr="00EE0FC4" w:rsidRDefault="003879BF" w:rsidP="00E948F2">
            <w:r>
              <w:t>2013-06-05</w:t>
            </w:r>
          </w:p>
        </w:tc>
        <w:tc>
          <w:tcPr>
            <w:tcW w:w="7200" w:type="dxa"/>
          </w:tcPr>
          <w:p w:rsidR="002B0827" w:rsidRPr="00621685" w:rsidRDefault="002B0827" w:rsidP="00E948F2">
            <w:r>
              <w:t>Original</w:t>
            </w:r>
          </w:p>
        </w:tc>
        <w:tc>
          <w:tcPr>
            <w:tcW w:w="1908" w:type="dxa"/>
          </w:tcPr>
          <w:p w:rsidR="002B0827" w:rsidRPr="00621685" w:rsidRDefault="002B0827" w:rsidP="00E948F2">
            <w:r>
              <w:t>Andrew Laing</w:t>
            </w:r>
          </w:p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</w:tbl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</w:p>
    <w:p w:rsidR="00502E09" w:rsidRDefault="00502E09"/>
    <w:sectPr w:rsidR="00502E09" w:rsidSect="00572DE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A6B" w:rsidRDefault="00896A6B" w:rsidP="00502E09">
      <w:pPr>
        <w:spacing w:after="0" w:line="240" w:lineRule="auto"/>
      </w:pPr>
      <w:r>
        <w:separator/>
      </w:r>
    </w:p>
  </w:endnote>
  <w:endnote w:type="continuationSeparator" w:id="0">
    <w:p w:rsidR="00896A6B" w:rsidRDefault="00896A6B" w:rsidP="0050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A6B" w:rsidRDefault="00896A6B" w:rsidP="00502E09">
      <w:pPr>
        <w:spacing w:after="0" w:line="240" w:lineRule="auto"/>
      </w:pPr>
      <w:r>
        <w:separator/>
      </w:r>
    </w:p>
  </w:footnote>
  <w:footnote w:type="continuationSeparator" w:id="0">
    <w:p w:rsidR="00896A6B" w:rsidRDefault="00896A6B" w:rsidP="00502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09"/>
    <w:rsid w:val="00220EE9"/>
    <w:rsid w:val="002B0827"/>
    <w:rsid w:val="00304F00"/>
    <w:rsid w:val="003879BF"/>
    <w:rsid w:val="00483298"/>
    <w:rsid w:val="00502E09"/>
    <w:rsid w:val="005369B1"/>
    <w:rsid w:val="00572DEC"/>
    <w:rsid w:val="00720658"/>
    <w:rsid w:val="00896A6B"/>
    <w:rsid w:val="00964649"/>
    <w:rsid w:val="009E4768"/>
    <w:rsid w:val="00A36E46"/>
    <w:rsid w:val="00B10550"/>
    <w:rsid w:val="00C27254"/>
    <w:rsid w:val="00C34EEA"/>
    <w:rsid w:val="00DE7F7F"/>
    <w:rsid w:val="00FC35C1"/>
    <w:rsid w:val="00F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DF22F-0053-4E86-AA0B-F96C387B6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Vinita</dc:creator>
  <cp:lastModifiedBy>Sharma, Vinita</cp:lastModifiedBy>
  <cp:revision>4</cp:revision>
  <cp:lastPrinted>2013-06-04T14:32:00Z</cp:lastPrinted>
  <dcterms:created xsi:type="dcterms:W3CDTF">2013-06-05T18:38:00Z</dcterms:created>
  <dcterms:modified xsi:type="dcterms:W3CDTF">2013-06-05T18:39:00Z</dcterms:modified>
</cp:coreProperties>
</file>