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DEC" w:rsidRDefault="00502E09">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-28575</wp:posOffset>
                </wp:positionH>
                <wp:positionV relativeFrom="paragraph">
                  <wp:posOffset>0</wp:posOffset>
                </wp:positionV>
                <wp:extent cx="6943725" cy="3810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381000"/>
                        </a:xfrm>
                        <a:prstGeom prst="rect">
                          <a:avLst/>
                        </a:prstGeom>
                        <a:solidFill>
                          <a:srgbClr val="FFFFFF"/>
                        </a:solidFill>
                        <a:ln w="9525">
                          <a:solidFill>
                            <a:srgbClr val="000000"/>
                          </a:solidFill>
                          <a:miter lim="800000"/>
                          <a:headEnd/>
                          <a:tailEnd/>
                        </a:ln>
                      </wps:spPr>
                      <wps:txbx>
                        <w:txbxContent>
                          <w:p w:rsidR="00502E09" w:rsidRDefault="009E4768" w:rsidP="00502E09">
                            <w:pPr>
                              <w:widowControl w:val="0"/>
                              <w:shd w:val="clear" w:color="auto" w:fill="92CDDC" w:themeFill="accent5" w:themeFillTint="99"/>
                              <w:spacing w:after="120" w:line="285" w:lineRule="auto"/>
                              <w:rPr>
                                <w:rFonts w:ascii="Calibri" w:eastAsia="Times New Roman" w:hAnsi="Calibri" w:cs="Times New Roman"/>
                                <w:b/>
                                <w:bCs/>
                                <w:color w:val="000000"/>
                                <w:kern w:val="28"/>
                                <w:sz w:val="32"/>
                                <w:szCs w:val="32"/>
                                <w14:cntxtAlts/>
                              </w:rPr>
                            </w:pPr>
                            <w:r>
                              <w:rPr>
                                <w:rFonts w:ascii="Calibri" w:eastAsia="Times New Roman" w:hAnsi="Calibri" w:cs="Times New Roman"/>
                                <w:b/>
                                <w:bCs/>
                                <w:color w:val="000000"/>
                                <w:kern w:val="28"/>
                                <w:sz w:val="32"/>
                                <w:szCs w:val="32"/>
                                <w14:cntxtAlts/>
                              </w:rPr>
                              <w:t>Overview</w:t>
                            </w:r>
                            <w:r w:rsidR="00502E09" w:rsidRPr="00502E09">
                              <w:rPr>
                                <w:rFonts w:ascii="Calibri" w:eastAsia="Times New Roman" w:hAnsi="Calibri" w:cs="Times New Roman"/>
                                <w:b/>
                                <w:bCs/>
                                <w:color w:val="000000"/>
                                <w:kern w:val="28"/>
                                <w:sz w:val="32"/>
                                <w:szCs w:val="32"/>
                                <w14:cntxtAlts/>
                              </w:rPr>
                              <w:t xml:space="preserve">:  </w:t>
                            </w:r>
                            <w:bookmarkStart w:id="0" w:name="_GoBack"/>
                            <w:r w:rsidR="00285DD2" w:rsidRPr="00285DD2">
                              <w:rPr>
                                <w:rFonts w:ascii="Calibri" w:eastAsia="Times New Roman" w:hAnsi="Calibri" w:cs="Times New Roman"/>
                                <w:b/>
                                <w:bCs/>
                                <w:color w:val="000000"/>
                                <w:kern w:val="28"/>
                                <w:sz w:val="32"/>
                                <w:szCs w:val="32"/>
                                <w14:cntxtAlts/>
                              </w:rPr>
                              <w:t>BP-01.01.01.22 SB-14</w:t>
                            </w:r>
                            <w:bookmarkEnd w:id="0"/>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p>
                          <w:p w:rsidR="00572DEC" w:rsidRPr="00502E09" w:rsidRDefault="00572DEC" w:rsidP="00502E09">
                            <w:pPr>
                              <w:widowControl w:val="0"/>
                              <w:shd w:val="clear" w:color="auto" w:fill="92CDDC" w:themeFill="accent5" w:themeFillTint="99"/>
                              <w:spacing w:after="120" w:line="285" w:lineRule="auto"/>
                              <w:rPr>
                                <w:rFonts w:ascii="Calibri" w:eastAsia="Times New Roman" w:hAnsi="Calibri" w:cs="Times New Roman"/>
                                <w:b/>
                                <w:bCs/>
                                <w:color w:val="000000"/>
                                <w:kern w:val="28"/>
                                <w:sz w:val="32"/>
                                <w:szCs w:val="32"/>
                                <w14:cntxtAlts/>
                              </w:rPr>
                            </w:pPr>
                          </w:p>
                          <w:p w:rsidR="00502E09" w:rsidRPr="00502E09" w:rsidRDefault="00502E09" w:rsidP="00502E09">
                            <w:pPr>
                              <w:widowControl w:val="0"/>
                              <w:spacing w:after="120" w:line="285" w:lineRule="auto"/>
                              <w:rPr>
                                <w:rFonts w:ascii="Calibri" w:eastAsia="Times New Roman" w:hAnsi="Calibri" w:cs="Times New Roman"/>
                                <w:color w:val="000000"/>
                                <w:kern w:val="28"/>
                                <w:sz w:val="20"/>
                                <w:szCs w:val="20"/>
                                <w14:cntxtAlts/>
                              </w:rPr>
                            </w:pPr>
                            <w:r w:rsidRPr="00502E09">
                              <w:rPr>
                                <w:rFonts w:ascii="Calibri" w:eastAsia="Times New Roman" w:hAnsi="Calibri" w:cs="Times New Roman"/>
                                <w:color w:val="000000"/>
                                <w:kern w:val="28"/>
                                <w:sz w:val="20"/>
                                <w:szCs w:val="20"/>
                                <w14:cntxtAlts/>
                              </w:rPr>
                              <w:t> </w:t>
                            </w:r>
                          </w:p>
                          <w:p w:rsidR="00502E09" w:rsidRDefault="00502E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0;width:546.7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">
                <v:textbox>
                  <w:txbxContent>
                    <w:p w:rsidR="00502E09" w:rsidRDefault="009E4768" w:rsidP="00502E09">
                      <w:pPr>
                        <w:widowControl w:val="0"/>
                        <w:shd w:val="clear" w:color="auto" w:fill="92CDDC" w:themeFill="accent5" w:themeFillTint="99"/>
                        <w:spacing w:after="120" w:line="285" w:lineRule="auto"/>
                        <w:rPr>
                          <w:rFonts w:ascii="Calibri" w:eastAsia="Times New Roman" w:hAnsi="Calibri" w:cs="Times New Roman"/>
                          <w:b/>
                          <w:bCs/>
                          <w:color w:val="000000"/>
                          <w:kern w:val="28"/>
                          <w:sz w:val="32"/>
                          <w:szCs w:val="32"/>
                          <w14:cntxtAlts/>
                        </w:rPr>
                      </w:pPr>
                      <w:r>
                        <w:rPr>
                          <w:rFonts w:ascii="Calibri" w:eastAsia="Times New Roman" w:hAnsi="Calibri" w:cs="Times New Roman"/>
                          <w:b/>
                          <w:bCs/>
                          <w:color w:val="000000"/>
                          <w:kern w:val="28"/>
                          <w:sz w:val="32"/>
                          <w:szCs w:val="32"/>
                          <w14:cntxtAlts/>
                        </w:rPr>
                        <w:t>Overview</w:t>
                      </w:r>
                      <w:r w:rsidR="00502E09" w:rsidRPr="00502E09">
                        <w:rPr>
                          <w:rFonts w:ascii="Calibri" w:eastAsia="Times New Roman" w:hAnsi="Calibri" w:cs="Times New Roman"/>
                          <w:b/>
                          <w:bCs/>
                          <w:color w:val="000000"/>
                          <w:kern w:val="28"/>
                          <w:sz w:val="32"/>
                          <w:szCs w:val="32"/>
                          <w14:cntxtAlts/>
                        </w:rPr>
                        <w:t xml:space="preserve">:  </w:t>
                      </w:r>
                      <w:bookmarkStart w:id="1" w:name="_GoBack"/>
                      <w:r w:rsidR="00285DD2" w:rsidRPr="00285DD2">
                        <w:rPr>
                          <w:rFonts w:ascii="Calibri" w:eastAsia="Times New Roman" w:hAnsi="Calibri" w:cs="Times New Roman"/>
                          <w:b/>
                          <w:bCs/>
                          <w:color w:val="000000"/>
                          <w:kern w:val="28"/>
                          <w:sz w:val="32"/>
                          <w:szCs w:val="32"/>
                          <w14:cntxtAlts/>
                        </w:rPr>
                        <w:t>BP-01.01.01.22 SB-14</w:t>
                      </w:r>
                      <w:bookmarkEnd w:id="1"/>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p>
                    <w:p w:rsidR="00572DEC" w:rsidRPr="00502E09" w:rsidRDefault="00572DEC" w:rsidP="00502E09">
                      <w:pPr>
                        <w:widowControl w:val="0"/>
                        <w:shd w:val="clear" w:color="auto" w:fill="92CDDC" w:themeFill="accent5" w:themeFillTint="99"/>
                        <w:spacing w:after="120" w:line="285" w:lineRule="auto"/>
                        <w:rPr>
                          <w:rFonts w:ascii="Calibri" w:eastAsia="Times New Roman" w:hAnsi="Calibri" w:cs="Times New Roman"/>
                          <w:b/>
                          <w:bCs/>
                          <w:color w:val="000000"/>
                          <w:kern w:val="28"/>
                          <w:sz w:val="32"/>
                          <w:szCs w:val="32"/>
                          <w14:cntxtAlts/>
                        </w:rPr>
                      </w:pPr>
                    </w:p>
                    <w:p w:rsidR="00502E09" w:rsidRPr="00502E09" w:rsidRDefault="00502E09" w:rsidP="00502E09">
                      <w:pPr>
                        <w:widowControl w:val="0"/>
                        <w:spacing w:after="120" w:line="285" w:lineRule="auto"/>
                        <w:rPr>
                          <w:rFonts w:ascii="Calibri" w:eastAsia="Times New Roman" w:hAnsi="Calibri" w:cs="Times New Roman"/>
                          <w:color w:val="000000"/>
                          <w:kern w:val="28"/>
                          <w:sz w:val="20"/>
                          <w:szCs w:val="20"/>
                          <w14:cntxtAlts/>
                        </w:rPr>
                      </w:pPr>
                      <w:r w:rsidRPr="00502E09">
                        <w:rPr>
                          <w:rFonts w:ascii="Calibri" w:eastAsia="Times New Roman" w:hAnsi="Calibri" w:cs="Times New Roman"/>
                          <w:color w:val="000000"/>
                          <w:kern w:val="28"/>
                          <w:sz w:val="20"/>
                          <w:szCs w:val="20"/>
                          <w14:cntxtAlts/>
                        </w:rPr>
                        <w:t> </w:t>
                      </w:r>
                    </w:p>
                    <w:p w:rsidR="00502E09" w:rsidRDefault="00502E09"/>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774743" w:rsidRPr="0023308A" w:rsidRDefault="00502E09">
      <w:r w:rsidRPr="0023308A">
        <w:tab/>
      </w:r>
      <w:r w:rsidRPr="0023308A">
        <w:tab/>
      </w:r>
      <w:r w:rsidRPr="0023308A">
        <w:tab/>
      </w:r>
      <w:r w:rsidRPr="0023308A">
        <w:tab/>
      </w:r>
      <w:r w:rsidRPr="0023308A">
        <w:tab/>
      </w:r>
      <w:r w:rsidRPr="0023308A">
        <w:tab/>
      </w:r>
      <w:r w:rsidRPr="0023308A">
        <w:tab/>
      </w:r>
      <w:r w:rsidRPr="0023308A">
        <w:tab/>
      </w:r>
      <w:r w:rsidRPr="0023308A">
        <w:tab/>
      </w:r>
      <w:r w:rsidRPr="0023308A">
        <w:tab/>
      </w:r>
      <w:r w:rsidRPr="0023308A">
        <w:tab/>
      </w:r>
    </w:p>
    <w:p w:rsidR="003879BF" w:rsidRPr="0023308A" w:rsidRDefault="00502E09" w:rsidP="003879BF">
      <w:pPr>
        <w:widowControl w:val="0"/>
      </w:pPr>
      <w:r w:rsidRPr="0023308A">
        <w:rPr>
          <w:rFonts w:eastAsia="Times New Roman" w:cs="Times New Roman"/>
          <w:b/>
          <w:bCs/>
          <w:color w:val="000000"/>
          <w:kern w:val="28"/>
          <w14:cntxtAlts/>
        </w:rPr>
        <w:t xml:space="preserve">Description:   </w:t>
      </w:r>
      <w:r w:rsidR="00285DD2">
        <w:t>This process handles an Employee’s enrollment in a QHP after the employee has selected a plan in SB-13.  This involves  determining whether an individual is already enrolled in another QHP (in which case this process triggers SB-18 Disenrollment), as well as notifying the selected QHP, facilitating payment of the first month’s premium, and processing the QHP’s response to the HBE enrollment transaction. This process also captures the QHP’s provision of a welcome package and ID card to a newly covered individual</w:t>
      </w:r>
      <w:r w:rsidR="0023308A" w:rsidRPr="0023308A">
        <w:rPr>
          <w:bCs/>
        </w:rPr>
        <w:t>.</w:t>
      </w:r>
    </w:p>
    <w:p w:rsidR="009E4768" w:rsidRPr="0023308A" w:rsidRDefault="00572DEC" w:rsidP="0023308A">
      <w:pPr>
        <w:widowControl w:val="0"/>
        <w:spacing w:after="0" w:line="285" w:lineRule="auto"/>
        <w:rPr>
          <w:rFonts w:eastAsia="Times New Roman" w:cs="Times New Roman"/>
          <w:bCs/>
          <w:color w:val="000000"/>
          <w:kern w:val="28"/>
          <w14:cntxtAlts/>
        </w:rPr>
      </w:pPr>
      <w:r w:rsidRPr="0023308A">
        <w:rPr>
          <w:rFonts w:eastAsia="Times New Roman" w:cs="Times New Roman"/>
          <w:b/>
          <w:bCs/>
          <w:color w:val="000000"/>
          <w:kern w:val="28"/>
          <w14:cntxtAlts/>
        </w:rPr>
        <w:t xml:space="preserve">Association:    </w:t>
      </w:r>
      <w:r w:rsidR="00C27254" w:rsidRPr="0023308A">
        <w:rPr>
          <w:rFonts w:eastAsia="Times New Roman" w:cs="Times New Roman"/>
          <w:bCs/>
          <w:color w:val="000000"/>
          <w:kern w:val="28"/>
          <w14:cntxtAlts/>
        </w:rPr>
        <w:t>BP-01.01 Enrollment Process</w:t>
      </w:r>
      <w:r w:rsidRPr="0023308A">
        <w:rPr>
          <w:rFonts w:eastAsia="Times New Roman" w:cs="Times New Roman"/>
          <w:b/>
          <w:bCs/>
          <w:color w:val="000000"/>
          <w:kern w:val="28"/>
          <w14:cntxtAlts/>
        </w:rPr>
        <w:tab/>
      </w:r>
      <w:r w:rsidRPr="0023308A">
        <w:rPr>
          <w:rFonts w:eastAsia="Times New Roman" w:cs="Times New Roman"/>
          <w:b/>
          <w:bCs/>
          <w:color w:val="000000"/>
          <w:kern w:val="28"/>
          <w14:cntxtAlts/>
        </w:rPr>
        <w:tab/>
      </w:r>
      <w:r w:rsidRPr="0023308A">
        <w:rPr>
          <w:rFonts w:eastAsia="Times New Roman" w:cs="Times New Roman"/>
          <w:b/>
          <w:bCs/>
          <w:color w:val="000000"/>
          <w:kern w:val="28"/>
          <w14:cntxtAlts/>
        </w:rPr>
        <w:tab/>
      </w:r>
    </w:p>
    <w:p w:rsidR="0023308A" w:rsidRPr="0023308A" w:rsidRDefault="0023308A" w:rsidP="0023308A">
      <w:pPr>
        <w:widowControl w:val="0"/>
        <w:spacing w:after="0" w:line="285" w:lineRule="auto"/>
        <w:rPr>
          <w:rFonts w:eastAsia="Times New Roman" w:cs="Times New Roman"/>
          <w:bCs/>
          <w:color w:val="000000"/>
          <w:kern w:val="28"/>
          <w14:cntxtAlts/>
        </w:rPr>
      </w:pPr>
    </w:p>
    <w:p w:rsidR="00502E09" w:rsidRPr="0023308A" w:rsidRDefault="00502E09" w:rsidP="00502E09">
      <w:pPr>
        <w:widowControl w:val="0"/>
        <w:spacing w:after="120" w:line="285" w:lineRule="auto"/>
        <w:rPr>
          <w:rFonts w:eastAsia="Times New Roman" w:cs="Times New Roman"/>
          <w:color w:val="000000"/>
          <w:kern w:val="28"/>
          <w14:cntxtAlts/>
        </w:rPr>
      </w:pPr>
      <w:r w:rsidRPr="0023308A">
        <w:rPr>
          <w:rFonts w:eastAsia="Times New Roman" w:cs="Times New Roman"/>
          <w:b/>
          <w:bCs/>
          <w:color w:val="000000"/>
          <w:kern w:val="28"/>
          <w14:cntxtAlts/>
        </w:rPr>
        <w:t xml:space="preserve">Roles &amp; Responsibilities: </w:t>
      </w:r>
    </w:p>
    <w:tbl>
      <w:tblPr>
        <w:tblStyle w:val="TableGrid"/>
        <w:tblW w:w="0" w:type="auto"/>
        <w:tblInd w:w="108" w:type="dxa"/>
        <w:tblLook w:val="04A0" w:firstRow="1" w:lastRow="0" w:firstColumn="1" w:lastColumn="0" w:noHBand="0" w:noVBand="1"/>
      </w:tblPr>
      <w:tblGrid>
        <w:gridCol w:w="1800"/>
        <w:gridCol w:w="7200"/>
        <w:gridCol w:w="1908"/>
      </w:tblGrid>
      <w:tr w:rsidR="00502E09" w:rsidRPr="0023308A" w:rsidTr="009E4768">
        <w:tc>
          <w:tcPr>
            <w:tcW w:w="1800" w:type="dxa"/>
            <w:shd w:val="clear" w:color="auto" w:fill="92CDDC" w:themeFill="accent5" w:themeFillTint="99"/>
          </w:tcPr>
          <w:p w:rsidR="00502E09" w:rsidRPr="0023308A" w:rsidRDefault="00502E09" w:rsidP="00502E09">
            <w:pPr>
              <w:widowControl w:val="0"/>
              <w:spacing w:line="285" w:lineRule="auto"/>
              <w:jc w:val="center"/>
              <w:rPr>
                <w:rFonts w:eastAsia="Times New Roman" w:cs="Times New Roman"/>
                <w:b/>
                <w:bCs/>
                <w:color w:val="000000"/>
                <w:kern w:val="28"/>
                <w14:cntxtAlts/>
              </w:rPr>
            </w:pPr>
            <w:r w:rsidRPr="0023308A">
              <w:rPr>
                <w:rFonts w:eastAsia="Times New Roman" w:cs="Times New Roman"/>
                <w:b/>
                <w:bCs/>
                <w:color w:val="000000"/>
                <w:kern w:val="28"/>
                <w14:cntxtAlts/>
              </w:rPr>
              <w:t>Actor</w:t>
            </w:r>
          </w:p>
        </w:tc>
        <w:tc>
          <w:tcPr>
            <w:tcW w:w="7200" w:type="dxa"/>
            <w:shd w:val="clear" w:color="auto" w:fill="92CDDC" w:themeFill="accent5" w:themeFillTint="99"/>
          </w:tcPr>
          <w:p w:rsidR="00502E09" w:rsidRPr="0023308A" w:rsidRDefault="00502E09" w:rsidP="00502E09">
            <w:pPr>
              <w:widowControl w:val="0"/>
              <w:spacing w:line="285" w:lineRule="auto"/>
              <w:jc w:val="center"/>
              <w:rPr>
                <w:rFonts w:eastAsia="Times New Roman" w:cs="Times New Roman"/>
                <w:b/>
                <w:bCs/>
                <w:color w:val="000000"/>
                <w:kern w:val="28"/>
                <w14:cntxtAlts/>
              </w:rPr>
            </w:pPr>
            <w:r w:rsidRPr="0023308A">
              <w:rPr>
                <w:rFonts w:eastAsia="Times New Roman" w:cs="Times New Roman"/>
                <w:b/>
                <w:bCs/>
                <w:color w:val="000000"/>
                <w:kern w:val="28"/>
                <w14:cntxtAlts/>
              </w:rPr>
              <w:t>Responsibility</w:t>
            </w:r>
          </w:p>
        </w:tc>
        <w:tc>
          <w:tcPr>
            <w:tcW w:w="1908" w:type="dxa"/>
            <w:shd w:val="clear" w:color="auto" w:fill="92CDDC" w:themeFill="accent5" w:themeFillTint="99"/>
          </w:tcPr>
          <w:p w:rsidR="00502E09" w:rsidRPr="0023308A" w:rsidRDefault="00502E09" w:rsidP="00502E09">
            <w:pPr>
              <w:widowControl w:val="0"/>
              <w:spacing w:line="285" w:lineRule="auto"/>
              <w:jc w:val="center"/>
              <w:rPr>
                <w:rFonts w:eastAsia="Times New Roman" w:cs="Times New Roman"/>
                <w:b/>
                <w:bCs/>
                <w:color w:val="000000"/>
                <w:kern w:val="28"/>
                <w14:cntxtAlts/>
              </w:rPr>
            </w:pPr>
            <w:r w:rsidRPr="0023308A">
              <w:rPr>
                <w:rFonts w:eastAsia="Times New Roman" w:cs="Times New Roman"/>
                <w:b/>
                <w:bCs/>
                <w:color w:val="000000"/>
                <w:kern w:val="28"/>
                <w14:cntxtAlts/>
              </w:rPr>
              <w:t>Handoff</w:t>
            </w:r>
          </w:p>
        </w:tc>
      </w:tr>
      <w:tr w:rsidR="00502E09" w:rsidRPr="0023308A" w:rsidTr="003879BF">
        <w:trPr>
          <w:trHeight w:val="332"/>
        </w:trPr>
        <w:tc>
          <w:tcPr>
            <w:tcW w:w="1800" w:type="dxa"/>
            <w:vAlign w:val="center"/>
          </w:tcPr>
          <w:p w:rsidR="00502E09" w:rsidRPr="0023308A" w:rsidRDefault="00285DD2" w:rsidP="003879BF">
            <w:pPr>
              <w:widowControl w:val="0"/>
              <w:spacing w:line="285" w:lineRule="auto"/>
              <w:rPr>
                <w:rFonts w:eastAsia="Times New Roman" w:cs="Times New Roman"/>
                <w:bCs/>
                <w:color w:val="000000"/>
                <w:kern w:val="28"/>
                <w14:cntxtAlts/>
              </w:rPr>
            </w:pPr>
            <w:r>
              <w:rPr>
                <w:rFonts w:eastAsia="Times New Roman" w:cs="Times New Roman"/>
                <w:bCs/>
                <w:color w:val="000000"/>
                <w:kern w:val="28"/>
                <w14:cntxtAlts/>
              </w:rPr>
              <w:t>Employee</w:t>
            </w:r>
          </w:p>
        </w:tc>
        <w:tc>
          <w:tcPr>
            <w:tcW w:w="7200" w:type="dxa"/>
            <w:vAlign w:val="center"/>
          </w:tcPr>
          <w:p w:rsidR="0023308A" w:rsidRPr="0023308A" w:rsidRDefault="00285DD2" w:rsidP="003879BF">
            <w:pPr>
              <w:widowControl w:val="0"/>
            </w:pPr>
            <w:r>
              <w:t>Use services provided by QHP</w:t>
            </w:r>
          </w:p>
        </w:tc>
        <w:tc>
          <w:tcPr>
            <w:tcW w:w="1908" w:type="dxa"/>
            <w:vAlign w:val="center"/>
          </w:tcPr>
          <w:p w:rsidR="00502E09" w:rsidRPr="0023308A" w:rsidRDefault="00285DD2" w:rsidP="003879BF">
            <w:pPr>
              <w:widowControl w:val="0"/>
              <w:spacing w:line="285" w:lineRule="auto"/>
              <w:rPr>
                <w:rFonts w:eastAsia="Times New Roman" w:cs="Times New Roman"/>
                <w:bCs/>
                <w:color w:val="000000"/>
                <w:kern w:val="28"/>
                <w14:cntxtAlts/>
              </w:rPr>
            </w:pPr>
            <w:r>
              <w:rPr>
                <w:rFonts w:eastAsia="Times New Roman" w:cs="Times New Roman"/>
                <w:bCs/>
                <w:color w:val="000000"/>
                <w:kern w:val="28"/>
                <w14:cntxtAlts/>
              </w:rPr>
              <w:t>None</w:t>
            </w:r>
          </w:p>
        </w:tc>
      </w:tr>
      <w:tr w:rsidR="00502E09" w:rsidRPr="0023308A" w:rsidTr="003879BF">
        <w:tc>
          <w:tcPr>
            <w:tcW w:w="1800" w:type="dxa"/>
            <w:vAlign w:val="center"/>
          </w:tcPr>
          <w:p w:rsidR="00502E09" w:rsidRPr="0023308A" w:rsidRDefault="00285DD2" w:rsidP="003879BF">
            <w:pPr>
              <w:widowControl w:val="0"/>
              <w:spacing w:line="285" w:lineRule="auto"/>
              <w:rPr>
                <w:rFonts w:eastAsia="Times New Roman" w:cs="Times New Roman"/>
                <w:bCs/>
                <w:color w:val="000000"/>
                <w:kern w:val="28"/>
                <w14:cntxtAlts/>
              </w:rPr>
            </w:pPr>
            <w:r>
              <w:rPr>
                <w:rFonts w:eastAsia="Times New Roman" w:cs="Times New Roman"/>
                <w:bCs/>
                <w:color w:val="000000"/>
                <w:kern w:val="28"/>
                <w14:cntxtAlts/>
              </w:rPr>
              <w:t>Carrier</w:t>
            </w:r>
          </w:p>
        </w:tc>
        <w:tc>
          <w:tcPr>
            <w:tcW w:w="7200" w:type="dxa"/>
            <w:vAlign w:val="center"/>
          </w:tcPr>
          <w:p w:rsidR="00502E09" w:rsidRPr="0023308A" w:rsidRDefault="00285DD2" w:rsidP="0023308A">
            <w:pPr>
              <w:widowControl w:val="0"/>
            </w:pPr>
            <w:r>
              <w:t>Process employment enrollment, provide welcome package and ID cards</w:t>
            </w:r>
          </w:p>
        </w:tc>
        <w:tc>
          <w:tcPr>
            <w:tcW w:w="1908" w:type="dxa"/>
            <w:vAlign w:val="center"/>
          </w:tcPr>
          <w:p w:rsidR="003879BF" w:rsidRPr="00285DD2" w:rsidRDefault="00285DD2" w:rsidP="00285DD2">
            <w:pPr>
              <w:widowControl w:val="0"/>
            </w:pPr>
            <w:r w:rsidRPr="00285DD2">
              <w:t>Welcome package &amp; ID cards to Employee, Plan Enrollment Acknowledgement to HBE</w:t>
            </w:r>
          </w:p>
        </w:tc>
      </w:tr>
      <w:tr w:rsidR="00285DD2" w:rsidRPr="0023308A" w:rsidTr="003879BF">
        <w:tc>
          <w:tcPr>
            <w:tcW w:w="1800" w:type="dxa"/>
            <w:vAlign w:val="center"/>
          </w:tcPr>
          <w:p w:rsidR="00285DD2" w:rsidRDefault="00285DD2" w:rsidP="003879BF">
            <w:pPr>
              <w:widowControl w:val="0"/>
              <w:spacing w:line="285" w:lineRule="auto"/>
              <w:rPr>
                <w:rFonts w:eastAsia="Times New Roman" w:cs="Times New Roman"/>
                <w:bCs/>
                <w:color w:val="000000"/>
                <w:kern w:val="28"/>
                <w14:cntxtAlts/>
              </w:rPr>
            </w:pPr>
            <w:r>
              <w:rPr>
                <w:rFonts w:eastAsia="Times New Roman" w:cs="Times New Roman"/>
                <w:bCs/>
                <w:color w:val="000000"/>
                <w:kern w:val="28"/>
                <w14:cntxtAlts/>
              </w:rPr>
              <w:t>HBE</w:t>
            </w:r>
          </w:p>
        </w:tc>
        <w:tc>
          <w:tcPr>
            <w:tcW w:w="7200" w:type="dxa"/>
            <w:vAlign w:val="center"/>
          </w:tcPr>
          <w:p w:rsidR="00285DD2" w:rsidRDefault="00285DD2" w:rsidP="0023308A">
            <w:pPr>
              <w:widowControl w:val="0"/>
            </w:pPr>
            <w:r w:rsidRPr="00285DD2">
              <w:t xml:space="preserve">Assess Current Enrollment Status, Prepare Communication to Carrier About </w:t>
            </w:r>
            <w:proofErr w:type="gramStart"/>
            <w:r w:rsidRPr="00285DD2">
              <w:t>Employee  Enrollment</w:t>
            </w:r>
            <w:proofErr w:type="gramEnd"/>
            <w:r w:rsidRPr="00285DD2">
              <w:t xml:space="preserve"> in QHP, &amp; Process Acknowledgement of Emp</w:t>
            </w:r>
            <w:r>
              <w:t>loyee Enrollment  from Carrier.</w:t>
            </w:r>
          </w:p>
        </w:tc>
        <w:tc>
          <w:tcPr>
            <w:tcW w:w="1908" w:type="dxa"/>
            <w:vAlign w:val="center"/>
          </w:tcPr>
          <w:p w:rsidR="00285DD2" w:rsidRPr="00285DD2" w:rsidRDefault="00285DD2" w:rsidP="00285DD2">
            <w:pPr>
              <w:widowControl w:val="0"/>
            </w:pPr>
            <w:r w:rsidRPr="00285DD2">
              <w:t>HBE sends Notice to Carrier About Employee Enrollment in QHP &amp; HBE sends Notice to CMS of Employee Enrollment in QHP.</w:t>
            </w:r>
          </w:p>
        </w:tc>
      </w:tr>
      <w:tr w:rsidR="00285DD2" w:rsidRPr="0023308A" w:rsidTr="003879BF">
        <w:tc>
          <w:tcPr>
            <w:tcW w:w="1800" w:type="dxa"/>
            <w:vAlign w:val="center"/>
          </w:tcPr>
          <w:p w:rsidR="00285DD2" w:rsidRDefault="00285DD2" w:rsidP="003879BF">
            <w:pPr>
              <w:widowControl w:val="0"/>
              <w:spacing w:line="285" w:lineRule="auto"/>
              <w:rPr>
                <w:rFonts w:eastAsia="Times New Roman" w:cs="Times New Roman"/>
                <w:bCs/>
                <w:color w:val="000000"/>
                <w:kern w:val="28"/>
                <w14:cntxtAlts/>
              </w:rPr>
            </w:pPr>
            <w:r>
              <w:rPr>
                <w:rFonts w:eastAsia="Times New Roman" w:cs="Times New Roman"/>
                <w:bCs/>
                <w:color w:val="000000"/>
                <w:kern w:val="28"/>
                <w14:cntxtAlts/>
              </w:rPr>
              <w:t>CMS</w:t>
            </w:r>
          </w:p>
        </w:tc>
        <w:tc>
          <w:tcPr>
            <w:tcW w:w="7200" w:type="dxa"/>
            <w:vAlign w:val="center"/>
          </w:tcPr>
          <w:p w:rsidR="00285DD2" w:rsidRPr="00285DD2" w:rsidRDefault="00285DD2" w:rsidP="0023308A">
            <w:pPr>
              <w:widowControl w:val="0"/>
            </w:pPr>
            <w:r w:rsidRPr="00285DD2">
              <w:t>Process Employee Enrollment in QHP &amp; Employer Participation in SB Exchange.</w:t>
            </w:r>
          </w:p>
        </w:tc>
        <w:tc>
          <w:tcPr>
            <w:tcW w:w="1908" w:type="dxa"/>
            <w:vAlign w:val="center"/>
          </w:tcPr>
          <w:p w:rsidR="00285DD2" w:rsidRPr="00285DD2" w:rsidRDefault="00285DD2" w:rsidP="00285DD2">
            <w:pPr>
              <w:widowControl w:val="0"/>
            </w:pPr>
            <w:r w:rsidRPr="00285DD2">
              <w:t>CMS Notice to IRS  of Employee Enrollment in QHP</w:t>
            </w:r>
          </w:p>
        </w:tc>
      </w:tr>
      <w:tr w:rsidR="00285DD2" w:rsidRPr="0023308A" w:rsidTr="003879BF">
        <w:tc>
          <w:tcPr>
            <w:tcW w:w="1800" w:type="dxa"/>
            <w:vAlign w:val="center"/>
          </w:tcPr>
          <w:p w:rsidR="00285DD2" w:rsidRDefault="00285DD2" w:rsidP="003879BF">
            <w:pPr>
              <w:widowControl w:val="0"/>
              <w:spacing w:line="285" w:lineRule="auto"/>
              <w:rPr>
                <w:rFonts w:eastAsia="Times New Roman" w:cs="Times New Roman"/>
                <w:bCs/>
                <w:color w:val="000000"/>
                <w:kern w:val="28"/>
                <w14:cntxtAlts/>
              </w:rPr>
            </w:pPr>
            <w:r>
              <w:rPr>
                <w:rFonts w:eastAsia="Times New Roman" w:cs="Times New Roman"/>
                <w:bCs/>
                <w:color w:val="000000"/>
                <w:kern w:val="28"/>
                <w14:cntxtAlts/>
              </w:rPr>
              <w:t>IRS</w:t>
            </w:r>
          </w:p>
        </w:tc>
        <w:tc>
          <w:tcPr>
            <w:tcW w:w="7200" w:type="dxa"/>
            <w:vAlign w:val="center"/>
          </w:tcPr>
          <w:p w:rsidR="00285DD2" w:rsidRPr="00285DD2" w:rsidRDefault="00285DD2" w:rsidP="00285DD2">
            <w:pPr>
              <w:widowControl w:val="0"/>
            </w:pPr>
            <w:r w:rsidRPr="00285DD2">
              <w:t>Process Notification of Employee Enrollment in QHP &amp; Employer Participation in SB Exchange.</w:t>
            </w:r>
          </w:p>
        </w:tc>
        <w:tc>
          <w:tcPr>
            <w:tcW w:w="1908" w:type="dxa"/>
            <w:vAlign w:val="center"/>
          </w:tcPr>
          <w:p w:rsidR="00285DD2" w:rsidRDefault="00285DD2" w:rsidP="00285DD2">
            <w:pPr>
              <w:widowControl w:val="0"/>
            </w:pPr>
            <w:r w:rsidRPr="00285DD2">
              <w:t>None</w:t>
            </w:r>
          </w:p>
          <w:p w:rsidR="00285DD2" w:rsidRPr="00285DD2" w:rsidRDefault="00285DD2" w:rsidP="00285DD2">
            <w:pPr>
              <w:widowControl w:val="0"/>
            </w:pPr>
          </w:p>
        </w:tc>
      </w:tr>
    </w:tbl>
    <w:p w:rsidR="009E4768" w:rsidRPr="0023308A" w:rsidRDefault="009E4768" w:rsidP="009E4768">
      <w:pPr>
        <w:widowControl w:val="0"/>
        <w:spacing w:after="120" w:line="285" w:lineRule="auto"/>
        <w:rPr>
          <w:rFonts w:eastAsia="Times New Roman" w:cs="Times New Roman"/>
          <w:b/>
          <w:bCs/>
          <w:color w:val="000000"/>
          <w:kern w:val="28"/>
          <w14:cntxtAlts/>
        </w:rPr>
      </w:pPr>
    </w:p>
    <w:p w:rsidR="009E4768" w:rsidRPr="0023308A" w:rsidRDefault="009E4768" w:rsidP="009E4768">
      <w:pPr>
        <w:widowControl w:val="0"/>
        <w:spacing w:after="120" w:line="285" w:lineRule="auto"/>
        <w:rPr>
          <w:rFonts w:eastAsia="Times New Roman" w:cs="Times New Roman"/>
          <w:b/>
          <w:bCs/>
          <w:color w:val="000000"/>
          <w:kern w:val="28"/>
          <w14:cntxtAlts/>
        </w:rPr>
      </w:pPr>
      <w:r w:rsidRPr="0023308A">
        <w:rPr>
          <w:rFonts w:eastAsia="Times New Roman" w:cs="Times New Roman"/>
          <w:b/>
          <w:bCs/>
          <w:color w:val="000000"/>
          <w:kern w:val="28"/>
          <w14:cntxtAlts/>
        </w:rPr>
        <w:t>Key Performance Indicators (KPI’s):</w:t>
      </w:r>
    </w:p>
    <w:tbl>
      <w:tblPr>
        <w:tblStyle w:val="TableGrid"/>
        <w:tblW w:w="10938" w:type="dxa"/>
        <w:tblInd w:w="108" w:type="dxa"/>
        <w:tblLook w:val="04A0" w:firstRow="1" w:lastRow="0" w:firstColumn="1" w:lastColumn="0" w:noHBand="0" w:noVBand="1"/>
      </w:tblPr>
      <w:tblGrid>
        <w:gridCol w:w="1805"/>
        <w:gridCol w:w="7220"/>
        <w:gridCol w:w="1913"/>
      </w:tblGrid>
      <w:tr w:rsidR="009E4768" w:rsidRPr="0023308A" w:rsidTr="00285DD2">
        <w:trPr>
          <w:trHeight w:val="317"/>
        </w:trPr>
        <w:tc>
          <w:tcPr>
            <w:tcW w:w="1805" w:type="dxa"/>
            <w:shd w:val="clear" w:color="auto" w:fill="92CDDC" w:themeFill="accent5" w:themeFillTint="99"/>
          </w:tcPr>
          <w:p w:rsidR="009E4768" w:rsidRPr="0023308A" w:rsidRDefault="009E4768" w:rsidP="008C577B">
            <w:pPr>
              <w:widowControl w:val="0"/>
              <w:spacing w:line="285" w:lineRule="auto"/>
              <w:jc w:val="center"/>
              <w:rPr>
                <w:rFonts w:eastAsia="Times New Roman" w:cs="Times New Roman"/>
                <w:b/>
                <w:bCs/>
                <w:color w:val="000000"/>
                <w:kern w:val="28"/>
                <w14:cntxtAlts/>
              </w:rPr>
            </w:pPr>
            <w:r w:rsidRPr="0023308A">
              <w:rPr>
                <w:rFonts w:eastAsia="Times New Roman" w:cs="Times New Roman"/>
                <w:b/>
                <w:bCs/>
                <w:color w:val="000000"/>
                <w:kern w:val="28"/>
                <w14:cntxtAlts/>
              </w:rPr>
              <w:t>Indicator</w:t>
            </w:r>
          </w:p>
        </w:tc>
        <w:tc>
          <w:tcPr>
            <w:tcW w:w="7220" w:type="dxa"/>
            <w:shd w:val="clear" w:color="auto" w:fill="92CDDC" w:themeFill="accent5" w:themeFillTint="99"/>
          </w:tcPr>
          <w:p w:rsidR="009E4768" w:rsidRPr="0023308A" w:rsidRDefault="009E4768" w:rsidP="008C577B">
            <w:pPr>
              <w:widowControl w:val="0"/>
              <w:spacing w:line="285" w:lineRule="auto"/>
              <w:jc w:val="center"/>
              <w:rPr>
                <w:rFonts w:eastAsia="Times New Roman" w:cs="Times New Roman"/>
                <w:b/>
                <w:bCs/>
                <w:color w:val="000000"/>
                <w:kern w:val="28"/>
                <w14:cntxtAlts/>
              </w:rPr>
            </w:pPr>
            <w:r w:rsidRPr="0023308A">
              <w:rPr>
                <w:rFonts w:eastAsia="Times New Roman" w:cs="Times New Roman"/>
                <w:b/>
                <w:bCs/>
                <w:color w:val="000000"/>
                <w:kern w:val="28"/>
                <w14:cntxtAlts/>
              </w:rPr>
              <w:t>Purpose</w:t>
            </w:r>
          </w:p>
        </w:tc>
        <w:tc>
          <w:tcPr>
            <w:tcW w:w="1913" w:type="dxa"/>
            <w:shd w:val="clear" w:color="auto" w:fill="92CDDC" w:themeFill="accent5" w:themeFillTint="99"/>
          </w:tcPr>
          <w:p w:rsidR="009E4768" w:rsidRPr="0023308A" w:rsidRDefault="009E4768" w:rsidP="008C577B">
            <w:pPr>
              <w:widowControl w:val="0"/>
              <w:spacing w:line="285" w:lineRule="auto"/>
              <w:jc w:val="center"/>
              <w:rPr>
                <w:rFonts w:eastAsia="Times New Roman" w:cs="Times New Roman"/>
                <w:b/>
                <w:bCs/>
                <w:color w:val="000000"/>
                <w:kern w:val="28"/>
                <w14:cntxtAlts/>
              </w:rPr>
            </w:pPr>
            <w:r w:rsidRPr="0023308A">
              <w:rPr>
                <w:rFonts w:eastAsia="Times New Roman" w:cs="Times New Roman"/>
                <w:b/>
                <w:bCs/>
                <w:color w:val="000000"/>
                <w:kern w:val="28"/>
                <w14:cntxtAlts/>
              </w:rPr>
              <w:t>Measure</w:t>
            </w:r>
          </w:p>
        </w:tc>
      </w:tr>
      <w:tr w:rsidR="009E4768" w:rsidRPr="0023308A" w:rsidTr="00285DD2">
        <w:trPr>
          <w:trHeight w:val="334"/>
        </w:trPr>
        <w:tc>
          <w:tcPr>
            <w:tcW w:w="1805" w:type="dxa"/>
            <w:vAlign w:val="center"/>
          </w:tcPr>
          <w:p w:rsidR="00285DD2" w:rsidRPr="00285DD2" w:rsidRDefault="00285DD2" w:rsidP="00285DD2">
            <w:pPr>
              <w:widowControl w:val="0"/>
            </w:pPr>
            <w:r w:rsidRPr="00285DD2">
              <w:t>TBD– Notify HBE for SB-14.10</w:t>
            </w:r>
          </w:p>
          <w:p w:rsidR="00285DD2" w:rsidRPr="00285DD2" w:rsidRDefault="00285DD2" w:rsidP="00285DD2">
            <w:pPr>
              <w:widowControl w:val="0"/>
            </w:pPr>
            <w:r>
              <w:t> </w:t>
            </w:r>
          </w:p>
          <w:p w:rsidR="009E4768" w:rsidRPr="0023308A" w:rsidRDefault="009E4768" w:rsidP="0023308A">
            <w:pPr>
              <w:widowControl w:val="0"/>
              <w:spacing w:line="223" w:lineRule="auto"/>
            </w:pPr>
          </w:p>
        </w:tc>
        <w:tc>
          <w:tcPr>
            <w:tcW w:w="7220" w:type="dxa"/>
            <w:vAlign w:val="center"/>
          </w:tcPr>
          <w:p w:rsidR="00285DD2" w:rsidRDefault="00285DD2" w:rsidP="00285DD2">
            <w:pPr>
              <w:widowControl w:val="0"/>
            </w:pPr>
            <w:r w:rsidRPr="00285DD2">
              <w:t>To measure amount of time to assess current enrollment status</w:t>
            </w:r>
          </w:p>
          <w:p w:rsidR="009E4768" w:rsidRPr="0023308A" w:rsidRDefault="009E4768" w:rsidP="0023308A">
            <w:pPr>
              <w:widowControl w:val="0"/>
              <w:spacing w:line="223" w:lineRule="auto"/>
            </w:pPr>
          </w:p>
        </w:tc>
        <w:tc>
          <w:tcPr>
            <w:tcW w:w="1913" w:type="dxa"/>
            <w:vAlign w:val="center"/>
          </w:tcPr>
          <w:p w:rsidR="00285DD2" w:rsidRDefault="00285DD2" w:rsidP="00285DD2">
            <w:pPr>
              <w:widowControl w:val="0"/>
            </w:pPr>
            <w:r w:rsidRPr="00285DD2">
              <w:t>Near-real time (if web-based)</w:t>
            </w:r>
          </w:p>
          <w:p w:rsidR="009E4768" w:rsidRPr="0023308A" w:rsidRDefault="009E4768" w:rsidP="003879BF"/>
        </w:tc>
      </w:tr>
      <w:tr w:rsidR="009E4768" w:rsidRPr="0023308A" w:rsidTr="00285DD2">
        <w:trPr>
          <w:trHeight w:val="664"/>
        </w:trPr>
        <w:tc>
          <w:tcPr>
            <w:tcW w:w="1805" w:type="dxa"/>
            <w:vAlign w:val="center"/>
          </w:tcPr>
          <w:p w:rsidR="00285DD2" w:rsidRDefault="00285DD2" w:rsidP="00285DD2">
            <w:pPr>
              <w:widowControl w:val="0"/>
            </w:pPr>
            <w:r w:rsidRPr="00285DD2">
              <w:t>TBD– Notify HBE for SB-14.20</w:t>
            </w:r>
          </w:p>
          <w:p w:rsidR="009E4768" w:rsidRPr="0023308A" w:rsidRDefault="009E4768" w:rsidP="0023308A">
            <w:pPr>
              <w:widowControl w:val="0"/>
              <w:spacing w:line="223" w:lineRule="auto"/>
            </w:pPr>
          </w:p>
        </w:tc>
        <w:tc>
          <w:tcPr>
            <w:tcW w:w="7220" w:type="dxa"/>
            <w:vAlign w:val="center"/>
          </w:tcPr>
          <w:p w:rsidR="00285DD2" w:rsidRDefault="00285DD2" w:rsidP="00285DD2">
            <w:pPr>
              <w:widowControl w:val="0"/>
            </w:pPr>
            <w:r w:rsidRPr="00285DD2">
              <w:t xml:space="preserve">To measure amount of time to prepare communication </w:t>
            </w:r>
          </w:p>
          <w:p w:rsidR="009E4768" w:rsidRPr="0023308A" w:rsidRDefault="009E4768" w:rsidP="0023308A">
            <w:pPr>
              <w:widowControl w:val="0"/>
              <w:spacing w:line="223" w:lineRule="auto"/>
            </w:pPr>
          </w:p>
        </w:tc>
        <w:tc>
          <w:tcPr>
            <w:tcW w:w="1913" w:type="dxa"/>
            <w:vAlign w:val="center"/>
          </w:tcPr>
          <w:p w:rsidR="00285DD2" w:rsidRDefault="00285DD2" w:rsidP="00285DD2">
            <w:pPr>
              <w:widowControl w:val="0"/>
            </w:pPr>
            <w:r w:rsidRPr="00285DD2">
              <w:t>Near-real time (if web based)</w:t>
            </w:r>
          </w:p>
          <w:p w:rsidR="003879BF" w:rsidRPr="0023308A" w:rsidRDefault="003879BF" w:rsidP="003879BF"/>
        </w:tc>
      </w:tr>
      <w:tr w:rsidR="00285DD2" w:rsidRPr="0023308A" w:rsidTr="00285DD2">
        <w:trPr>
          <w:trHeight w:val="145"/>
        </w:trPr>
        <w:tc>
          <w:tcPr>
            <w:tcW w:w="1805" w:type="dxa"/>
            <w:vAlign w:val="center"/>
          </w:tcPr>
          <w:p w:rsidR="00285DD2" w:rsidRDefault="00285DD2" w:rsidP="00285DD2">
            <w:pPr>
              <w:widowControl w:val="0"/>
            </w:pPr>
            <w:r w:rsidRPr="00285DD2">
              <w:t>TBD– SB-14.40</w:t>
            </w:r>
          </w:p>
          <w:p w:rsidR="00285DD2" w:rsidRPr="00285DD2" w:rsidRDefault="00285DD2" w:rsidP="00285DD2">
            <w:pPr>
              <w:widowControl w:val="0"/>
            </w:pPr>
          </w:p>
        </w:tc>
        <w:tc>
          <w:tcPr>
            <w:tcW w:w="7220" w:type="dxa"/>
            <w:vAlign w:val="center"/>
          </w:tcPr>
          <w:p w:rsidR="00285DD2" w:rsidRDefault="00285DD2" w:rsidP="00285DD2">
            <w:pPr>
              <w:widowControl w:val="0"/>
            </w:pPr>
            <w:r w:rsidRPr="00285DD2">
              <w:lastRenderedPageBreak/>
              <w:t>To measure amount of time to process acknowledgement</w:t>
            </w:r>
          </w:p>
          <w:p w:rsidR="00285DD2" w:rsidRPr="00285DD2" w:rsidRDefault="00285DD2" w:rsidP="00285DD2">
            <w:pPr>
              <w:widowControl w:val="0"/>
            </w:pPr>
          </w:p>
        </w:tc>
        <w:tc>
          <w:tcPr>
            <w:tcW w:w="1913" w:type="dxa"/>
            <w:vAlign w:val="center"/>
          </w:tcPr>
          <w:p w:rsidR="00285DD2" w:rsidRDefault="00285DD2" w:rsidP="00285DD2">
            <w:pPr>
              <w:widowControl w:val="0"/>
            </w:pPr>
            <w:r w:rsidRPr="00285DD2">
              <w:lastRenderedPageBreak/>
              <w:t xml:space="preserve">Near-real time (if </w:t>
            </w:r>
            <w:r w:rsidRPr="00285DD2">
              <w:lastRenderedPageBreak/>
              <w:t>web-based)</w:t>
            </w:r>
          </w:p>
          <w:p w:rsidR="00285DD2" w:rsidRPr="00285DD2" w:rsidRDefault="00285DD2" w:rsidP="00285DD2">
            <w:pPr>
              <w:widowControl w:val="0"/>
            </w:pPr>
          </w:p>
        </w:tc>
      </w:tr>
      <w:tr w:rsidR="00285DD2" w:rsidRPr="0023308A" w:rsidTr="00285DD2">
        <w:trPr>
          <w:trHeight w:val="145"/>
        </w:trPr>
        <w:tc>
          <w:tcPr>
            <w:tcW w:w="1805" w:type="dxa"/>
            <w:vAlign w:val="center"/>
          </w:tcPr>
          <w:p w:rsidR="00285DD2" w:rsidRDefault="00285DD2" w:rsidP="00285DD2">
            <w:pPr>
              <w:widowControl w:val="0"/>
            </w:pPr>
            <w:r w:rsidRPr="00285DD2">
              <w:lastRenderedPageBreak/>
              <w:t>TBD-Notify Carrier forSB-14.60</w:t>
            </w:r>
          </w:p>
          <w:p w:rsidR="00285DD2" w:rsidRPr="00285DD2" w:rsidRDefault="00285DD2" w:rsidP="00285DD2">
            <w:pPr>
              <w:widowControl w:val="0"/>
            </w:pPr>
          </w:p>
        </w:tc>
        <w:tc>
          <w:tcPr>
            <w:tcW w:w="7220" w:type="dxa"/>
            <w:vAlign w:val="center"/>
          </w:tcPr>
          <w:p w:rsidR="00285DD2" w:rsidRDefault="00285DD2" w:rsidP="00285DD2">
            <w:pPr>
              <w:widowControl w:val="0"/>
            </w:pPr>
            <w:r w:rsidRPr="00285DD2">
              <w:t>To measure amount of time to create welcome package and ID Cards</w:t>
            </w:r>
          </w:p>
          <w:p w:rsidR="00285DD2" w:rsidRPr="00285DD2" w:rsidRDefault="00285DD2" w:rsidP="00285DD2">
            <w:pPr>
              <w:widowControl w:val="0"/>
            </w:pPr>
          </w:p>
        </w:tc>
        <w:tc>
          <w:tcPr>
            <w:tcW w:w="1913" w:type="dxa"/>
            <w:vAlign w:val="center"/>
          </w:tcPr>
          <w:p w:rsidR="00285DD2" w:rsidRDefault="00285DD2" w:rsidP="00285DD2">
            <w:pPr>
              <w:widowControl w:val="0"/>
            </w:pPr>
            <w:r w:rsidRPr="00285DD2">
              <w:t>Near-real time (if web-based)</w:t>
            </w:r>
          </w:p>
          <w:p w:rsidR="00285DD2" w:rsidRPr="00285DD2" w:rsidRDefault="00285DD2" w:rsidP="00285DD2">
            <w:pPr>
              <w:widowControl w:val="0"/>
            </w:pPr>
          </w:p>
        </w:tc>
      </w:tr>
      <w:tr w:rsidR="00285DD2" w:rsidRPr="0023308A" w:rsidTr="00285DD2">
        <w:trPr>
          <w:trHeight w:val="145"/>
        </w:trPr>
        <w:tc>
          <w:tcPr>
            <w:tcW w:w="1805" w:type="dxa"/>
            <w:vAlign w:val="center"/>
          </w:tcPr>
          <w:p w:rsidR="00285DD2" w:rsidRDefault="00285DD2" w:rsidP="00285DD2">
            <w:pPr>
              <w:widowControl w:val="0"/>
            </w:pPr>
            <w:r w:rsidRPr="00285DD2">
              <w:t>TBD- regarding SB-14.70 process</w:t>
            </w:r>
          </w:p>
          <w:p w:rsidR="00285DD2" w:rsidRPr="00285DD2" w:rsidRDefault="00285DD2" w:rsidP="00285DD2">
            <w:pPr>
              <w:widowControl w:val="0"/>
            </w:pPr>
          </w:p>
        </w:tc>
        <w:tc>
          <w:tcPr>
            <w:tcW w:w="7220" w:type="dxa"/>
            <w:vAlign w:val="center"/>
          </w:tcPr>
          <w:p w:rsidR="00285DD2" w:rsidRDefault="00285DD2" w:rsidP="00285DD2">
            <w:pPr>
              <w:widowControl w:val="0"/>
            </w:pPr>
            <w:r w:rsidRPr="00285DD2">
              <w:t>To measure amount of time to provide Employee with Welcome Package and ID Cards</w:t>
            </w:r>
          </w:p>
          <w:p w:rsidR="00285DD2" w:rsidRPr="00285DD2" w:rsidRDefault="00285DD2" w:rsidP="00285DD2">
            <w:pPr>
              <w:widowControl w:val="0"/>
            </w:pPr>
          </w:p>
        </w:tc>
        <w:tc>
          <w:tcPr>
            <w:tcW w:w="1913" w:type="dxa"/>
            <w:vAlign w:val="center"/>
          </w:tcPr>
          <w:p w:rsidR="00285DD2" w:rsidRDefault="00285DD2" w:rsidP="00285DD2">
            <w:pPr>
              <w:widowControl w:val="0"/>
            </w:pPr>
            <w:r w:rsidRPr="00285DD2">
              <w:t>Days (Varies based on Employee’s response)</w:t>
            </w:r>
          </w:p>
          <w:p w:rsidR="00285DD2" w:rsidRPr="00285DD2" w:rsidRDefault="00285DD2" w:rsidP="00285DD2">
            <w:pPr>
              <w:widowControl w:val="0"/>
            </w:pPr>
          </w:p>
        </w:tc>
      </w:tr>
      <w:tr w:rsidR="00285DD2" w:rsidRPr="0023308A" w:rsidTr="00285DD2">
        <w:trPr>
          <w:trHeight w:val="145"/>
        </w:trPr>
        <w:tc>
          <w:tcPr>
            <w:tcW w:w="1805" w:type="dxa"/>
            <w:vAlign w:val="center"/>
          </w:tcPr>
          <w:p w:rsidR="00285DD2" w:rsidRDefault="00285DD2" w:rsidP="00285DD2">
            <w:pPr>
              <w:widowControl w:val="0"/>
            </w:pPr>
            <w:r w:rsidRPr="00285DD2">
              <w:t xml:space="preserve">TBD- Notify CMS for SB-14.50 </w:t>
            </w:r>
          </w:p>
          <w:p w:rsidR="00285DD2" w:rsidRPr="00285DD2" w:rsidRDefault="00285DD2" w:rsidP="00285DD2">
            <w:pPr>
              <w:widowControl w:val="0"/>
            </w:pPr>
          </w:p>
        </w:tc>
        <w:tc>
          <w:tcPr>
            <w:tcW w:w="7220" w:type="dxa"/>
            <w:vAlign w:val="center"/>
          </w:tcPr>
          <w:p w:rsidR="00285DD2" w:rsidRDefault="00285DD2" w:rsidP="00285DD2">
            <w:pPr>
              <w:widowControl w:val="0"/>
            </w:pPr>
            <w:r w:rsidRPr="00285DD2">
              <w:t>To measure amount of time to process employee enrollment in QHP &amp; employer participation</w:t>
            </w:r>
          </w:p>
          <w:p w:rsidR="00285DD2" w:rsidRPr="00285DD2" w:rsidRDefault="00285DD2" w:rsidP="00285DD2">
            <w:pPr>
              <w:widowControl w:val="0"/>
            </w:pPr>
          </w:p>
        </w:tc>
        <w:tc>
          <w:tcPr>
            <w:tcW w:w="1913" w:type="dxa"/>
            <w:vAlign w:val="center"/>
          </w:tcPr>
          <w:p w:rsidR="00285DD2" w:rsidRDefault="00285DD2" w:rsidP="00285DD2">
            <w:pPr>
              <w:widowControl w:val="0"/>
            </w:pPr>
            <w:r w:rsidRPr="00285DD2">
              <w:t>Near-real time (if web-based)</w:t>
            </w:r>
          </w:p>
          <w:p w:rsidR="00285DD2" w:rsidRPr="00285DD2" w:rsidRDefault="00285DD2" w:rsidP="00285DD2">
            <w:pPr>
              <w:widowControl w:val="0"/>
            </w:pPr>
          </w:p>
        </w:tc>
      </w:tr>
    </w:tbl>
    <w:p w:rsidR="009E4768" w:rsidRPr="0023308A" w:rsidRDefault="009E4768" w:rsidP="00502E09">
      <w:pPr>
        <w:widowControl w:val="0"/>
        <w:spacing w:after="0" w:line="285" w:lineRule="auto"/>
        <w:rPr>
          <w:rFonts w:eastAsia="Times New Roman" w:cs="Times New Roman"/>
          <w:b/>
          <w:bCs/>
          <w:color w:val="000000"/>
          <w:kern w:val="28"/>
          <w14:cntxtAlts/>
        </w:rPr>
      </w:pPr>
    </w:p>
    <w:p w:rsidR="002B0827" w:rsidRPr="0023308A" w:rsidRDefault="002B0827" w:rsidP="00502E09">
      <w:pPr>
        <w:widowControl w:val="0"/>
        <w:spacing w:after="0" w:line="285" w:lineRule="auto"/>
        <w:rPr>
          <w:rFonts w:eastAsia="Times New Roman" w:cs="Times New Roman"/>
          <w:b/>
          <w:bCs/>
          <w:color w:val="000000"/>
          <w:kern w:val="28"/>
          <w14:cntxtAlts/>
        </w:rPr>
      </w:pPr>
      <w:r w:rsidRPr="0023308A">
        <w:rPr>
          <w:rFonts w:eastAsia="Times New Roman" w:cs="Times New Roman"/>
          <w:b/>
          <w:bCs/>
          <w:color w:val="000000"/>
          <w:kern w:val="28"/>
          <w14:cntxtAlts/>
        </w:rPr>
        <w:t>Revision History:</w:t>
      </w:r>
    </w:p>
    <w:tbl>
      <w:tblPr>
        <w:tblStyle w:val="TableGrid"/>
        <w:tblW w:w="0" w:type="auto"/>
        <w:tblInd w:w="108" w:type="dxa"/>
        <w:tblLook w:val="04A0" w:firstRow="1" w:lastRow="0" w:firstColumn="1" w:lastColumn="0" w:noHBand="0" w:noVBand="1"/>
      </w:tblPr>
      <w:tblGrid>
        <w:gridCol w:w="1800"/>
        <w:gridCol w:w="7200"/>
        <w:gridCol w:w="1908"/>
      </w:tblGrid>
      <w:tr w:rsidR="002B0827" w:rsidRPr="0023308A" w:rsidTr="00E948F2">
        <w:tc>
          <w:tcPr>
            <w:tcW w:w="1800" w:type="dxa"/>
            <w:shd w:val="clear" w:color="auto" w:fill="92CDDC" w:themeFill="accent5" w:themeFillTint="99"/>
          </w:tcPr>
          <w:p w:rsidR="002B0827" w:rsidRPr="0023308A" w:rsidRDefault="002B0827" w:rsidP="00E948F2">
            <w:pPr>
              <w:widowControl w:val="0"/>
              <w:spacing w:line="285" w:lineRule="auto"/>
              <w:jc w:val="center"/>
              <w:rPr>
                <w:rFonts w:eastAsia="Times New Roman" w:cs="Times New Roman"/>
                <w:b/>
                <w:bCs/>
                <w:color w:val="000000"/>
                <w:kern w:val="28"/>
                <w14:cntxtAlts/>
              </w:rPr>
            </w:pPr>
            <w:r w:rsidRPr="0023308A">
              <w:rPr>
                <w:rFonts w:eastAsia="Times New Roman" w:cs="Times New Roman"/>
                <w:b/>
                <w:bCs/>
                <w:color w:val="000000"/>
                <w:kern w:val="28"/>
                <w14:cntxtAlts/>
              </w:rPr>
              <w:t>Date</w:t>
            </w:r>
          </w:p>
        </w:tc>
        <w:tc>
          <w:tcPr>
            <w:tcW w:w="7200" w:type="dxa"/>
            <w:shd w:val="clear" w:color="auto" w:fill="92CDDC" w:themeFill="accent5" w:themeFillTint="99"/>
          </w:tcPr>
          <w:p w:rsidR="002B0827" w:rsidRPr="0023308A" w:rsidRDefault="002B0827" w:rsidP="00E948F2">
            <w:pPr>
              <w:widowControl w:val="0"/>
              <w:spacing w:line="285" w:lineRule="auto"/>
              <w:jc w:val="center"/>
              <w:rPr>
                <w:rFonts w:eastAsia="Times New Roman" w:cs="Times New Roman"/>
                <w:b/>
                <w:bCs/>
                <w:color w:val="000000"/>
                <w:kern w:val="28"/>
                <w14:cntxtAlts/>
              </w:rPr>
            </w:pPr>
            <w:r w:rsidRPr="0023308A">
              <w:rPr>
                <w:rFonts w:eastAsia="Times New Roman" w:cs="Times New Roman"/>
                <w:b/>
                <w:bCs/>
                <w:color w:val="000000"/>
                <w:kern w:val="28"/>
                <w14:cntxtAlts/>
              </w:rPr>
              <w:t>Action</w:t>
            </w:r>
          </w:p>
        </w:tc>
        <w:tc>
          <w:tcPr>
            <w:tcW w:w="1908" w:type="dxa"/>
            <w:shd w:val="clear" w:color="auto" w:fill="92CDDC" w:themeFill="accent5" w:themeFillTint="99"/>
          </w:tcPr>
          <w:p w:rsidR="002B0827" w:rsidRPr="0023308A" w:rsidRDefault="002B0827" w:rsidP="00E948F2">
            <w:pPr>
              <w:widowControl w:val="0"/>
              <w:spacing w:line="285" w:lineRule="auto"/>
              <w:jc w:val="center"/>
              <w:rPr>
                <w:rFonts w:eastAsia="Times New Roman" w:cs="Times New Roman"/>
                <w:b/>
                <w:bCs/>
                <w:color w:val="000000"/>
                <w:kern w:val="28"/>
                <w14:cntxtAlts/>
              </w:rPr>
            </w:pPr>
            <w:r w:rsidRPr="0023308A">
              <w:rPr>
                <w:rFonts w:eastAsia="Times New Roman" w:cs="Times New Roman"/>
                <w:b/>
                <w:bCs/>
                <w:color w:val="000000"/>
                <w:kern w:val="28"/>
                <w14:cntxtAlts/>
              </w:rPr>
              <w:t>Authorized By</w:t>
            </w:r>
          </w:p>
        </w:tc>
      </w:tr>
      <w:tr w:rsidR="002B0827" w:rsidRPr="0023308A" w:rsidTr="00E948F2">
        <w:trPr>
          <w:trHeight w:val="332"/>
        </w:trPr>
        <w:tc>
          <w:tcPr>
            <w:tcW w:w="1800" w:type="dxa"/>
          </w:tcPr>
          <w:p w:rsidR="002B0827" w:rsidRPr="0023308A" w:rsidRDefault="00285DD2" w:rsidP="00E948F2">
            <w:r>
              <w:t>2013-06-06</w:t>
            </w:r>
          </w:p>
        </w:tc>
        <w:tc>
          <w:tcPr>
            <w:tcW w:w="7200" w:type="dxa"/>
          </w:tcPr>
          <w:p w:rsidR="002B0827" w:rsidRPr="0023308A" w:rsidRDefault="002B0827" w:rsidP="00E948F2">
            <w:r w:rsidRPr="0023308A">
              <w:t>Original</w:t>
            </w:r>
          </w:p>
        </w:tc>
        <w:tc>
          <w:tcPr>
            <w:tcW w:w="1908" w:type="dxa"/>
          </w:tcPr>
          <w:p w:rsidR="002B0827" w:rsidRPr="0023308A" w:rsidRDefault="002B0827" w:rsidP="00E948F2">
            <w:r w:rsidRPr="0023308A">
              <w:t>Andrew Laing</w:t>
            </w:r>
          </w:p>
        </w:tc>
      </w:tr>
      <w:tr w:rsidR="002B0827" w:rsidRPr="0023308A" w:rsidTr="00E948F2">
        <w:tc>
          <w:tcPr>
            <w:tcW w:w="1800" w:type="dxa"/>
          </w:tcPr>
          <w:p w:rsidR="002B0827" w:rsidRPr="0023308A" w:rsidRDefault="002B0827" w:rsidP="00E948F2"/>
        </w:tc>
        <w:tc>
          <w:tcPr>
            <w:tcW w:w="7200" w:type="dxa"/>
          </w:tcPr>
          <w:p w:rsidR="002B0827" w:rsidRPr="0023308A" w:rsidRDefault="002B0827" w:rsidP="00E948F2"/>
        </w:tc>
        <w:tc>
          <w:tcPr>
            <w:tcW w:w="1908" w:type="dxa"/>
          </w:tcPr>
          <w:p w:rsidR="002B0827" w:rsidRPr="0023308A" w:rsidRDefault="002B0827" w:rsidP="00E948F2"/>
        </w:tc>
      </w:tr>
      <w:tr w:rsidR="002B0827" w:rsidRPr="0023308A" w:rsidTr="00E948F2">
        <w:tc>
          <w:tcPr>
            <w:tcW w:w="1800" w:type="dxa"/>
          </w:tcPr>
          <w:p w:rsidR="002B0827" w:rsidRPr="0023308A" w:rsidRDefault="002B0827" w:rsidP="00E948F2"/>
        </w:tc>
        <w:tc>
          <w:tcPr>
            <w:tcW w:w="7200" w:type="dxa"/>
          </w:tcPr>
          <w:p w:rsidR="002B0827" w:rsidRPr="0023308A" w:rsidRDefault="002B0827" w:rsidP="00E948F2"/>
        </w:tc>
        <w:tc>
          <w:tcPr>
            <w:tcW w:w="1908" w:type="dxa"/>
          </w:tcPr>
          <w:p w:rsidR="002B0827" w:rsidRPr="0023308A" w:rsidRDefault="002B0827" w:rsidP="00E948F2"/>
        </w:tc>
      </w:tr>
      <w:tr w:rsidR="002B0827" w:rsidRPr="0023308A" w:rsidTr="00E948F2">
        <w:tc>
          <w:tcPr>
            <w:tcW w:w="1800" w:type="dxa"/>
          </w:tcPr>
          <w:p w:rsidR="002B0827" w:rsidRPr="0023308A" w:rsidRDefault="002B0827" w:rsidP="00E948F2"/>
        </w:tc>
        <w:tc>
          <w:tcPr>
            <w:tcW w:w="7200" w:type="dxa"/>
          </w:tcPr>
          <w:p w:rsidR="002B0827" w:rsidRPr="0023308A" w:rsidRDefault="002B0827" w:rsidP="00E948F2"/>
        </w:tc>
        <w:tc>
          <w:tcPr>
            <w:tcW w:w="1908" w:type="dxa"/>
          </w:tcPr>
          <w:p w:rsidR="002B0827" w:rsidRPr="0023308A" w:rsidRDefault="002B0827" w:rsidP="00E948F2"/>
        </w:tc>
      </w:tr>
      <w:tr w:rsidR="002B0827" w:rsidRPr="0023308A" w:rsidTr="00E948F2">
        <w:tc>
          <w:tcPr>
            <w:tcW w:w="1800" w:type="dxa"/>
          </w:tcPr>
          <w:p w:rsidR="002B0827" w:rsidRPr="0023308A" w:rsidRDefault="002B0827" w:rsidP="00E948F2"/>
        </w:tc>
        <w:tc>
          <w:tcPr>
            <w:tcW w:w="7200" w:type="dxa"/>
          </w:tcPr>
          <w:p w:rsidR="002B0827" w:rsidRPr="0023308A" w:rsidRDefault="002B0827" w:rsidP="00E948F2"/>
        </w:tc>
        <w:tc>
          <w:tcPr>
            <w:tcW w:w="1908" w:type="dxa"/>
          </w:tcPr>
          <w:p w:rsidR="002B0827" w:rsidRPr="0023308A" w:rsidRDefault="002B0827" w:rsidP="00E948F2"/>
        </w:tc>
      </w:tr>
    </w:tbl>
    <w:p w:rsidR="00502E09" w:rsidRPr="0023308A" w:rsidRDefault="00502E09" w:rsidP="00502E09">
      <w:pPr>
        <w:widowControl w:val="0"/>
        <w:spacing w:after="120" w:line="285" w:lineRule="auto"/>
        <w:rPr>
          <w:rFonts w:eastAsia="Times New Roman" w:cs="Times New Roman"/>
          <w:color w:val="000000"/>
          <w:kern w:val="28"/>
          <w14:cntxtAlts/>
        </w:rPr>
      </w:pPr>
    </w:p>
    <w:p w:rsidR="00502E09" w:rsidRPr="0023308A" w:rsidRDefault="00502E09"/>
    <w:sectPr w:rsidR="00502E09" w:rsidRPr="0023308A" w:rsidSect="00572DEC">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B44" w:rsidRDefault="00E42B44" w:rsidP="00502E09">
      <w:pPr>
        <w:spacing w:after="0" w:line="240" w:lineRule="auto"/>
      </w:pPr>
      <w:r>
        <w:separator/>
      </w:r>
    </w:p>
  </w:endnote>
  <w:endnote w:type="continuationSeparator" w:id="0">
    <w:p w:rsidR="00E42B44" w:rsidRDefault="00E42B44" w:rsidP="00502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B44" w:rsidRDefault="00E42B44" w:rsidP="00502E09">
      <w:pPr>
        <w:spacing w:after="0" w:line="240" w:lineRule="auto"/>
      </w:pPr>
      <w:r>
        <w:separator/>
      </w:r>
    </w:p>
  </w:footnote>
  <w:footnote w:type="continuationSeparator" w:id="0">
    <w:p w:rsidR="00E42B44" w:rsidRDefault="00E42B44" w:rsidP="00502E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E09"/>
    <w:rsid w:val="0023308A"/>
    <w:rsid w:val="00285DD2"/>
    <w:rsid w:val="002B0827"/>
    <w:rsid w:val="00304F00"/>
    <w:rsid w:val="003879BF"/>
    <w:rsid w:val="00483298"/>
    <w:rsid w:val="00502E09"/>
    <w:rsid w:val="00572DEC"/>
    <w:rsid w:val="00720658"/>
    <w:rsid w:val="00964649"/>
    <w:rsid w:val="009E4768"/>
    <w:rsid w:val="00A36E46"/>
    <w:rsid w:val="00B10550"/>
    <w:rsid w:val="00B611ED"/>
    <w:rsid w:val="00C27254"/>
    <w:rsid w:val="00C34EEA"/>
    <w:rsid w:val="00DE7F7F"/>
    <w:rsid w:val="00E42B44"/>
    <w:rsid w:val="00FD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E09"/>
  </w:style>
  <w:style w:type="paragraph" w:styleId="Footer">
    <w:name w:val="footer"/>
    <w:basedOn w:val="Normal"/>
    <w:link w:val="FooterChar"/>
    <w:uiPriority w:val="99"/>
    <w:unhideWhenUsed/>
    <w:rsid w:val="00502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E09"/>
  </w:style>
  <w:style w:type="paragraph" w:styleId="BalloonText">
    <w:name w:val="Balloon Text"/>
    <w:basedOn w:val="Normal"/>
    <w:link w:val="BalloonTextChar"/>
    <w:uiPriority w:val="99"/>
    <w:semiHidden/>
    <w:unhideWhenUsed/>
    <w:rsid w:val="00502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E09"/>
    <w:rPr>
      <w:rFonts w:ascii="Tahoma" w:hAnsi="Tahoma" w:cs="Tahoma"/>
      <w:sz w:val="16"/>
      <w:szCs w:val="16"/>
    </w:rPr>
  </w:style>
  <w:style w:type="table" w:styleId="TableGrid">
    <w:name w:val="Table Grid"/>
    <w:basedOn w:val="TableNormal"/>
    <w:uiPriority w:val="59"/>
    <w:rsid w:val="00502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E09"/>
  </w:style>
  <w:style w:type="paragraph" w:styleId="Footer">
    <w:name w:val="footer"/>
    <w:basedOn w:val="Normal"/>
    <w:link w:val="FooterChar"/>
    <w:uiPriority w:val="99"/>
    <w:unhideWhenUsed/>
    <w:rsid w:val="00502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E09"/>
  </w:style>
  <w:style w:type="paragraph" w:styleId="BalloonText">
    <w:name w:val="Balloon Text"/>
    <w:basedOn w:val="Normal"/>
    <w:link w:val="BalloonTextChar"/>
    <w:uiPriority w:val="99"/>
    <w:semiHidden/>
    <w:unhideWhenUsed/>
    <w:rsid w:val="00502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E09"/>
    <w:rPr>
      <w:rFonts w:ascii="Tahoma" w:hAnsi="Tahoma" w:cs="Tahoma"/>
      <w:sz w:val="16"/>
      <w:szCs w:val="16"/>
    </w:rPr>
  </w:style>
  <w:style w:type="table" w:styleId="TableGrid">
    <w:name w:val="Table Grid"/>
    <w:basedOn w:val="TableNormal"/>
    <w:uiPriority w:val="59"/>
    <w:rsid w:val="00502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645">
      <w:bodyDiv w:val="1"/>
      <w:marLeft w:val="0"/>
      <w:marRight w:val="0"/>
      <w:marTop w:val="0"/>
      <w:marBottom w:val="0"/>
      <w:divBdr>
        <w:top w:val="none" w:sz="0" w:space="0" w:color="auto"/>
        <w:left w:val="none" w:sz="0" w:space="0" w:color="auto"/>
        <w:bottom w:val="none" w:sz="0" w:space="0" w:color="auto"/>
        <w:right w:val="none" w:sz="0" w:space="0" w:color="auto"/>
      </w:divBdr>
    </w:div>
    <w:div w:id="46488898">
      <w:bodyDiv w:val="1"/>
      <w:marLeft w:val="0"/>
      <w:marRight w:val="0"/>
      <w:marTop w:val="0"/>
      <w:marBottom w:val="0"/>
      <w:divBdr>
        <w:top w:val="none" w:sz="0" w:space="0" w:color="auto"/>
        <w:left w:val="none" w:sz="0" w:space="0" w:color="auto"/>
        <w:bottom w:val="none" w:sz="0" w:space="0" w:color="auto"/>
        <w:right w:val="none" w:sz="0" w:space="0" w:color="auto"/>
      </w:divBdr>
    </w:div>
    <w:div w:id="147020771">
      <w:bodyDiv w:val="1"/>
      <w:marLeft w:val="0"/>
      <w:marRight w:val="0"/>
      <w:marTop w:val="0"/>
      <w:marBottom w:val="0"/>
      <w:divBdr>
        <w:top w:val="none" w:sz="0" w:space="0" w:color="auto"/>
        <w:left w:val="none" w:sz="0" w:space="0" w:color="auto"/>
        <w:bottom w:val="none" w:sz="0" w:space="0" w:color="auto"/>
        <w:right w:val="none" w:sz="0" w:space="0" w:color="auto"/>
      </w:divBdr>
    </w:div>
    <w:div w:id="198132938">
      <w:bodyDiv w:val="1"/>
      <w:marLeft w:val="0"/>
      <w:marRight w:val="0"/>
      <w:marTop w:val="0"/>
      <w:marBottom w:val="0"/>
      <w:divBdr>
        <w:top w:val="none" w:sz="0" w:space="0" w:color="auto"/>
        <w:left w:val="none" w:sz="0" w:space="0" w:color="auto"/>
        <w:bottom w:val="none" w:sz="0" w:space="0" w:color="auto"/>
        <w:right w:val="none" w:sz="0" w:space="0" w:color="auto"/>
      </w:divBdr>
    </w:div>
    <w:div w:id="342974908">
      <w:bodyDiv w:val="1"/>
      <w:marLeft w:val="0"/>
      <w:marRight w:val="0"/>
      <w:marTop w:val="0"/>
      <w:marBottom w:val="0"/>
      <w:divBdr>
        <w:top w:val="none" w:sz="0" w:space="0" w:color="auto"/>
        <w:left w:val="none" w:sz="0" w:space="0" w:color="auto"/>
        <w:bottom w:val="none" w:sz="0" w:space="0" w:color="auto"/>
        <w:right w:val="none" w:sz="0" w:space="0" w:color="auto"/>
      </w:divBdr>
    </w:div>
    <w:div w:id="356926153">
      <w:bodyDiv w:val="1"/>
      <w:marLeft w:val="0"/>
      <w:marRight w:val="0"/>
      <w:marTop w:val="0"/>
      <w:marBottom w:val="0"/>
      <w:divBdr>
        <w:top w:val="none" w:sz="0" w:space="0" w:color="auto"/>
        <w:left w:val="none" w:sz="0" w:space="0" w:color="auto"/>
        <w:bottom w:val="none" w:sz="0" w:space="0" w:color="auto"/>
        <w:right w:val="none" w:sz="0" w:space="0" w:color="auto"/>
      </w:divBdr>
    </w:div>
    <w:div w:id="369384907">
      <w:bodyDiv w:val="1"/>
      <w:marLeft w:val="0"/>
      <w:marRight w:val="0"/>
      <w:marTop w:val="0"/>
      <w:marBottom w:val="0"/>
      <w:divBdr>
        <w:top w:val="none" w:sz="0" w:space="0" w:color="auto"/>
        <w:left w:val="none" w:sz="0" w:space="0" w:color="auto"/>
        <w:bottom w:val="none" w:sz="0" w:space="0" w:color="auto"/>
        <w:right w:val="none" w:sz="0" w:space="0" w:color="auto"/>
      </w:divBdr>
    </w:div>
    <w:div w:id="379280949">
      <w:bodyDiv w:val="1"/>
      <w:marLeft w:val="0"/>
      <w:marRight w:val="0"/>
      <w:marTop w:val="0"/>
      <w:marBottom w:val="0"/>
      <w:divBdr>
        <w:top w:val="none" w:sz="0" w:space="0" w:color="auto"/>
        <w:left w:val="none" w:sz="0" w:space="0" w:color="auto"/>
        <w:bottom w:val="none" w:sz="0" w:space="0" w:color="auto"/>
        <w:right w:val="none" w:sz="0" w:space="0" w:color="auto"/>
      </w:divBdr>
    </w:div>
    <w:div w:id="416172183">
      <w:bodyDiv w:val="1"/>
      <w:marLeft w:val="0"/>
      <w:marRight w:val="0"/>
      <w:marTop w:val="0"/>
      <w:marBottom w:val="0"/>
      <w:divBdr>
        <w:top w:val="none" w:sz="0" w:space="0" w:color="auto"/>
        <w:left w:val="none" w:sz="0" w:space="0" w:color="auto"/>
        <w:bottom w:val="none" w:sz="0" w:space="0" w:color="auto"/>
        <w:right w:val="none" w:sz="0" w:space="0" w:color="auto"/>
      </w:divBdr>
    </w:div>
    <w:div w:id="462046580">
      <w:bodyDiv w:val="1"/>
      <w:marLeft w:val="0"/>
      <w:marRight w:val="0"/>
      <w:marTop w:val="0"/>
      <w:marBottom w:val="0"/>
      <w:divBdr>
        <w:top w:val="none" w:sz="0" w:space="0" w:color="auto"/>
        <w:left w:val="none" w:sz="0" w:space="0" w:color="auto"/>
        <w:bottom w:val="none" w:sz="0" w:space="0" w:color="auto"/>
        <w:right w:val="none" w:sz="0" w:space="0" w:color="auto"/>
      </w:divBdr>
    </w:div>
    <w:div w:id="517238840">
      <w:bodyDiv w:val="1"/>
      <w:marLeft w:val="0"/>
      <w:marRight w:val="0"/>
      <w:marTop w:val="0"/>
      <w:marBottom w:val="0"/>
      <w:divBdr>
        <w:top w:val="none" w:sz="0" w:space="0" w:color="auto"/>
        <w:left w:val="none" w:sz="0" w:space="0" w:color="auto"/>
        <w:bottom w:val="none" w:sz="0" w:space="0" w:color="auto"/>
        <w:right w:val="none" w:sz="0" w:space="0" w:color="auto"/>
      </w:divBdr>
    </w:div>
    <w:div w:id="558323196">
      <w:bodyDiv w:val="1"/>
      <w:marLeft w:val="0"/>
      <w:marRight w:val="0"/>
      <w:marTop w:val="0"/>
      <w:marBottom w:val="0"/>
      <w:divBdr>
        <w:top w:val="none" w:sz="0" w:space="0" w:color="auto"/>
        <w:left w:val="none" w:sz="0" w:space="0" w:color="auto"/>
        <w:bottom w:val="none" w:sz="0" w:space="0" w:color="auto"/>
        <w:right w:val="none" w:sz="0" w:space="0" w:color="auto"/>
      </w:divBdr>
    </w:div>
    <w:div w:id="588732670">
      <w:bodyDiv w:val="1"/>
      <w:marLeft w:val="0"/>
      <w:marRight w:val="0"/>
      <w:marTop w:val="0"/>
      <w:marBottom w:val="0"/>
      <w:divBdr>
        <w:top w:val="none" w:sz="0" w:space="0" w:color="auto"/>
        <w:left w:val="none" w:sz="0" w:space="0" w:color="auto"/>
        <w:bottom w:val="none" w:sz="0" w:space="0" w:color="auto"/>
        <w:right w:val="none" w:sz="0" w:space="0" w:color="auto"/>
      </w:divBdr>
    </w:div>
    <w:div w:id="592974166">
      <w:bodyDiv w:val="1"/>
      <w:marLeft w:val="0"/>
      <w:marRight w:val="0"/>
      <w:marTop w:val="0"/>
      <w:marBottom w:val="0"/>
      <w:divBdr>
        <w:top w:val="none" w:sz="0" w:space="0" w:color="auto"/>
        <w:left w:val="none" w:sz="0" w:space="0" w:color="auto"/>
        <w:bottom w:val="none" w:sz="0" w:space="0" w:color="auto"/>
        <w:right w:val="none" w:sz="0" w:space="0" w:color="auto"/>
      </w:divBdr>
    </w:div>
    <w:div w:id="639655985">
      <w:bodyDiv w:val="1"/>
      <w:marLeft w:val="0"/>
      <w:marRight w:val="0"/>
      <w:marTop w:val="0"/>
      <w:marBottom w:val="0"/>
      <w:divBdr>
        <w:top w:val="none" w:sz="0" w:space="0" w:color="auto"/>
        <w:left w:val="none" w:sz="0" w:space="0" w:color="auto"/>
        <w:bottom w:val="none" w:sz="0" w:space="0" w:color="auto"/>
        <w:right w:val="none" w:sz="0" w:space="0" w:color="auto"/>
      </w:divBdr>
    </w:div>
    <w:div w:id="804006922">
      <w:bodyDiv w:val="1"/>
      <w:marLeft w:val="0"/>
      <w:marRight w:val="0"/>
      <w:marTop w:val="0"/>
      <w:marBottom w:val="0"/>
      <w:divBdr>
        <w:top w:val="none" w:sz="0" w:space="0" w:color="auto"/>
        <w:left w:val="none" w:sz="0" w:space="0" w:color="auto"/>
        <w:bottom w:val="none" w:sz="0" w:space="0" w:color="auto"/>
        <w:right w:val="none" w:sz="0" w:space="0" w:color="auto"/>
      </w:divBdr>
    </w:div>
    <w:div w:id="818763832">
      <w:bodyDiv w:val="1"/>
      <w:marLeft w:val="0"/>
      <w:marRight w:val="0"/>
      <w:marTop w:val="0"/>
      <w:marBottom w:val="0"/>
      <w:divBdr>
        <w:top w:val="none" w:sz="0" w:space="0" w:color="auto"/>
        <w:left w:val="none" w:sz="0" w:space="0" w:color="auto"/>
        <w:bottom w:val="none" w:sz="0" w:space="0" w:color="auto"/>
        <w:right w:val="none" w:sz="0" w:space="0" w:color="auto"/>
      </w:divBdr>
    </w:div>
    <w:div w:id="888877300">
      <w:bodyDiv w:val="1"/>
      <w:marLeft w:val="0"/>
      <w:marRight w:val="0"/>
      <w:marTop w:val="0"/>
      <w:marBottom w:val="0"/>
      <w:divBdr>
        <w:top w:val="none" w:sz="0" w:space="0" w:color="auto"/>
        <w:left w:val="none" w:sz="0" w:space="0" w:color="auto"/>
        <w:bottom w:val="none" w:sz="0" w:space="0" w:color="auto"/>
        <w:right w:val="none" w:sz="0" w:space="0" w:color="auto"/>
      </w:divBdr>
    </w:div>
    <w:div w:id="908078597">
      <w:bodyDiv w:val="1"/>
      <w:marLeft w:val="0"/>
      <w:marRight w:val="0"/>
      <w:marTop w:val="0"/>
      <w:marBottom w:val="0"/>
      <w:divBdr>
        <w:top w:val="none" w:sz="0" w:space="0" w:color="auto"/>
        <w:left w:val="none" w:sz="0" w:space="0" w:color="auto"/>
        <w:bottom w:val="none" w:sz="0" w:space="0" w:color="auto"/>
        <w:right w:val="none" w:sz="0" w:space="0" w:color="auto"/>
      </w:divBdr>
    </w:div>
    <w:div w:id="955601070">
      <w:bodyDiv w:val="1"/>
      <w:marLeft w:val="0"/>
      <w:marRight w:val="0"/>
      <w:marTop w:val="0"/>
      <w:marBottom w:val="0"/>
      <w:divBdr>
        <w:top w:val="none" w:sz="0" w:space="0" w:color="auto"/>
        <w:left w:val="none" w:sz="0" w:space="0" w:color="auto"/>
        <w:bottom w:val="none" w:sz="0" w:space="0" w:color="auto"/>
        <w:right w:val="none" w:sz="0" w:space="0" w:color="auto"/>
      </w:divBdr>
    </w:div>
    <w:div w:id="991368855">
      <w:bodyDiv w:val="1"/>
      <w:marLeft w:val="0"/>
      <w:marRight w:val="0"/>
      <w:marTop w:val="0"/>
      <w:marBottom w:val="0"/>
      <w:divBdr>
        <w:top w:val="none" w:sz="0" w:space="0" w:color="auto"/>
        <w:left w:val="none" w:sz="0" w:space="0" w:color="auto"/>
        <w:bottom w:val="none" w:sz="0" w:space="0" w:color="auto"/>
        <w:right w:val="none" w:sz="0" w:space="0" w:color="auto"/>
      </w:divBdr>
    </w:div>
    <w:div w:id="1086071299">
      <w:bodyDiv w:val="1"/>
      <w:marLeft w:val="0"/>
      <w:marRight w:val="0"/>
      <w:marTop w:val="0"/>
      <w:marBottom w:val="0"/>
      <w:divBdr>
        <w:top w:val="none" w:sz="0" w:space="0" w:color="auto"/>
        <w:left w:val="none" w:sz="0" w:space="0" w:color="auto"/>
        <w:bottom w:val="none" w:sz="0" w:space="0" w:color="auto"/>
        <w:right w:val="none" w:sz="0" w:space="0" w:color="auto"/>
      </w:divBdr>
    </w:div>
    <w:div w:id="1101145629">
      <w:bodyDiv w:val="1"/>
      <w:marLeft w:val="0"/>
      <w:marRight w:val="0"/>
      <w:marTop w:val="0"/>
      <w:marBottom w:val="0"/>
      <w:divBdr>
        <w:top w:val="none" w:sz="0" w:space="0" w:color="auto"/>
        <w:left w:val="none" w:sz="0" w:space="0" w:color="auto"/>
        <w:bottom w:val="none" w:sz="0" w:space="0" w:color="auto"/>
        <w:right w:val="none" w:sz="0" w:space="0" w:color="auto"/>
      </w:divBdr>
    </w:div>
    <w:div w:id="1224872205">
      <w:bodyDiv w:val="1"/>
      <w:marLeft w:val="0"/>
      <w:marRight w:val="0"/>
      <w:marTop w:val="0"/>
      <w:marBottom w:val="0"/>
      <w:divBdr>
        <w:top w:val="none" w:sz="0" w:space="0" w:color="auto"/>
        <w:left w:val="none" w:sz="0" w:space="0" w:color="auto"/>
        <w:bottom w:val="none" w:sz="0" w:space="0" w:color="auto"/>
        <w:right w:val="none" w:sz="0" w:space="0" w:color="auto"/>
      </w:divBdr>
    </w:div>
    <w:div w:id="1236285173">
      <w:bodyDiv w:val="1"/>
      <w:marLeft w:val="0"/>
      <w:marRight w:val="0"/>
      <w:marTop w:val="0"/>
      <w:marBottom w:val="0"/>
      <w:divBdr>
        <w:top w:val="none" w:sz="0" w:space="0" w:color="auto"/>
        <w:left w:val="none" w:sz="0" w:space="0" w:color="auto"/>
        <w:bottom w:val="none" w:sz="0" w:space="0" w:color="auto"/>
        <w:right w:val="none" w:sz="0" w:space="0" w:color="auto"/>
      </w:divBdr>
    </w:div>
    <w:div w:id="1267616492">
      <w:bodyDiv w:val="1"/>
      <w:marLeft w:val="0"/>
      <w:marRight w:val="0"/>
      <w:marTop w:val="0"/>
      <w:marBottom w:val="0"/>
      <w:divBdr>
        <w:top w:val="none" w:sz="0" w:space="0" w:color="auto"/>
        <w:left w:val="none" w:sz="0" w:space="0" w:color="auto"/>
        <w:bottom w:val="none" w:sz="0" w:space="0" w:color="auto"/>
        <w:right w:val="none" w:sz="0" w:space="0" w:color="auto"/>
      </w:divBdr>
    </w:div>
    <w:div w:id="1267620107">
      <w:bodyDiv w:val="1"/>
      <w:marLeft w:val="0"/>
      <w:marRight w:val="0"/>
      <w:marTop w:val="0"/>
      <w:marBottom w:val="0"/>
      <w:divBdr>
        <w:top w:val="none" w:sz="0" w:space="0" w:color="auto"/>
        <w:left w:val="none" w:sz="0" w:space="0" w:color="auto"/>
        <w:bottom w:val="none" w:sz="0" w:space="0" w:color="auto"/>
        <w:right w:val="none" w:sz="0" w:space="0" w:color="auto"/>
      </w:divBdr>
    </w:div>
    <w:div w:id="1292248402">
      <w:bodyDiv w:val="1"/>
      <w:marLeft w:val="0"/>
      <w:marRight w:val="0"/>
      <w:marTop w:val="0"/>
      <w:marBottom w:val="0"/>
      <w:divBdr>
        <w:top w:val="none" w:sz="0" w:space="0" w:color="auto"/>
        <w:left w:val="none" w:sz="0" w:space="0" w:color="auto"/>
        <w:bottom w:val="none" w:sz="0" w:space="0" w:color="auto"/>
        <w:right w:val="none" w:sz="0" w:space="0" w:color="auto"/>
      </w:divBdr>
    </w:div>
    <w:div w:id="1302610998">
      <w:bodyDiv w:val="1"/>
      <w:marLeft w:val="0"/>
      <w:marRight w:val="0"/>
      <w:marTop w:val="0"/>
      <w:marBottom w:val="0"/>
      <w:divBdr>
        <w:top w:val="none" w:sz="0" w:space="0" w:color="auto"/>
        <w:left w:val="none" w:sz="0" w:space="0" w:color="auto"/>
        <w:bottom w:val="none" w:sz="0" w:space="0" w:color="auto"/>
        <w:right w:val="none" w:sz="0" w:space="0" w:color="auto"/>
      </w:divBdr>
    </w:div>
    <w:div w:id="1310594514">
      <w:bodyDiv w:val="1"/>
      <w:marLeft w:val="0"/>
      <w:marRight w:val="0"/>
      <w:marTop w:val="0"/>
      <w:marBottom w:val="0"/>
      <w:divBdr>
        <w:top w:val="none" w:sz="0" w:space="0" w:color="auto"/>
        <w:left w:val="none" w:sz="0" w:space="0" w:color="auto"/>
        <w:bottom w:val="none" w:sz="0" w:space="0" w:color="auto"/>
        <w:right w:val="none" w:sz="0" w:space="0" w:color="auto"/>
      </w:divBdr>
    </w:div>
    <w:div w:id="1317301541">
      <w:bodyDiv w:val="1"/>
      <w:marLeft w:val="0"/>
      <w:marRight w:val="0"/>
      <w:marTop w:val="0"/>
      <w:marBottom w:val="0"/>
      <w:divBdr>
        <w:top w:val="none" w:sz="0" w:space="0" w:color="auto"/>
        <w:left w:val="none" w:sz="0" w:space="0" w:color="auto"/>
        <w:bottom w:val="none" w:sz="0" w:space="0" w:color="auto"/>
        <w:right w:val="none" w:sz="0" w:space="0" w:color="auto"/>
      </w:divBdr>
    </w:div>
    <w:div w:id="1370840655">
      <w:bodyDiv w:val="1"/>
      <w:marLeft w:val="0"/>
      <w:marRight w:val="0"/>
      <w:marTop w:val="0"/>
      <w:marBottom w:val="0"/>
      <w:divBdr>
        <w:top w:val="none" w:sz="0" w:space="0" w:color="auto"/>
        <w:left w:val="none" w:sz="0" w:space="0" w:color="auto"/>
        <w:bottom w:val="none" w:sz="0" w:space="0" w:color="auto"/>
        <w:right w:val="none" w:sz="0" w:space="0" w:color="auto"/>
      </w:divBdr>
    </w:div>
    <w:div w:id="1389651731">
      <w:bodyDiv w:val="1"/>
      <w:marLeft w:val="0"/>
      <w:marRight w:val="0"/>
      <w:marTop w:val="0"/>
      <w:marBottom w:val="0"/>
      <w:divBdr>
        <w:top w:val="none" w:sz="0" w:space="0" w:color="auto"/>
        <w:left w:val="none" w:sz="0" w:space="0" w:color="auto"/>
        <w:bottom w:val="none" w:sz="0" w:space="0" w:color="auto"/>
        <w:right w:val="none" w:sz="0" w:space="0" w:color="auto"/>
      </w:divBdr>
    </w:div>
    <w:div w:id="1390614027">
      <w:bodyDiv w:val="1"/>
      <w:marLeft w:val="0"/>
      <w:marRight w:val="0"/>
      <w:marTop w:val="0"/>
      <w:marBottom w:val="0"/>
      <w:divBdr>
        <w:top w:val="none" w:sz="0" w:space="0" w:color="auto"/>
        <w:left w:val="none" w:sz="0" w:space="0" w:color="auto"/>
        <w:bottom w:val="none" w:sz="0" w:space="0" w:color="auto"/>
        <w:right w:val="none" w:sz="0" w:space="0" w:color="auto"/>
      </w:divBdr>
    </w:div>
    <w:div w:id="1458840299">
      <w:bodyDiv w:val="1"/>
      <w:marLeft w:val="0"/>
      <w:marRight w:val="0"/>
      <w:marTop w:val="0"/>
      <w:marBottom w:val="0"/>
      <w:divBdr>
        <w:top w:val="none" w:sz="0" w:space="0" w:color="auto"/>
        <w:left w:val="none" w:sz="0" w:space="0" w:color="auto"/>
        <w:bottom w:val="none" w:sz="0" w:space="0" w:color="auto"/>
        <w:right w:val="none" w:sz="0" w:space="0" w:color="auto"/>
      </w:divBdr>
    </w:div>
    <w:div w:id="1473870413">
      <w:bodyDiv w:val="1"/>
      <w:marLeft w:val="0"/>
      <w:marRight w:val="0"/>
      <w:marTop w:val="0"/>
      <w:marBottom w:val="0"/>
      <w:divBdr>
        <w:top w:val="none" w:sz="0" w:space="0" w:color="auto"/>
        <w:left w:val="none" w:sz="0" w:space="0" w:color="auto"/>
        <w:bottom w:val="none" w:sz="0" w:space="0" w:color="auto"/>
        <w:right w:val="none" w:sz="0" w:space="0" w:color="auto"/>
      </w:divBdr>
    </w:div>
    <w:div w:id="1551723754">
      <w:bodyDiv w:val="1"/>
      <w:marLeft w:val="0"/>
      <w:marRight w:val="0"/>
      <w:marTop w:val="0"/>
      <w:marBottom w:val="0"/>
      <w:divBdr>
        <w:top w:val="none" w:sz="0" w:space="0" w:color="auto"/>
        <w:left w:val="none" w:sz="0" w:space="0" w:color="auto"/>
        <w:bottom w:val="none" w:sz="0" w:space="0" w:color="auto"/>
        <w:right w:val="none" w:sz="0" w:space="0" w:color="auto"/>
      </w:divBdr>
    </w:div>
    <w:div w:id="1560752103">
      <w:bodyDiv w:val="1"/>
      <w:marLeft w:val="0"/>
      <w:marRight w:val="0"/>
      <w:marTop w:val="0"/>
      <w:marBottom w:val="0"/>
      <w:divBdr>
        <w:top w:val="none" w:sz="0" w:space="0" w:color="auto"/>
        <w:left w:val="none" w:sz="0" w:space="0" w:color="auto"/>
        <w:bottom w:val="none" w:sz="0" w:space="0" w:color="auto"/>
        <w:right w:val="none" w:sz="0" w:space="0" w:color="auto"/>
      </w:divBdr>
    </w:div>
    <w:div w:id="1600142098">
      <w:bodyDiv w:val="1"/>
      <w:marLeft w:val="0"/>
      <w:marRight w:val="0"/>
      <w:marTop w:val="0"/>
      <w:marBottom w:val="0"/>
      <w:divBdr>
        <w:top w:val="none" w:sz="0" w:space="0" w:color="auto"/>
        <w:left w:val="none" w:sz="0" w:space="0" w:color="auto"/>
        <w:bottom w:val="none" w:sz="0" w:space="0" w:color="auto"/>
        <w:right w:val="none" w:sz="0" w:space="0" w:color="auto"/>
      </w:divBdr>
    </w:div>
    <w:div w:id="1603024516">
      <w:bodyDiv w:val="1"/>
      <w:marLeft w:val="0"/>
      <w:marRight w:val="0"/>
      <w:marTop w:val="0"/>
      <w:marBottom w:val="0"/>
      <w:divBdr>
        <w:top w:val="none" w:sz="0" w:space="0" w:color="auto"/>
        <w:left w:val="none" w:sz="0" w:space="0" w:color="auto"/>
        <w:bottom w:val="none" w:sz="0" w:space="0" w:color="auto"/>
        <w:right w:val="none" w:sz="0" w:space="0" w:color="auto"/>
      </w:divBdr>
    </w:div>
    <w:div w:id="1692490253">
      <w:bodyDiv w:val="1"/>
      <w:marLeft w:val="0"/>
      <w:marRight w:val="0"/>
      <w:marTop w:val="0"/>
      <w:marBottom w:val="0"/>
      <w:divBdr>
        <w:top w:val="none" w:sz="0" w:space="0" w:color="auto"/>
        <w:left w:val="none" w:sz="0" w:space="0" w:color="auto"/>
        <w:bottom w:val="none" w:sz="0" w:space="0" w:color="auto"/>
        <w:right w:val="none" w:sz="0" w:space="0" w:color="auto"/>
      </w:divBdr>
    </w:div>
    <w:div w:id="1722442402">
      <w:bodyDiv w:val="1"/>
      <w:marLeft w:val="0"/>
      <w:marRight w:val="0"/>
      <w:marTop w:val="0"/>
      <w:marBottom w:val="0"/>
      <w:divBdr>
        <w:top w:val="none" w:sz="0" w:space="0" w:color="auto"/>
        <w:left w:val="none" w:sz="0" w:space="0" w:color="auto"/>
        <w:bottom w:val="none" w:sz="0" w:space="0" w:color="auto"/>
        <w:right w:val="none" w:sz="0" w:space="0" w:color="auto"/>
      </w:divBdr>
    </w:div>
    <w:div w:id="1761367181">
      <w:bodyDiv w:val="1"/>
      <w:marLeft w:val="0"/>
      <w:marRight w:val="0"/>
      <w:marTop w:val="0"/>
      <w:marBottom w:val="0"/>
      <w:divBdr>
        <w:top w:val="none" w:sz="0" w:space="0" w:color="auto"/>
        <w:left w:val="none" w:sz="0" w:space="0" w:color="auto"/>
        <w:bottom w:val="none" w:sz="0" w:space="0" w:color="auto"/>
        <w:right w:val="none" w:sz="0" w:space="0" w:color="auto"/>
      </w:divBdr>
    </w:div>
    <w:div w:id="1782410963">
      <w:bodyDiv w:val="1"/>
      <w:marLeft w:val="0"/>
      <w:marRight w:val="0"/>
      <w:marTop w:val="0"/>
      <w:marBottom w:val="0"/>
      <w:divBdr>
        <w:top w:val="none" w:sz="0" w:space="0" w:color="auto"/>
        <w:left w:val="none" w:sz="0" w:space="0" w:color="auto"/>
        <w:bottom w:val="none" w:sz="0" w:space="0" w:color="auto"/>
        <w:right w:val="none" w:sz="0" w:space="0" w:color="auto"/>
      </w:divBdr>
    </w:div>
    <w:div w:id="2028941700">
      <w:bodyDiv w:val="1"/>
      <w:marLeft w:val="0"/>
      <w:marRight w:val="0"/>
      <w:marTop w:val="0"/>
      <w:marBottom w:val="0"/>
      <w:divBdr>
        <w:top w:val="none" w:sz="0" w:space="0" w:color="auto"/>
        <w:left w:val="none" w:sz="0" w:space="0" w:color="auto"/>
        <w:bottom w:val="none" w:sz="0" w:space="0" w:color="auto"/>
        <w:right w:val="none" w:sz="0" w:space="0" w:color="auto"/>
      </w:divBdr>
    </w:div>
    <w:div w:id="2031637384">
      <w:bodyDiv w:val="1"/>
      <w:marLeft w:val="0"/>
      <w:marRight w:val="0"/>
      <w:marTop w:val="0"/>
      <w:marBottom w:val="0"/>
      <w:divBdr>
        <w:top w:val="none" w:sz="0" w:space="0" w:color="auto"/>
        <w:left w:val="none" w:sz="0" w:space="0" w:color="auto"/>
        <w:bottom w:val="none" w:sz="0" w:space="0" w:color="auto"/>
        <w:right w:val="none" w:sz="0" w:space="0" w:color="auto"/>
      </w:divBdr>
    </w:div>
    <w:div w:id="2032679220">
      <w:bodyDiv w:val="1"/>
      <w:marLeft w:val="0"/>
      <w:marRight w:val="0"/>
      <w:marTop w:val="0"/>
      <w:marBottom w:val="0"/>
      <w:divBdr>
        <w:top w:val="none" w:sz="0" w:space="0" w:color="auto"/>
        <w:left w:val="none" w:sz="0" w:space="0" w:color="auto"/>
        <w:bottom w:val="none" w:sz="0" w:space="0" w:color="auto"/>
        <w:right w:val="none" w:sz="0" w:space="0" w:color="auto"/>
      </w:divBdr>
    </w:div>
    <w:div w:id="2050253267">
      <w:bodyDiv w:val="1"/>
      <w:marLeft w:val="0"/>
      <w:marRight w:val="0"/>
      <w:marTop w:val="0"/>
      <w:marBottom w:val="0"/>
      <w:divBdr>
        <w:top w:val="none" w:sz="0" w:space="0" w:color="auto"/>
        <w:left w:val="none" w:sz="0" w:space="0" w:color="auto"/>
        <w:bottom w:val="none" w:sz="0" w:space="0" w:color="auto"/>
        <w:right w:val="none" w:sz="0" w:space="0" w:color="auto"/>
      </w:divBdr>
    </w:div>
    <w:div w:id="2096129316">
      <w:bodyDiv w:val="1"/>
      <w:marLeft w:val="0"/>
      <w:marRight w:val="0"/>
      <w:marTop w:val="0"/>
      <w:marBottom w:val="0"/>
      <w:divBdr>
        <w:top w:val="none" w:sz="0" w:space="0" w:color="auto"/>
        <w:left w:val="none" w:sz="0" w:space="0" w:color="auto"/>
        <w:bottom w:val="none" w:sz="0" w:space="0" w:color="auto"/>
        <w:right w:val="none" w:sz="0" w:space="0" w:color="auto"/>
      </w:divBdr>
    </w:div>
    <w:div w:id="2141338117">
      <w:bodyDiv w:val="1"/>
      <w:marLeft w:val="0"/>
      <w:marRight w:val="0"/>
      <w:marTop w:val="0"/>
      <w:marBottom w:val="0"/>
      <w:divBdr>
        <w:top w:val="none" w:sz="0" w:space="0" w:color="auto"/>
        <w:left w:val="none" w:sz="0" w:space="0" w:color="auto"/>
        <w:bottom w:val="none" w:sz="0" w:space="0" w:color="auto"/>
        <w:right w:val="none" w:sz="0" w:space="0" w:color="auto"/>
      </w:divBdr>
    </w:div>
    <w:div w:id="214592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Agency Of Human Services - State Of VT</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Vinita</dc:creator>
  <cp:lastModifiedBy>Sharma, Vinita</cp:lastModifiedBy>
  <cp:revision>2</cp:revision>
  <cp:lastPrinted>2013-06-04T14:32:00Z</cp:lastPrinted>
  <dcterms:created xsi:type="dcterms:W3CDTF">2013-06-06T13:47:00Z</dcterms:created>
  <dcterms:modified xsi:type="dcterms:W3CDTF">2013-06-06T13:47:00Z</dcterms:modified>
</cp:coreProperties>
</file>