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EC" w:rsidRDefault="00502E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69437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09" w:rsidRDefault="009E4768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Overview</w:t>
                            </w:r>
                            <w:r w:rsidR="00502E09" w:rsidRPr="00502E0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 xml:space="preserve">:  </w:t>
                            </w:r>
                            <w:bookmarkStart w:id="0" w:name="_GoBack"/>
                            <w:r w:rsidR="0043520D" w:rsidRPr="0043520D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BP-01.01.01.23 SB-17</w:t>
                            </w:r>
                            <w:bookmarkEnd w:id="0"/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</w:p>
                          <w:p w:rsidR="00572DEC" w:rsidRP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</w:p>
                          <w:p w:rsidR="00502E09" w:rsidRPr="00502E09" w:rsidRDefault="00502E09" w:rsidP="00502E09">
                            <w:pPr>
                              <w:widowControl w:val="0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</w:pPr>
                            <w:r w:rsidRPr="00502E09"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  <w:t> </w:t>
                            </w:r>
                          </w:p>
                          <w:p w:rsidR="00502E09" w:rsidRDefault="00502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0;width:54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">
                <v:textbox>
                  <w:txbxContent>
                    <w:p w:rsidR="00502E09" w:rsidRDefault="009E4768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Overview</w:t>
                      </w:r>
                      <w:r w:rsidR="00502E09" w:rsidRPr="00502E09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 xml:space="preserve">:  </w:t>
                      </w:r>
                      <w:bookmarkStart w:id="1" w:name="_GoBack"/>
                      <w:r w:rsidR="0043520D" w:rsidRPr="0043520D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BP-01.01.01.23 SB-17</w:t>
                      </w:r>
                      <w:bookmarkEnd w:id="1"/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</w:p>
                    <w:p w:rsidR="00572DEC" w:rsidRP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</w:p>
                    <w:p w:rsidR="00502E09" w:rsidRPr="00502E09" w:rsidRDefault="00502E09" w:rsidP="00502E09">
                      <w:pPr>
                        <w:widowControl w:val="0"/>
                        <w:spacing w:after="120" w:line="285" w:lineRule="auto"/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</w:pPr>
                      <w:r w:rsidRPr="00502E09"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  <w:t> </w:t>
                      </w:r>
                    </w:p>
                    <w:p w:rsidR="00502E09" w:rsidRDefault="00502E09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4743" w:rsidRPr="0023308A" w:rsidRDefault="00502E09"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</w:p>
    <w:p w:rsidR="003879BF" w:rsidRPr="0023308A" w:rsidRDefault="00502E09" w:rsidP="003879BF">
      <w:pPr>
        <w:widowControl w:val="0"/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 xml:space="preserve">Description:   </w:t>
      </w:r>
      <w:r w:rsidR="0043520D">
        <w:t xml:space="preserve">This process handles the process for renewing an employee’s enrollment in their Qualified Health Plan. The renewal is dependent on the employer maintaining eligibility for participation in the SB </w:t>
      </w:r>
      <w:proofErr w:type="gramStart"/>
      <w:r w:rsidR="0043520D">
        <w:t>Exchange  and</w:t>
      </w:r>
      <w:proofErr w:type="gramEnd"/>
      <w:r w:rsidR="0043520D">
        <w:t xml:space="preserve"> any changes to their offerings</w:t>
      </w:r>
      <w:r w:rsidR="0023308A" w:rsidRPr="0023308A">
        <w:rPr>
          <w:bCs/>
        </w:rPr>
        <w:t>.</w:t>
      </w:r>
    </w:p>
    <w:p w:rsidR="009E4768" w:rsidRPr="0023308A" w:rsidRDefault="00572DEC" w:rsidP="0023308A">
      <w:pPr>
        <w:widowControl w:val="0"/>
        <w:spacing w:after="0" w:line="285" w:lineRule="auto"/>
        <w:rPr>
          <w:rFonts w:eastAsia="Times New Roman" w:cs="Times New Roman"/>
          <w:bCs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 xml:space="preserve">Association:    </w:t>
      </w:r>
      <w:r w:rsidR="00C27254" w:rsidRPr="0023308A">
        <w:rPr>
          <w:rFonts w:eastAsia="Times New Roman" w:cs="Times New Roman"/>
          <w:bCs/>
          <w:color w:val="000000"/>
          <w:kern w:val="28"/>
          <w14:cntxtAlts/>
        </w:rPr>
        <w:t>BP-01.01 Enrollment Process</w:t>
      </w: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ab/>
      </w: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ab/>
      </w: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ab/>
      </w:r>
    </w:p>
    <w:p w:rsidR="0023308A" w:rsidRPr="0023308A" w:rsidRDefault="0023308A" w:rsidP="0023308A">
      <w:pPr>
        <w:widowControl w:val="0"/>
        <w:spacing w:after="0" w:line="285" w:lineRule="auto"/>
        <w:rPr>
          <w:rFonts w:eastAsia="Times New Roman" w:cs="Times New Roman"/>
          <w:bCs/>
          <w:color w:val="000000"/>
          <w:kern w:val="28"/>
          <w14:cntxtAlts/>
        </w:rPr>
      </w:pPr>
    </w:p>
    <w:p w:rsidR="00502E09" w:rsidRPr="0023308A" w:rsidRDefault="00502E09" w:rsidP="00502E09">
      <w:pPr>
        <w:widowControl w:val="0"/>
        <w:spacing w:after="120" w:line="285" w:lineRule="auto"/>
        <w:rPr>
          <w:rFonts w:eastAsia="Times New Roman" w:cs="Times New Roman"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 xml:space="preserve">Roles &amp; Responsibilities: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502E09" w:rsidRPr="0023308A" w:rsidTr="009E4768">
        <w:tc>
          <w:tcPr>
            <w:tcW w:w="1800" w:type="dxa"/>
            <w:shd w:val="clear" w:color="auto" w:fill="92CDDC" w:themeFill="accent5" w:themeFillTint="99"/>
          </w:tcPr>
          <w:p w:rsidR="00502E09" w:rsidRPr="0023308A" w:rsidRDefault="00502E09" w:rsidP="00502E09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Actor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502E09" w:rsidRPr="0023308A" w:rsidRDefault="00502E09" w:rsidP="00502E09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Responsibility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502E09" w:rsidRPr="0023308A" w:rsidRDefault="00502E09" w:rsidP="00502E09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Handoff</w:t>
            </w:r>
          </w:p>
        </w:tc>
      </w:tr>
      <w:tr w:rsidR="00502E09" w:rsidRPr="0023308A" w:rsidTr="003879BF">
        <w:trPr>
          <w:trHeight w:val="332"/>
        </w:trPr>
        <w:tc>
          <w:tcPr>
            <w:tcW w:w="1800" w:type="dxa"/>
            <w:vAlign w:val="center"/>
          </w:tcPr>
          <w:p w:rsidR="00502E09" w:rsidRPr="0023308A" w:rsidRDefault="0043520D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bCs/>
                <w:color w:val="000000"/>
                <w:kern w:val="28"/>
                <w14:cntxtAlts/>
              </w:rPr>
              <w:t>Employee</w:t>
            </w:r>
          </w:p>
        </w:tc>
        <w:tc>
          <w:tcPr>
            <w:tcW w:w="7200" w:type="dxa"/>
            <w:vAlign w:val="center"/>
          </w:tcPr>
          <w:p w:rsidR="0023308A" w:rsidRPr="0023308A" w:rsidRDefault="0043520D" w:rsidP="003879BF">
            <w:pPr>
              <w:widowControl w:val="0"/>
            </w:pPr>
            <w:r>
              <w:t xml:space="preserve">Review renewal notice and select option </w:t>
            </w:r>
          </w:p>
        </w:tc>
        <w:tc>
          <w:tcPr>
            <w:tcW w:w="1908" w:type="dxa"/>
            <w:vAlign w:val="center"/>
          </w:tcPr>
          <w:p w:rsidR="00502E09" w:rsidRPr="0023308A" w:rsidRDefault="00502E09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</w:p>
        </w:tc>
      </w:tr>
      <w:tr w:rsidR="00502E09" w:rsidRPr="0023308A" w:rsidTr="003879BF">
        <w:tc>
          <w:tcPr>
            <w:tcW w:w="1800" w:type="dxa"/>
            <w:vAlign w:val="center"/>
          </w:tcPr>
          <w:p w:rsidR="00502E09" w:rsidRPr="0023308A" w:rsidRDefault="00502E09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</w:p>
        </w:tc>
        <w:tc>
          <w:tcPr>
            <w:tcW w:w="7200" w:type="dxa"/>
            <w:vAlign w:val="center"/>
          </w:tcPr>
          <w:p w:rsidR="00502E09" w:rsidRPr="0023308A" w:rsidRDefault="00502E09" w:rsidP="0023308A">
            <w:pPr>
              <w:widowControl w:val="0"/>
            </w:pPr>
          </w:p>
        </w:tc>
        <w:tc>
          <w:tcPr>
            <w:tcW w:w="1908" w:type="dxa"/>
            <w:vAlign w:val="center"/>
          </w:tcPr>
          <w:p w:rsidR="003879BF" w:rsidRPr="0023308A" w:rsidRDefault="003879BF" w:rsidP="0043520D">
            <w:pPr>
              <w:widowControl w:val="0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</w:p>
        </w:tc>
      </w:tr>
    </w:tbl>
    <w:p w:rsidR="009E4768" w:rsidRPr="0023308A" w:rsidRDefault="0043520D" w:rsidP="009E4768">
      <w:pPr>
        <w:widowControl w:val="0"/>
        <w:spacing w:after="12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  <w:r>
        <w:rPr>
          <w:rFonts w:eastAsia="Times New Roman" w:cs="Times New Roman"/>
          <w:b/>
          <w:bCs/>
          <w:color w:val="000000"/>
          <w:kern w:val="28"/>
          <w14:cntxtAlts/>
        </w:rPr>
        <w:tab/>
      </w:r>
      <w:r>
        <w:rPr>
          <w:rFonts w:eastAsia="Times New Roman" w:cs="Times New Roman"/>
          <w:b/>
          <w:bCs/>
          <w:color w:val="000000"/>
          <w:kern w:val="28"/>
          <w14:cntxtAlts/>
        </w:rPr>
        <w:tab/>
      </w:r>
      <w:r>
        <w:rPr>
          <w:rFonts w:eastAsia="Times New Roman" w:cs="Times New Roman"/>
          <w:b/>
          <w:bCs/>
          <w:color w:val="000000"/>
          <w:kern w:val="28"/>
          <w14:cntxtAlts/>
        </w:rPr>
        <w:tab/>
      </w:r>
      <w:r>
        <w:rPr>
          <w:rFonts w:eastAsia="Times New Roman" w:cs="Times New Roman"/>
          <w:b/>
          <w:bCs/>
          <w:color w:val="000000"/>
          <w:kern w:val="28"/>
          <w14:cntxtAlts/>
        </w:rPr>
        <w:tab/>
      </w:r>
      <w:r>
        <w:rPr>
          <w:rFonts w:eastAsia="Times New Roman" w:cs="Times New Roman"/>
          <w:b/>
          <w:bCs/>
          <w:color w:val="000000"/>
          <w:kern w:val="28"/>
          <w14:cntxtAlts/>
        </w:rPr>
        <w:tab/>
      </w:r>
      <w:r>
        <w:rPr>
          <w:rFonts w:eastAsia="Times New Roman" w:cs="Times New Roman"/>
          <w:b/>
          <w:bCs/>
          <w:color w:val="000000"/>
          <w:kern w:val="28"/>
          <w14:cntxtAlts/>
        </w:rPr>
        <w:tab/>
      </w:r>
    </w:p>
    <w:p w:rsidR="009E4768" w:rsidRPr="0023308A" w:rsidRDefault="009E4768" w:rsidP="009E4768">
      <w:pPr>
        <w:widowControl w:val="0"/>
        <w:spacing w:after="12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>Key Performance Indicators (KPI’s):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9E4768" w:rsidRPr="0023308A" w:rsidTr="009E4768">
        <w:tc>
          <w:tcPr>
            <w:tcW w:w="1800" w:type="dxa"/>
            <w:shd w:val="clear" w:color="auto" w:fill="92CDDC" w:themeFill="accent5" w:themeFillTint="99"/>
          </w:tcPr>
          <w:p w:rsidR="009E4768" w:rsidRPr="0023308A" w:rsidRDefault="009E4768" w:rsidP="008C577B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Indicator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9E4768" w:rsidRPr="0023308A" w:rsidRDefault="009E4768" w:rsidP="008C577B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Purpose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9E4768" w:rsidRPr="0023308A" w:rsidRDefault="009E4768" w:rsidP="008C577B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Measure</w:t>
            </w:r>
          </w:p>
        </w:tc>
      </w:tr>
      <w:tr w:rsidR="009E4768" w:rsidRPr="0023308A" w:rsidTr="003879BF">
        <w:trPr>
          <w:trHeight w:val="332"/>
        </w:trPr>
        <w:tc>
          <w:tcPr>
            <w:tcW w:w="1800" w:type="dxa"/>
            <w:vAlign w:val="center"/>
          </w:tcPr>
          <w:p w:rsidR="009E4768" w:rsidRPr="0023308A" w:rsidRDefault="0043520D" w:rsidP="0023308A">
            <w:pPr>
              <w:widowControl w:val="0"/>
              <w:spacing w:line="223" w:lineRule="auto"/>
            </w:pPr>
            <w:r>
              <w:t>Employee response time lag</w:t>
            </w:r>
          </w:p>
        </w:tc>
        <w:tc>
          <w:tcPr>
            <w:tcW w:w="7200" w:type="dxa"/>
            <w:vAlign w:val="center"/>
          </w:tcPr>
          <w:p w:rsidR="009E4768" w:rsidRPr="0023308A" w:rsidRDefault="0043520D" w:rsidP="0023308A">
            <w:pPr>
              <w:widowControl w:val="0"/>
              <w:spacing w:line="223" w:lineRule="auto"/>
            </w:pPr>
            <w:r>
              <w:t>To make sure amount of time for employee to respond to renewal</w:t>
            </w:r>
          </w:p>
        </w:tc>
        <w:tc>
          <w:tcPr>
            <w:tcW w:w="1908" w:type="dxa"/>
            <w:vAlign w:val="center"/>
          </w:tcPr>
          <w:p w:rsidR="009E4768" w:rsidRPr="0023308A" w:rsidRDefault="0043520D" w:rsidP="003879BF">
            <w:r>
              <w:t>Days</w:t>
            </w:r>
          </w:p>
        </w:tc>
      </w:tr>
      <w:tr w:rsidR="009E4768" w:rsidRPr="0023308A" w:rsidTr="003879BF">
        <w:tc>
          <w:tcPr>
            <w:tcW w:w="1800" w:type="dxa"/>
            <w:vAlign w:val="center"/>
          </w:tcPr>
          <w:p w:rsidR="009E4768" w:rsidRPr="0023308A" w:rsidRDefault="0043520D" w:rsidP="0023308A">
            <w:pPr>
              <w:widowControl w:val="0"/>
              <w:spacing w:line="223" w:lineRule="auto"/>
            </w:pPr>
            <w:r>
              <w:t>Employee response time lag</w:t>
            </w:r>
          </w:p>
        </w:tc>
        <w:tc>
          <w:tcPr>
            <w:tcW w:w="7200" w:type="dxa"/>
            <w:vAlign w:val="center"/>
          </w:tcPr>
          <w:p w:rsidR="009E4768" w:rsidRPr="0023308A" w:rsidRDefault="0043520D" w:rsidP="0023308A">
            <w:pPr>
              <w:widowControl w:val="0"/>
              <w:spacing w:line="223" w:lineRule="auto"/>
            </w:pPr>
            <w:r>
              <w:t>To make sure amount of time for navigator to response to renewal</w:t>
            </w:r>
          </w:p>
        </w:tc>
        <w:tc>
          <w:tcPr>
            <w:tcW w:w="1908" w:type="dxa"/>
            <w:vAlign w:val="center"/>
          </w:tcPr>
          <w:p w:rsidR="0043520D" w:rsidRPr="0023308A" w:rsidRDefault="0043520D" w:rsidP="003879BF">
            <w:r>
              <w:t>Days</w:t>
            </w:r>
          </w:p>
        </w:tc>
      </w:tr>
      <w:tr w:rsidR="0043520D" w:rsidRPr="0023308A" w:rsidTr="003879BF">
        <w:tc>
          <w:tcPr>
            <w:tcW w:w="1800" w:type="dxa"/>
            <w:vAlign w:val="center"/>
          </w:tcPr>
          <w:p w:rsidR="0043520D" w:rsidRDefault="0043520D" w:rsidP="0023308A">
            <w:pPr>
              <w:widowControl w:val="0"/>
              <w:spacing w:line="223" w:lineRule="auto"/>
            </w:pPr>
            <w:r>
              <w:t>Percentage of employees requiring assistance</w:t>
            </w:r>
          </w:p>
        </w:tc>
        <w:tc>
          <w:tcPr>
            <w:tcW w:w="7200" w:type="dxa"/>
            <w:vAlign w:val="center"/>
          </w:tcPr>
          <w:p w:rsidR="0043520D" w:rsidRDefault="0043520D" w:rsidP="0023308A">
            <w:pPr>
              <w:widowControl w:val="0"/>
              <w:spacing w:line="223" w:lineRule="auto"/>
            </w:pPr>
            <w:r>
              <w:t xml:space="preserve">Measure the percentage of </w:t>
            </w:r>
            <w:proofErr w:type="spellStart"/>
            <w:r>
              <w:t>non standard</w:t>
            </w:r>
            <w:proofErr w:type="spellEnd"/>
            <w:r>
              <w:t xml:space="preserve"> response</w:t>
            </w:r>
          </w:p>
        </w:tc>
        <w:tc>
          <w:tcPr>
            <w:tcW w:w="1908" w:type="dxa"/>
            <w:vAlign w:val="center"/>
          </w:tcPr>
          <w:p w:rsidR="0043520D" w:rsidRDefault="0043520D" w:rsidP="003879BF">
            <w:r>
              <w:t xml:space="preserve">Percent of </w:t>
            </w:r>
            <w:proofErr w:type="spellStart"/>
            <w:r>
              <w:t>utiliziaton</w:t>
            </w:r>
            <w:proofErr w:type="spellEnd"/>
          </w:p>
        </w:tc>
      </w:tr>
    </w:tbl>
    <w:p w:rsidR="009E4768" w:rsidRPr="0023308A" w:rsidRDefault="009E4768" w:rsidP="00502E09">
      <w:pPr>
        <w:widowControl w:val="0"/>
        <w:spacing w:after="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</w:p>
    <w:p w:rsidR="002B0827" w:rsidRPr="0023308A" w:rsidRDefault="002B0827" w:rsidP="00502E09">
      <w:pPr>
        <w:widowControl w:val="0"/>
        <w:spacing w:after="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>Revision History: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2B0827" w:rsidRPr="0023308A" w:rsidTr="00E948F2">
        <w:tc>
          <w:tcPr>
            <w:tcW w:w="1800" w:type="dxa"/>
            <w:shd w:val="clear" w:color="auto" w:fill="92CDDC" w:themeFill="accent5" w:themeFillTint="99"/>
          </w:tcPr>
          <w:p w:rsidR="002B0827" w:rsidRPr="0023308A" w:rsidRDefault="002B0827" w:rsidP="00E948F2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Date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2B0827" w:rsidRPr="0023308A" w:rsidRDefault="002B0827" w:rsidP="00E948F2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Action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2B0827" w:rsidRPr="0023308A" w:rsidRDefault="002B0827" w:rsidP="00E948F2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Authorized By</w:t>
            </w:r>
          </w:p>
        </w:tc>
      </w:tr>
      <w:tr w:rsidR="002B0827" w:rsidRPr="0023308A" w:rsidTr="00E948F2">
        <w:trPr>
          <w:trHeight w:val="332"/>
        </w:trPr>
        <w:tc>
          <w:tcPr>
            <w:tcW w:w="1800" w:type="dxa"/>
          </w:tcPr>
          <w:p w:rsidR="002B0827" w:rsidRPr="0023308A" w:rsidRDefault="0043520D" w:rsidP="00E948F2">
            <w:r>
              <w:t>2013-06-06</w:t>
            </w:r>
          </w:p>
        </w:tc>
        <w:tc>
          <w:tcPr>
            <w:tcW w:w="7200" w:type="dxa"/>
          </w:tcPr>
          <w:p w:rsidR="002B0827" w:rsidRPr="0023308A" w:rsidRDefault="002B0827" w:rsidP="00E948F2">
            <w:r w:rsidRPr="0023308A">
              <w:t>Original</w:t>
            </w:r>
          </w:p>
        </w:tc>
        <w:tc>
          <w:tcPr>
            <w:tcW w:w="1908" w:type="dxa"/>
          </w:tcPr>
          <w:p w:rsidR="002B0827" w:rsidRPr="0023308A" w:rsidRDefault="002B0827" w:rsidP="00E948F2">
            <w:r w:rsidRPr="0023308A">
              <w:t>Andrew Laing</w:t>
            </w:r>
          </w:p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</w:tbl>
    <w:p w:rsidR="00502E09" w:rsidRPr="0023308A" w:rsidRDefault="00502E09" w:rsidP="00502E09">
      <w:pPr>
        <w:widowControl w:val="0"/>
        <w:spacing w:after="120" w:line="285" w:lineRule="auto"/>
        <w:rPr>
          <w:rFonts w:eastAsia="Times New Roman" w:cs="Times New Roman"/>
          <w:color w:val="000000"/>
          <w:kern w:val="28"/>
          <w14:cntxtAlts/>
        </w:rPr>
      </w:pPr>
    </w:p>
    <w:p w:rsidR="00502E09" w:rsidRPr="0023308A" w:rsidRDefault="00502E09"/>
    <w:sectPr w:rsidR="00502E09" w:rsidRPr="0023308A" w:rsidSect="00572DE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2BE" w:rsidRDefault="001A72BE" w:rsidP="00502E09">
      <w:pPr>
        <w:spacing w:after="0" w:line="240" w:lineRule="auto"/>
      </w:pPr>
      <w:r>
        <w:separator/>
      </w:r>
    </w:p>
  </w:endnote>
  <w:endnote w:type="continuationSeparator" w:id="0">
    <w:p w:rsidR="001A72BE" w:rsidRDefault="001A72BE" w:rsidP="0050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2BE" w:rsidRDefault="001A72BE" w:rsidP="00502E09">
      <w:pPr>
        <w:spacing w:after="0" w:line="240" w:lineRule="auto"/>
      </w:pPr>
      <w:r>
        <w:separator/>
      </w:r>
    </w:p>
  </w:footnote>
  <w:footnote w:type="continuationSeparator" w:id="0">
    <w:p w:rsidR="001A72BE" w:rsidRDefault="001A72BE" w:rsidP="00502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09"/>
    <w:rsid w:val="001A72BE"/>
    <w:rsid w:val="0023308A"/>
    <w:rsid w:val="002B0827"/>
    <w:rsid w:val="00304F00"/>
    <w:rsid w:val="003879BF"/>
    <w:rsid w:val="0043520D"/>
    <w:rsid w:val="00483298"/>
    <w:rsid w:val="00502E09"/>
    <w:rsid w:val="00572DEC"/>
    <w:rsid w:val="00720658"/>
    <w:rsid w:val="00935433"/>
    <w:rsid w:val="00964649"/>
    <w:rsid w:val="009E4768"/>
    <w:rsid w:val="00A36E46"/>
    <w:rsid w:val="00B10550"/>
    <w:rsid w:val="00B611ED"/>
    <w:rsid w:val="00C27254"/>
    <w:rsid w:val="00C34EEA"/>
    <w:rsid w:val="00DE7F7F"/>
    <w:rsid w:val="00F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Human Services - State Of VT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Vinita</dc:creator>
  <cp:lastModifiedBy>Sharma, Vinita</cp:lastModifiedBy>
  <cp:revision>2</cp:revision>
  <cp:lastPrinted>2013-06-04T14:32:00Z</cp:lastPrinted>
  <dcterms:created xsi:type="dcterms:W3CDTF">2013-06-06T14:07:00Z</dcterms:created>
  <dcterms:modified xsi:type="dcterms:W3CDTF">2013-06-06T14:07:00Z</dcterms:modified>
</cp:coreProperties>
</file>