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26.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5" w:name="methods"/>
    <w:p>
      <w:pPr>
        <w:pStyle w:val="Heading2"/>
      </w:pPr>
      <w:r>
        <w:t xml:space="preserve">3 Methods</w:t>
      </w:r>
    </w:p>
    <w:bookmarkStart w:id="23" w:name="data-processing"/>
    <w:p>
      <w:pPr>
        <w:pStyle w:val="Heading3"/>
      </w:pPr>
      <w:r>
        <w:t xml:space="preserve">3.1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3"/>
    <w:bookmarkStart w:id="24" w:name="gams"/>
    <w:p>
      <w:pPr>
        <w:pStyle w:val="Heading3"/>
      </w:pPr>
      <w:r>
        <w:t xml:space="preserve">3.2 GAMs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3</w:t>
        </w:r>
      </w:hyperlink>
      <w:r>
        <w:t xml:space="preserve">,</w:t>
      </w:r>
      <w:r>
        <w:t xml:space="preserve"> </w:t>
      </w:r>
      <w:hyperlink w:anchor="fig-hydnrm">
        <w:r>
          <w:rPr>
            <w:rStyle w:val="Hyperlink"/>
          </w:rPr>
          <w:t xml:space="preserve">Figure 4</w:t>
        </w:r>
      </w:hyperlink>
    </w:p>
    <w:p>
      <w:pPr>
        <w:pStyle w:val="BodyText"/>
      </w:pPr>
      <w:hyperlink w:anchor="tbl-gamtab">
        <w:r>
          <w:rPr>
            <w:rStyle w:val="Hyperlink"/>
          </w:rPr>
          <w:t xml:space="preserve">Table 1</w:t>
        </w:r>
      </w:hyperlink>
      <w:r>
        <w:t xml:space="preserve">,</w:t>
      </w:r>
      <w:r>
        <w:t xml:space="preserve"> </w:t>
      </w:r>
      <w:hyperlink w:anchor="tbl-hydnrmtab">
        <w:r>
          <w:rPr>
            <w:rStyle w:val="Hyperlink"/>
          </w:rPr>
          <w:t xml:space="preserve">Table 2</w:t>
        </w:r>
      </w:hyperlink>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r>
        <w:br w:type="page"/>
      </w:r>
    </w:p>
    <w:bookmarkEnd w:id="24"/>
    <w:bookmarkEnd w:id="25"/>
    <w:bookmarkStart w:id="4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9" w:name="fig-obsprd"/>
          <w:p>
            <w:pPr>
              <w:pStyle w:val="Compact"/>
              <w:jc w:val="center"/>
            </w:pPr>
            <w:r>
              <w:drawing>
                <wp:inline>
                  <wp:extent cx="5943600" cy="6686549"/>
                  <wp:effectExtent b="0" l="0" r="0" t="0"/>
                  <wp:docPr descr="" title="" id="27" name="Picture"/>
                  <a:graphic>
                    <a:graphicData uri="http://schemas.openxmlformats.org/drawingml/2006/picture">
                      <pic:pic>
                        <pic:nvPicPr>
                          <pic:cNvPr descr="figs/obsprd.png" id="28" name="Picture"/>
                          <pic:cNvPicPr>
                            <a:picLocks noChangeArrowheads="1" noChangeAspect="1"/>
                          </pic:cNvPicPr>
                        </pic:nvPicPr>
                        <pic:blipFill>
                          <a:blip r:embed="rId26"/>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rdnrm"/>
          <w:p>
            <w:pPr>
              <w:pStyle w:val="Compact"/>
              <w:jc w:val="center"/>
            </w:pPr>
            <w:r>
              <w:drawing>
                <wp:inline>
                  <wp:extent cx="5943600" cy="4245428"/>
                  <wp:effectExtent b="0" l="0" r="0" t="0"/>
                  <wp:docPr descr="" title="" id="31" name="Picture"/>
                  <a:graphic>
                    <a:graphicData uri="http://schemas.openxmlformats.org/drawingml/2006/picture">
                      <pic:pic>
                        <pic:nvPicPr>
                          <pic:cNvPr descr="figs/prdnrm.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mean salinity estimates for chlorophyll-a by major bay segment from the separate GAMs. Normalized values (solid lines) are those that remove the salinity influence using the mean result of predictions across a range of salinity values at each time step, whereas the mean salinity values (dashed lines) are annual predictions across a constant mean salinity for each bay segment. OTB: Old Tampa Bay; HB: Hillsborough Bay; MTB: Middle Tampa Bay; LTB: Lower Tampa Bay.</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gridplo"/>
          <w:p>
            <w:pPr>
              <w:pStyle w:val="Compact"/>
              <w:jc w:val="center"/>
            </w:pPr>
            <w:r>
              <w:drawing>
                <wp:inline>
                  <wp:extent cx="5943600" cy="4862945"/>
                  <wp:effectExtent b="0" l="0" r="0" t="0"/>
                  <wp:docPr descr="" title="" id="35" name="Picture"/>
                  <a:graphic>
                    <a:graphicData uri="http://schemas.openxmlformats.org/drawingml/2006/picture">
                      <pic:pic>
                        <pic:nvPicPr>
                          <pic:cNvPr descr="figs/gridplo.png" id="36" name="Picture"/>
                          <pic:cNvPicPr>
                            <a:picLocks noChangeArrowheads="1" noChangeAspect="1"/>
                          </pic:cNvPicPr>
                        </pic:nvPicPr>
                        <pic:blipFill>
                          <a:blip r:embed="rId3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 3: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hydnrm"/>
          <w:p>
            <w:pPr>
              <w:pStyle w:val="Compact"/>
              <w:jc w:val="center"/>
            </w:pPr>
            <w:r>
              <w:drawing>
                <wp:inline>
                  <wp:extent cx="5943600" cy="5943600"/>
                  <wp:effectExtent b="0" l="0" r="0" t="0"/>
                  <wp:docPr descr="" title="" id="39" name="Picture"/>
                  <a:graphic>
                    <a:graphicData uri="http://schemas.openxmlformats.org/drawingml/2006/picture">
                      <pic:pic>
                        <pic:nvPicPr>
                          <pic:cNvPr descr="figs/hydnrm.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Salinity-normalized chlorophyll-a (</w:t>
            </w:r>
            <m:oMath>
              <m:r>
                <m:t>μ</m:t>
              </m:r>
            </m:oMath>
            <w:r>
              <w:t xml:space="preserve">g/L) related to hydology from 2004 to present in Old Tampa Bay. GAM-predicted chlorophyll-a (points) and salinity-normalized (lines) are shown for each quarter (a), followed by hydrologic load anomalies (10</w:t>
            </w:r>
            <m:oMath>
              <m:sSup>
                <m:e>
                  <m:r>
                    <m:t>​</m:t>
                  </m:r>
                </m:e>
                <m:sup>
                  <m:r>
                    <m:t>6</m:t>
                  </m:r>
                </m:sup>
              </m:sSup>
            </m:oMath>
            <w:r>
              <w:t xml:space="preserve"> </w:t>
            </w:r>
            <w:r>
              <w:t xml:space="preserve">m</w:t>
            </w:r>
            <m:oMath>
              <m:sSup>
                <m:e>
                  <m:r>
                    <m:t>​</m:t>
                  </m:r>
                </m:e>
                <m:sup>
                  <m:r>
                    <m:t>3</m:t>
                  </m:r>
                </m:sup>
              </m:sSup>
            </m:oMath>
            <w:r>
              <w:t xml:space="preserve"> </w:t>
            </w:r>
            <w:r>
              <w:t xml:space="preserve">/ quarter) as the load minus the long-term average by quarter (b), followed by the relationship between the predicted minus salinity-normalized chlorophyll and the hydrologic load anomalies by quarter (c). Model R</w:t>
            </w:r>
            <m:oMath>
              <m:sSup>
                <m:e>
                  <m:r>
                    <m:t>​</m:t>
                  </m:r>
                </m:e>
                <m:sup>
                  <m:r>
                    <m:t>2</m:t>
                  </m:r>
                </m:sup>
              </m:sSup>
            </m:oMath>
            <w:r>
              <w:t xml:space="preserve"> </w:t>
            </w:r>
            <w:r>
              <w:t xml:space="preserve">values are shown for the linear regression fit (lines) in (c). JFM: January, February, March; AMJ: April, May, June; JAS: July, August, September; OND: October, November, December.</w:t>
            </w:r>
          </w:p>
          <w:bookmarkEnd w:id="41"/>
        </w:tc>
      </w:tr>
    </w:tbl>
    <w:p>
      <w:r>
        <w:br w:type="page"/>
      </w:r>
    </w:p>
    <w:bookmarkEnd w:id="42"/>
    <w:bookmarkStart w:id="45"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3"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60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0.056</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29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0.024</w:t>
                  </w:r>
                </w:p>
              </w:tc>
            </w:tr>
            <w:tr>
              <w:trPr>
                <w:trHeight w:val="29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0.038</w:t>
                  </w:r>
                </w:p>
              </w:tc>
            </w:tr>
            <w:tr>
              <w:trPr>
                <w:trHeight w:val="29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0.235</w:t>
                  </w:r>
                </w:p>
              </w:tc>
            </w:tr>
            <w:tr>
              <w:trPr>
                <w:trHeight w:val="344"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0.048</w:t>
                  </w:r>
                </w:p>
              </w:tc>
            </w:tr>
          </w:tbl>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tbl-hydnrmtab"/>
          <w:p>
            <w:pPr>
              <w:jc w:val="center"/>
            </w:pPr>
            <w:pPr>
              <w:jc w:val="left"/>
              <w:spacing w:before="200"/>
              <w:pStyle w:val="ImageCaption"/>
            </w:pPr>
            <w:r>
              <w:t xml:space="preserve">Table 2: Linear model fits between the predicted minus salinity-normalized chlorophyll and the hydrologic load anomalies by quarter, bay segment, and annual periods. OTB: Old Tampa Bay, HB: Hillsborough Bay, MTB: Middle Tampa Bay, LTB: Lower Tampa Bay. JFM: January, February, March; AMJ: April, May, June; JAS: July, August, September; OND: October, November, December. p &lt; 0.05 *; p &lt; 0.005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816"/>
              <w:gridCol w:w="1556"/>
              <w:gridCol w:w="1085"/>
              <w:gridCol w:w="1556"/>
              <w:gridCol w:w="1085"/>
            </w:tblGrid>
            <w:tr>
              <w:trPr>
                <w:trHeight w:val="29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1985 - 2003</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2004 - 2024</w:t>
                  </w:r>
                </w:p>
              </w:tc>
            </w:tr>
            <w:tr>
              <w:trPr>
                <w:trHeight w:val="3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0.013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0.018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0.35</w:t>
                  </w:r>
                </w:p>
              </w:tc>
            </w:tr>
            <w:tr>
              <w:trPr>
                <w:trHeight w:val="29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0.015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0.009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r>
            <w:tr>
              <w:trPr>
                <w:trHeight w:val="29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0.003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0.008 (0.006)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r>
          </w:tbl>
          <w:bookmarkEnd w:id="44"/>
        </w:tc>
      </w:tr>
    </w:tbl>
    <w:p>
      <w:r>
        <w:br w:type="page"/>
      </w:r>
    </w:p>
    <w:bookmarkEnd w:id="45"/>
    <w:bookmarkStart w:id="47"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46">
        <w:r>
          <w:rPr>
            <w:rStyle w:val="Hyperlink"/>
          </w:rPr>
          <w:t xml:space="preserve">https://github.com/tbep-tech/chlhydro-manu</w:t>
        </w:r>
      </w:hyperlink>
      <w:r>
        <w:t xml:space="preserve">.</w:t>
      </w:r>
    </w:p>
    <w:bookmarkEnd w:id="47"/>
    <w:bookmarkStart w:id="48"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48"/>
    <w:bookmarkStart w:id="52" w:name="statements-and-declarations"/>
    <w:p>
      <w:pPr>
        <w:pStyle w:val="Heading2"/>
      </w:pPr>
      <w:r>
        <w:t xml:space="preserve">Statements and Declarations</w:t>
      </w:r>
    </w:p>
    <w:bookmarkStart w:id="49"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49"/>
    <w:bookmarkStart w:id="50"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50"/>
    <w:bookmarkStart w:id="51"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51"/>
    <w:bookmarkEnd w:id="52"/>
    <w:bookmarkStart w:id="53" w:name="references"/>
    <w:p>
      <w:pPr>
        <w:pStyle w:val="Heading2"/>
      </w:pPr>
      <w:r>
        <w:t xml:space="preserve">References</w:t>
      </w:r>
    </w:p>
    <w:bookmarkEnd w:id="5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46"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2025-12-14T16:58:29Z</dcterms:created>
  <dcterms:modified xsi:type="dcterms:W3CDTF">2025-12-14T16:58:29Z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