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9.png" ContentType="image/png"/>
  <Override PartName="/word/media/rId6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28"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8"/>
    <w:bookmarkStart w:id="29"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&amp;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&amp; Landman, 1993; Moss &amp;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&amp; Hagy, 2015; Karlen et al., 2023)</w:t>
      </w:r>
      <w:r>
        <w:t xml:space="preserve"> </w:t>
      </w:r>
      <w:r>
        <w:t xml:space="preserve">and have also contributed to the development of regulatory standards for different parts of the bay</w:t>
      </w:r>
      <w:r>
        <w:t xml:space="preserve"> </w:t>
      </w:r>
      <w:r>
        <w:t xml:space="preserve">(Janicki &amp; Wade, 1996; Janicki et al., 2000)</w:t>
      </w:r>
      <w:r>
        <w:t xml:space="preserve">. Similarly, monthly long-term estimates of external nutrient inputs are also available and have been used to monitor the effectiveness of management interventions to reduce excess loads to the bay</w:t>
      </w:r>
      <w:r>
        <w:t xml:space="preserve"> </w:t>
      </w:r>
      <w:r>
        <w:t xml:space="preserve">(Greening &amp;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&amp;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&amp;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&amp;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&amp;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GAMs for scenario assessments under expected future changes and management actions.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9"/>
    <w:bookmarkStart w:id="34" w:name="methods"/>
    <w:p>
      <w:pPr>
        <w:pStyle w:val="Heading2"/>
      </w:pPr>
      <w:r>
        <w:t xml:space="preserve">2 Methods</w:t>
      </w:r>
    </w:p>
    <w:p>
      <w:pPr>
        <w:pStyle w:val="FirstParagraph"/>
      </w:pPr>
      <w:r>
        <w:t xml:space="preserve">Tampa Bay on the west coast of Florida is a sub-tropical shallow estuary covering 400 mi</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(3.4 m) with a maximum depth of 43 ft (13.1 m)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&amp;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&amp; Yates, 2011)</w:t>
      </w:r>
      <w:r>
        <w:t xml:space="preserve">. More importantly, OTB has three major bridges with substantial causeways that are known impediments to circulation</w:t>
      </w:r>
      <w:r>
        <w:t xml:space="preserve"> </w:t>
      </w:r>
      <w:r>
        <w:t xml:space="preserve">(Luther &amp;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w:t>
      </w:r>
      <w:r>
        <w:t xml:space="preserve"> </w:t>
      </w:r>
      <w:r>
        <w:t xml:space="preserve">(Zarbock et al., 1994; Janicki et al., 2023)</w:t>
      </w:r>
      <w:r>
        <w:t xml:space="preserve">.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bookmarkStart w:id="30"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was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30"/>
    <w:bookmarkStart w:id="31"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w:t>
      </w:r>
      <w:r>
        <w:t xml:space="preserve"> </w:t>
      </w:r>
      <w:r>
        <w:t xml:space="preserve">(Beck et al., 2022)</w:t>
      </w:r>
      <w:r>
        <w:t xml:space="preserve">.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&amp; Wade, 1996)</w:t>
      </w:r>
      <w:r>
        <w:t xml:space="preserve">.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for the model errors was used to account for an increase in variance with the mean, which is a reasonable expectation for chlorophyll-a data. Models using a Gaussian distribution with a log-link function were also evaluated, although using a Gamma distribution was superior when compared with Akaike information criterion</w:t>
      </w:r>
      <w:r>
        <w:t xml:space="preserve"> </w:t>
      </w:r>
      <w:r>
        <w:t xml:space="preserve">(Akaike, 1974, Table S1)</w:t>
      </w:r>
      <w:r>
        <w:t xml:space="preserve">.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(the upper limit on the basis dimensions)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&amp;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S2).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S3-S6), but still relatively high on a scale of 0 to 1. This does not preclude the use of these models for prediction, rather caution should be used to interpret the individual contribution of each smoother. The remainder of the text uses the simpler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&amp;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31"/>
    <w:bookmarkStart w:id="32"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32"/>
    <w:bookmarkStart w:id="33"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&amp;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33"/>
    <w:bookmarkEnd w:id="34"/>
    <w:bookmarkStart w:id="38" w:name="results"/>
    <w:p>
      <w:pPr>
        <w:pStyle w:val="Heading2"/>
      </w:pPr>
      <w:r>
        <w:t xml:space="preserve">3 Results</w:t>
      </w:r>
    </w:p>
    <w:bookmarkStart w:id="35"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individual smoothers for decimal time, day of year, and salinity that explained a non-linear relationship with chlorophyll-a, whereas none of the bay segments had individual smoothers for nitrogen loading that described a unique portion of the explained deviance in the models</w:t>
      </w:r>
      <w:r>
        <w:t xml:space="preserve"> </w:t>
      </w:r>
      <w:hyperlink w:anchor="tbl-gamtab">
        <w:r>
          <w:rPr>
            <w:rStyle w:val="Hyperlink"/>
          </w:rPr>
          <w:t xml:space="preserve">Table 1</w:t>
        </w:r>
      </w:hyperlink>
      <w:r>
        <w:t xml:space="preserve">. However, every bay segment except MTB had at least one interaction smoother with nitrogen loading that described a unique amount of the deviance, suggesting an effect of loading that was dependent on values of other predictors (loading and decimal time for OTB and HB; loading and salinity for LTB).</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35"/>
    <w:bookmarkStart w:id="36"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in the model fit to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a loading effect could not be distinguished from salinity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could not be distinguished from the other variables in the model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of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a slight increase in load over time means an opposite chlorophyll-a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sides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36"/>
    <w:bookmarkStart w:id="37"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meeting regulatory chlorophyll-a thresholds in the future.</w:t>
      </w:r>
    </w:p>
    <w:bookmarkEnd w:id="37"/>
    <w:bookmarkEnd w:id="38"/>
    <w:bookmarkStart w:id="40"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&amp;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projected future decreases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could not be distinguished as influenced by 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&amp;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on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fewer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&amp;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9"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9"/>
    <w:bookmarkEnd w:id="40"/>
    <w:bookmarkStart w:id="7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map"/>
          <w:p>
            <w:pPr>
              <w:pStyle w:val="Compact"/>
              <w:jc w:val="center"/>
            </w:pPr>
            <w:r>
              <w:drawing>
                <wp:inline>
                  <wp:extent cx="3669832" cy="4587290"/>
                  <wp:effectExtent b="0" l="0" r="0" t="0"/>
                  <wp:docPr descr="" title="" id="42" name="Picture"/>
                  <a:graphic>
                    <a:graphicData uri="http://schemas.openxmlformats.org/drawingml/2006/picture">
                      <pic:pic>
                        <pic:nvPicPr>
                          <pic:cNvPr descr="figs/map.png" id="43" name="Picture"/>
                          <pic:cNvPicPr>
                            <a:picLocks noChangeArrowheads="1" noChangeAspect="1"/>
                          </pic:cNvPicPr>
                        </pic:nvPicPr>
                        <pic:blipFill>
                          <a:blip r:embed="rId41"/>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by their labels and boundaries. Red lines show major dredged areas, including the main shipping canal from the Gulf to Hillsborough Bay. Points show long-term monitoring stations from the Environmental Protection Commission of Hillsborough County (EPCHC) where chlorophyll-a and salinity data were used for modeling.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obsdat"/>
          <w:p>
            <w:pPr>
              <w:pStyle w:val="Compact"/>
              <w:jc w:val="center"/>
            </w:pPr>
            <w:r>
              <w:drawing>
                <wp:inline>
                  <wp:extent cx="5943600" cy="5943600"/>
                  <wp:effectExtent b="0" l="0" r="0" t="0"/>
                  <wp:docPr descr="" title="" id="46" name="Picture"/>
                  <a:graphic>
                    <a:graphicData uri="http://schemas.openxmlformats.org/drawingml/2006/picture">
                      <pic:pic>
                        <pic:nvPicPr>
                          <pic:cNvPr descr="figs/obsdat.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obsprd"/>
          <w:p>
            <w:pPr>
              <w:pStyle w:val="Compact"/>
              <w:jc w:val="center"/>
            </w:pPr>
            <w:r>
              <w:drawing>
                <wp:inline>
                  <wp:extent cx="5943600" cy="6686549"/>
                  <wp:effectExtent b="0" l="0" r="0" t="0"/>
                  <wp:docPr descr="" title="" id="50" name="Picture"/>
                  <a:graphic>
                    <a:graphicData uri="http://schemas.openxmlformats.org/drawingml/2006/picture">
                      <pic:pic>
                        <pic:nvPicPr>
                          <pic:cNvPr descr="figs/obsprd.png" id="51" name="Picture"/>
                          <pic:cNvPicPr>
                            <a:picLocks noChangeArrowheads="1" noChangeAspect="1"/>
                          </pic:cNvPicPr>
                        </pic:nvPicPr>
                        <pic:blipFill>
                          <a:blip r:embed="rId4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values are shown continuously over time (a) and by month (b). Color shading indicates year. Rows are arranged by bay segment with the top labels in the left column showing the bay segment and the right column showing deviance explained.</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prdnrm"/>
          <w:p>
            <w:pPr>
              <w:pStyle w:val="Compact"/>
              <w:jc w:val="center"/>
            </w:pPr>
            <w:r>
              <w:drawing>
                <wp:inline>
                  <wp:extent cx="5943600" cy="4245428"/>
                  <wp:effectExtent b="0" l="0" r="0" t="0"/>
                  <wp:docPr descr="" title="" id="54" name="Picture"/>
                  <a:graphic>
                    <a:graphicData uri="http://schemas.openxmlformats.org/drawingml/2006/picture">
                      <pic:pic>
                        <pic:nvPicPr>
                          <pic:cNvPr descr="figs/prdnrm.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alvload"/>
          <w:p>
            <w:pPr>
              <w:pStyle w:val="Compact"/>
              <w:jc w:val="center"/>
            </w:pPr>
            <w:r>
              <w:drawing>
                <wp:inline>
                  <wp:extent cx="5943600" cy="5283200"/>
                  <wp:effectExtent b="0" l="0" r="0" t="0"/>
                  <wp:docPr descr="" title="" id="58" name="Picture"/>
                  <a:graphic>
                    <a:graphicData uri="http://schemas.openxmlformats.org/drawingml/2006/picture">
                      <pic:pic>
                        <pic:nvPicPr>
                          <pic:cNvPr descr="figs/salvload.png" id="59" name="Picture"/>
                          <pic:cNvPicPr>
                            <a:picLocks noChangeArrowheads="1" noChangeAspect="1"/>
                          </pic:cNvPicPr>
                        </pic:nvPicPr>
                        <pic:blipFill>
                          <a:blip r:embed="rId57"/>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errors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statespace"/>
          <w:p>
            <w:pPr>
              <w:pStyle w:val="Compact"/>
              <w:jc w:val="center"/>
            </w:pPr>
            <w:r>
              <w:drawing>
                <wp:inline>
                  <wp:extent cx="5943600" cy="7528559"/>
                  <wp:effectExtent b="0" l="0" r="0" t="0"/>
                  <wp:docPr descr="" title="" id="62" name="Picture"/>
                  <a:graphic>
                    <a:graphicData uri="http://schemas.openxmlformats.org/drawingml/2006/picture">
                      <pic:pic>
                        <pic:nvPicPr>
                          <pic:cNvPr descr="figs/statespace.png" id="63" name="Picture"/>
                          <pic:cNvPicPr>
                            <a:picLocks noChangeArrowheads="1" noChangeAspect="1"/>
                          </pic:cNvPicPr>
                        </pic:nvPicPr>
                        <pic:blipFill>
                          <a:blip r:embed="rId61"/>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State-space representations of modelled annual chlorophyll-a response to salinity (x-axis) or nitrogen load (y-axis). Points represent values for a given year in (a), joined sequentially through time by the grey lines. Means and 95% confidence intervals for the year groups are shown in (b). OTB: Old Tampa Bay; HB: Hillsborough Bay; MTB: Middle Tampa Bay; LTB: Lower Tampa Bay.</w:t>
            </w:r>
          </w:p>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fig-simplo"/>
          <w:p>
            <w:pPr>
              <w:pStyle w:val="Compact"/>
              <w:jc w:val="center"/>
            </w:pPr>
            <w:r>
              <w:drawing>
                <wp:inline>
                  <wp:extent cx="5943600" cy="5943600"/>
                  <wp:effectExtent b="0" l="0" r="0" t="0"/>
                  <wp:docPr descr="" title="" id="66" name="Picture"/>
                  <a:graphic>
                    <a:graphicData uri="http://schemas.openxmlformats.org/drawingml/2006/picture">
                      <pic:pic>
                        <pic:nvPicPr>
                          <pic:cNvPr descr="figs/simplo.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values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72" w:name="fig-simload"/>
          <w:p>
            <w:pPr>
              <w:pStyle w:val="Compact"/>
              <w:jc w:val="center"/>
            </w:pPr>
            <w:r>
              <w:drawing>
                <wp:inline>
                  <wp:extent cx="4128561" cy="4128561"/>
                  <wp:effectExtent b="0" l="0" r="0" t="0"/>
                  <wp:docPr descr="" title="" id="70" name="Picture"/>
                  <a:graphic>
                    <a:graphicData uri="http://schemas.openxmlformats.org/drawingml/2006/picture">
                      <pic:pic>
                        <pic:nvPicPr>
                          <pic:cNvPr descr="figs/simload.png" id="71" name="Picture"/>
                          <pic:cNvPicPr>
                            <a:picLocks noChangeArrowheads="1" noChangeAspect="1"/>
                          </pic:cNvPicPr>
                        </pic:nvPicPr>
                        <pic:blipFill>
                          <a:blip r:embed="rId69"/>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72"/>
        </w:tc>
      </w:tr>
    </w:tbl>
    <w:p>
      <w:r>
        <w:br w:type="page"/>
      </w:r>
    </w:p>
    <w:bookmarkEnd w:id="73"/>
    <w:bookmarkStart w:id="7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74"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74"/>
        </w:tc>
      </w:tr>
    </w:tbl>
    <w:p>
      <w:r>
        <w:br w:type="page"/>
      </w:r>
    </w:p>
    <w:tbl>
      <w:tblPr>
        <w:tblStyle w:val="Table"/>
        <w:tblW w:type="pct" w:w="5000"/>
        <w:tblLayout w:type="fixed"/>
        <w:tblLook w:firstRow="0" w:lastRow="0" w:firstColumn="0" w:lastColumn="0" w:noHBand="0" w:noVBand="0" w:val="0000"/>
      </w:tblPr>
      <w:tblGrid>
        <w:gridCol w:w="7920"/>
      </w:tblGrid>
      <w:tr>
        <w:tc>
          <w:tcPr/>
          <w:bookmarkStart w:id="75"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are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75"/>
        </w:tc>
      </w:tr>
    </w:tbl>
    <w:p>
      <w:r>
        <w:br w:type="page"/>
      </w:r>
    </w:p>
    <w:tbl>
      <w:tblPr>
        <w:tblStyle w:val="Table"/>
        <w:tblW w:type="pct" w:w="5000"/>
        <w:tblLayout w:type="fixed"/>
        <w:tblLook w:firstRow="0" w:lastRow="0" w:firstColumn="0" w:lastColumn="0" w:noHBand="0" w:noVBand="0" w:val="0000"/>
      </w:tblPr>
      <w:tblGrid>
        <w:gridCol w:w="7920"/>
      </w:tblGrid>
      <w:tr>
        <w:tc>
          <w:tcPr/>
          <w:bookmarkStart w:id="76"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76"/>
        </w:tc>
      </w:tr>
    </w:tbl>
    <w:p>
      <w:r>
        <w:br w:type="page"/>
      </w:r>
    </w:p>
    <w:tbl>
      <w:tblPr>
        <w:tblStyle w:val="Table"/>
        <w:tblW w:type="pct" w:w="5000"/>
        <w:tblLayout w:type="fixed"/>
        <w:tblLook w:firstRow="0" w:lastRow="0" w:firstColumn="0" w:lastColumn="0" w:noHBand="0" w:noVBand="0" w:val="0000"/>
      </w:tblPr>
      <w:tblGrid>
        <w:gridCol w:w="7920"/>
      </w:tblGrid>
      <w:tr>
        <w:tc>
          <w:tcPr/>
          <w:bookmarkStart w:id="77"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↑6.5)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(9.8, ↑15.5)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↑13)</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(7.8)</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↑2.3)</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↑4.4)</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 ↑2.6)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↑1.2)</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↑3.1)</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↑8.4)</w:t>
                  </w:r>
                </w:p>
              </w:tc>
            </w:tr>
          </w:tbl>
          <w:bookmarkEnd w:id="77"/>
        </w:tc>
      </w:tr>
    </w:tbl>
    <w:p>
      <w:r>
        <w:br w:type="page"/>
      </w:r>
    </w:p>
    <w:bookmarkEnd w:id="78"/>
    <w:bookmarkStart w:id="8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9">
        <w:r>
          <w:rPr>
            <w:rStyle w:val="Hyperlink"/>
          </w:rPr>
          <w:t xml:space="preserve">https://github.com/tbep-tech/chlhydro-manu</w:t>
        </w:r>
      </w:hyperlink>
      <w:r>
        <w:t xml:space="preserve">.</w:t>
      </w:r>
    </w:p>
    <w:bookmarkEnd w:id="80"/>
    <w:bookmarkStart w:id="8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indebted to the community of field and technical staff that have routinely collected and maintained the valuable long-term monitoring data used in this study. We also thank Dr. Ray Pribble for extensive support with the loading estimates.</w:t>
      </w:r>
    </w:p>
    <w:bookmarkEnd w:id="81"/>
    <w:bookmarkStart w:id="85" w:name="statements-and-declarations"/>
    <w:p>
      <w:pPr>
        <w:pStyle w:val="Heading2"/>
      </w:pPr>
      <w:r>
        <w:t xml:space="preserve">Statements and Declarations</w:t>
      </w:r>
    </w:p>
    <w:bookmarkStart w:id="82" w:name="author-contributions"/>
    <w:p>
      <w:pPr>
        <w:pStyle w:val="Heading3"/>
      </w:pPr>
      <w:r>
        <w:t xml:space="preserve">Author Contributions</w:t>
      </w:r>
    </w:p>
    <w:p>
      <w:pPr>
        <w:pStyle w:val="FirstParagraph"/>
      </w:pPr>
      <w:r>
        <w:t xml:space="preserve">Conceptualization: all authors; Data Curation: Marcus W Beck; Methodology: Marcus W Beck, Rebecca R Murphy, Qian Zhang, Edward T Sherwood; Formal analysis and investigation: Marcus W Beck, Rebecca R Murphy, Qian Zhang; Writing - original draft preparation: Marcus W Beck; Writing - review and editing: all authors; Funding acquisition: Edward T Sherwood, Maya C Burke.</w:t>
      </w:r>
    </w:p>
    <w:bookmarkEnd w:id="82"/>
    <w:bookmarkStart w:id="8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83"/>
    <w:bookmarkStart w:id="8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84"/>
    <w:bookmarkEnd w:id="85"/>
    <w:bookmarkStart w:id="210" w:name="references"/>
    <w:p>
      <w:pPr>
        <w:pStyle w:val="Heading2"/>
      </w:pPr>
      <w:r>
        <w:t xml:space="preserve">References</w:t>
      </w:r>
    </w:p>
    <w:bookmarkStart w:id="209" w:name="refs"/>
    <w:bookmarkStart w:id="86"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86"/>
    <w:bookmarkStart w:id="88"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87">
        <w:r>
          <w:rPr>
            <w:rStyle w:val="Hyperlink"/>
          </w:rPr>
          <w:t xml:space="preserve">https://doi.org/10.1109/TAC.1974.1100705</w:t>
        </w:r>
      </w:hyperlink>
      <w:r>
        <w:t xml:space="preserve">.</w:t>
      </w:r>
    </w:p>
    <w:bookmarkEnd w:id="88"/>
    <w:bookmarkStart w:id="90"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9">
        <w:r>
          <w:rPr>
            <w:rStyle w:val="Hyperlink"/>
          </w:rPr>
          <w:t xml:space="preserve">https://doi.org/10.1016/j.ocecoaman.2023.106929</w:t>
        </w:r>
      </w:hyperlink>
      <w:r>
        <w:t xml:space="preserve">.</w:t>
      </w:r>
    </w:p>
    <w:bookmarkEnd w:id="90"/>
    <w:bookmarkStart w:id="92"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91">
        <w:r>
          <w:rPr>
            <w:rStyle w:val="Hyperlink"/>
          </w:rPr>
          <w:t xml:space="preserve">https://doi.org/10.1029/2004GB002229</w:t>
        </w:r>
      </w:hyperlink>
      <w:r>
        <w:t xml:space="preserve">.</w:t>
      </w:r>
    </w:p>
    <w:bookmarkEnd w:id="92"/>
    <w:bookmarkStart w:id="94" w:name="ref-beck2022c"/>
    <w:p>
      <w:pPr>
        <w:pStyle w:val="Bibliography"/>
      </w:pPr>
      <w:r>
        <w:t xml:space="preserve">Beck, M. W. 2022. Tbep-tech/load-estimates: v1.0.0 (version v1.0.0). Zenodo.</w:t>
      </w:r>
      <w:r>
        <w:t xml:space="preserve"> </w:t>
      </w:r>
      <w:hyperlink r:id="rId93">
        <w:r>
          <w:rPr>
            <w:rStyle w:val="Hyperlink"/>
          </w:rPr>
          <w:t xml:space="preserve">https://doi.org/10.5281/zenodo.6653433</w:t>
        </w:r>
      </w:hyperlink>
      <w:r>
        <w:t xml:space="preserve">.</w:t>
      </w:r>
    </w:p>
    <w:bookmarkEnd w:id="94"/>
    <w:bookmarkStart w:id="96"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95">
        <w:r>
          <w:rPr>
            <w:rStyle w:val="Hyperlink"/>
          </w:rPr>
          <w:t xml:space="preserve">https://doi.org/10.1016/j.scitotenv.2021.149927</w:t>
        </w:r>
      </w:hyperlink>
      <w:r>
        <w:t xml:space="preserve">.</w:t>
      </w:r>
    </w:p>
    <w:bookmarkEnd w:id="96"/>
    <w:bookmarkStart w:id="98"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97">
        <w:r>
          <w:rPr>
            <w:rStyle w:val="Hyperlink"/>
          </w:rPr>
          <w:t xml:space="preserve">https://doi.org/10.1007/s12237-024-01385-0</w:t>
        </w:r>
      </w:hyperlink>
      <w:r>
        <w:t xml:space="preserve">.</w:t>
      </w:r>
    </w:p>
    <w:bookmarkEnd w:id="98"/>
    <w:bookmarkStart w:id="100"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9">
        <w:r>
          <w:rPr>
            <w:rStyle w:val="Hyperlink"/>
          </w:rPr>
          <w:t xml:space="preserve">https://doi.org/10.1007/s10666-015-9452-8</w:t>
        </w:r>
      </w:hyperlink>
      <w:r>
        <w:t xml:space="preserve">.</w:t>
      </w:r>
    </w:p>
    <w:bookmarkEnd w:id="100"/>
    <w:bookmarkStart w:id="10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101">
        <w:r>
          <w:rPr>
            <w:rStyle w:val="Hyperlink"/>
          </w:rPr>
          <w:t xml:space="preserve">https://doi.org/10.1111/1752-1688.12489</w:t>
        </w:r>
      </w:hyperlink>
      <w:r>
        <w:t xml:space="preserve">.</w:t>
      </w:r>
    </w:p>
    <w:bookmarkEnd w:id="102"/>
    <w:bookmarkStart w:id="104"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103">
        <w:r>
          <w:rPr>
            <w:rStyle w:val="Hyperlink"/>
          </w:rPr>
          <w:t xml:space="preserve">https://doi.org/10.13031/2013.21742</w:t>
        </w:r>
      </w:hyperlink>
      <w:r>
        <w:t xml:space="preserve">.</w:t>
      </w:r>
    </w:p>
    <w:bookmarkEnd w:id="104"/>
    <w:bookmarkStart w:id="106"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105">
        <w:r>
          <w:rPr>
            <w:rStyle w:val="Hyperlink"/>
          </w:rPr>
          <w:t xml:space="preserve">https://doi.org/10.1021/es011246m</w:t>
        </w:r>
      </w:hyperlink>
      <w:r>
        <w:t xml:space="preserve">.</w:t>
      </w:r>
    </w:p>
    <w:bookmarkEnd w:id="106"/>
    <w:bookmarkStart w:id="107"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107"/>
    <w:bookmarkStart w:id="108"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108"/>
    <w:bookmarkStart w:id="110"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9">
        <w:r>
          <w:rPr>
            <w:rStyle w:val="Hyperlink"/>
          </w:rPr>
          <w:t xml:space="preserve">https://doi.org/10.1016/j.marchem.2006.12.007</w:t>
        </w:r>
      </w:hyperlink>
      <w:r>
        <w:t xml:space="preserve">.</w:t>
      </w:r>
    </w:p>
    <w:bookmarkEnd w:id="110"/>
    <w:bookmarkStart w:id="112"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11">
        <w:r>
          <w:rPr>
            <w:rStyle w:val="Hyperlink"/>
          </w:rPr>
          <w:t xml:space="preserve">https://doi.org/10.1016/j.rse.2006.12.019</w:t>
        </w:r>
      </w:hyperlink>
      <w:r>
        <w:t xml:space="preserve">.</w:t>
      </w:r>
    </w:p>
    <w:bookmarkEnd w:id="112"/>
    <w:bookmarkStart w:id="114"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13">
        <w:r>
          <w:rPr>
            <w:rStyle w:val="Hyperlink"/>
          </w:rPr>
          <w:t xml:space="preserve">https://doi.org/10.3354/meps210223</w:t>
        </w:r>
      </w:hyperlink>
      <w:r>
        <w:t xml:space="preserve">.</w:t>
      </w:r>
    </w:p>
    <w:bookmarkEnd w:id="114"/>
    <w:bookmarkStart w:id="116"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15">
        <w:r>
          <w:rPr>
            <w:rStyle w:val="Hyperlink"/>
          </w:rPr>
          <w:t xml:space="preserve">https://doi.org/10.1007/s10750-004-7102-2</w:t>
        </w:r>
      </w:hyperlink>
      <w:r>
        <w:t xml:space="preserve">.</w:t>
      </w:r>
    </w:p>
    <w:bookmarkEnd w:id="116"/>
    <w:bookmarkStart w:id="118"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17">
        <w:r>
          <w:rPr>
            <w:rStyle w:val="Hyperlink"/>
          </w:rPr>
          <w:t xml:space="preserve">https://doi.org/10.1007/s00267-005-0079-4</w:t>
        </w:r>
      </w:hyperlink>
      <w:r>
        <w:t xml:space="preserve">.</w:t>
      </w:r>
    </w:p>
    <w:bookmarkEnd w:id="118"/>
    <w:bookmarkStart w:id="120"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9">
        <w:r>
          <w:rPr>
            <w:rStyle w:val="Hyperlink"/>
          </w:rPr>
          <w:t xml:space="preserve">https://doi.org/10.1016/j.ecss.2014.10.003</w:t>
        </w:r>
      </w:hyperlink>
      <w:r>
        <w:t xml:space="preserve">.</w:t>
      </w:r>
    </w:p>
    <w:bookmarkEnd w:id="120"/>
    <w:bookmarkStart w:id="122"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21">
        <w:r>
          <w:rPr>
            <w:rStyle w:val="Hyperlink"/>
          </w:rPr>
          <w:t xml:space="preserve">https://doi.org/10.2307/1353325</w:t>
        </w:r>
      </w:hyperlink>
      <w:r>
        <w:t xml:space="preserve">.</w:t>
      </w:r>
    </w:p>
    <w:bookmarkEnd w:id="122"/>
    <w:bookmarkStart w:id="124"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23">
        <w:r>
          <w:rPr>
            <w:rStyle w:val="Hyperlink"/>
          </w:rPr>
          <w:t xml:space="preserve">https://doi.org/10.1016/j.scitotenv.2010.05.031</w:t>
        </w:r>
      </w:hyperlink>
      <w:r>
        <w:t xml:space="preserve">.</w:t>
      </w:r>
    </w:p>
    <w:bookmarkEnd w:id="124"/>
    <w:bookmarkStart w:id="126"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25">
        <w:r>
          <w:rPr>
            <w:rStyle w:val="Hyperlink"/>
          </w:rPr>
          <w:t xml:space="preserve">https://doi.org/10.1111/j.1752-1688.2010.00482.x</w:t>
        </w:r>
      </w:hyperlink>
      <w:r>
        <w:t xml:space="preserve">.</w:t>
      </w:r>
    </w:p>
    <w:bookmarkEnd w:id="126"/>
    <w:bookmarkStart w:id="127"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27"/>
    <w:bookmarkStart w:id="129" w:name="ref-tbep0696"/>
    <w:p>
      <w:pPr>
        <w:pStyle w:val="Bibliography"/>
      </w:pPr>
      <w:r>
        <w:t xml:space="preserve">Janicki, A. J., and D. L. Wade. 1996.</w:t>
      </w:r>
      <w:r>
        <w:t xml:space="preserve"> </w:t>
      </w:r>
      <w:hyperlink r:id="rId128">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9"/>
    <w:bookmarkStart w:id="131" w:name="ref-tbep0400"/>
    <w:p>
      <w:pPr>
        <w:pStyle w:val="Bibliography"/>
      </w:pPr>
      <w:r>
        <w:t xml:space="preserve">Janicki, A. J., D. L. Wade, and J. R. Pribble. 2000.</w:t>
      </w:r>
      <w:r>
        <w:t xml:space="preserve"> </w:t>
      </w:r>
      <w:hyperlink r:id="rId130">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31"/>
    <w:bookmarkStart w:id="133" w:name="ref-tbep1115"/>
    <w:p>
      <w:pPr>
        <w:pStyle w:val="Bibliography"/>
      </w:pPr>
      <w:r>
        <w:t xml:space="preserve">Janicki Environmental, Inc. 2015.</w:t>
      </w:r>
      <w:r>
        <w:t xml:space="preserve"> </w:t>
      </w:r>
      <w:hyperlink r:id="rId132">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33"/>
    <w:bookmarkStart w:id="135" w:name="ref-tbep0623"/>
    <w:p>
      <w:pPr>
        <w:pStyle w:val="Bibliography"/>
      </w:pPr>
      <w:r>
        <w:t xml:space="preserve">Janicki Environmental, Inc. 2023.</w:t>
      </w:r>
      <w:r>
        <w:t xml:space="preserve"> </w:t>
      </w:r>
      <w:hyperlink r:id="rId134">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35"/>
    <w:bookmarkStart w:id="137" w:name="ref-tbep0622"/>
    <w:p>
      <w:pPr>
        <w:pStyle w:val="Bibliography"/>
      </w:pPr>
      <w:r>
        <w:t xml:space="preserve">Johansson, J. O. R. 2022.</w:t>
      </w:r>
      <w:r>
        <w:t xml:space="preserve"> </w:t>
      </w:r>
      <w:hyperlink r:id="rId136">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37"/>
    <w:bookmarkStart w:id="138"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38"/>
    <w:bookmarkStart w:id="140"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9">
        <w:r>
          <w:rPr>
            <w:rStyle w:val="Hyperlink"/>
          </w:rPr>
          <w:t xml:space="preserve">https://doi.org/10.1016/j.jenvman.2006.12.013</w:t>
        </w:r>
      </w:hyperlink>
      <w:r>
        <w:t xml:space="preserve">.</w:t>
      </w:r>
    </w:p>
    <w:bookmarkEnd w:id="140"/>
    <w:bookmarkStart w:id="14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41">
        <w:r>
          <w:rPr>
            <w:rStyle w:val="Hyperlink"/>
          </w:rPr>
          <w:t xml:space="preserve">https://doi.org/10.2307/1351884</w:t>
        </w:r>
      </w:hyperlink>
      <w:r>
        <w:t xml:space="preserve">.</w:t>
      </w:r>
    </w:p>
    <w:bookmarkEnd w:id="142"/>
    <w:bookmarkStart w:id="14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43">
        <w:r>
          <w:rPr>
            <w:rStyle w:val="Hyperlink"/>
          </w:rPr>
          <w:t xml:space="preserve">https://doi.org/10.1016/j.jembe.2009.10.014</w:t>
        </w:r>
      </w:hyperlink>
      <w:r>
        <w:t xml:space="preserve">.</w:t>
      </w:r>
    </w:p>
    <w:bookmarkEnd w:id="144"/>
    <w:bookmarkStart w:id="14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45">
        <w:r>
          <w:rPr>
            <w:rStyle w:val="Hyperlink"/>
          </w:rPr>
          <w:t xml:space="preserve">https://doi.org/10.1016/j.ecss.2012.09.017</w:t>
        </w:r>
      </w:hyperlink>
      <w:r>
        <w:t xml:space="preserve">.</w:t>
      </w:r>
    </w:p>
    <w:bookmarkEnd w:id="146"/>
    <w:bookmarkStart w:id="14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47">
        <w:r>
          <w:rPr>
            <w:rStyle w:val="Hyperlink"/>
          </w:rPr>
          <w:t xml:space="preserve">https://doi.org/10.1016/j.dsr2.2013.12.011</w:t>
        </w:r>
      </w:hyperlink>
      <w:r>
        <w:t xml:space="preserve">.</w:t>
      </w:r>
    </w:p>
    <w:bookmarkEnd w:id="148"/>
    <w:bookmarkStart w:id="15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9">
        <w:r>
          <w:rPr>
            <w:rStyle w:val="Hyperlink"/>
          </w:rPr>
          <w:t xml:space="preserve">https://doi.org/10.1016/j.cosust.2012.03.002</w:t>
        </w:r>
      </w:hyperlink>
      <w:r>
        <w:t xml:space="preserve">.</w:t>
      </w:r>
    </w:p>
    <w:bookmarkEnd w:id="150"/>
    <w:bookmarkStart w:id="152" w:name="ref-luther2022"/>
    <w:p>
      <w:pPr>
        <w:pStyle w:val="Bibliography"/>
      </w:pPr>
      <w:r>
        <w:t xml:space="preserve">Luther, M. E., and S. D. Meyers. 2022.</w:t>
      </w:r>
      <w:r>
        <w:t xml:space="preserve"> </w:t>
      </w:r>
      <w:hyperlink r:id="rId15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52"/>
    <w:bookmarkStart w:id="15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53">
        <w:r>
          <w:rPr>
            <w:rStyle w:val="Hyperlink"/>
          </w:rPr>
          <w:t xml:space="preserve">https://doi.org/10.2112/SI54-000.1</w:t>
        </w:r>
      </w:hyperlink>
      <w:r>
        <w:t xml:space="preserve">.</w:t>
      </w:r>
    </w:p>
    <w:bookmarkEnd w:id="154"/>
    <w:bookmarkStart w:id="15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55">
        <w:r>
          <w:rPr>
            <w:rStyle w:val="Hyperlink"/>
          </w:rPr>
          <w:t xml:space="preserve">https://doi.org/10.1002/2014JC010342</w:t>
        </w:r>
      </w:hyperlink>
      <w:r>
        <w:t xml:space="preserve">.</w:t>
      </w:r>
    </w:p>
    <w:bookmarkEnd w:id="156"/>
    <w:bookmarkStart w:id="158"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57">
        <w:r>
          <w:rPr>
            <w:rStyle w:val="Hyperlink"/>
          </w:rPr>
          <w:t xml:space="preserve">https://doi.org/10.1007/BF02798652</w:t>
        </w:r>
      </w:hyperlink>
      <w:r>
        <w:t xml:space="preserve">.</w:t>
      </w:r>
    </w:p>
    <w:bookmarkEnd w:id="158"/>
    <w:bookmarkStart w:id="15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9"/>
    <w:bookmarkStart w:id="16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60">
        <w:r>
          <w:rPr>
            <w:rStyle w:val="Hyperlink"/>
          </w:rPr>
          <w:t xml:space="preserve">https://doi.org/10.1007/s00267-010-9531-1</w:t>
        </w:r>
      </w:hyperlink>
      <w:r>
        <w:t xml:space="preserve">.</w:t>
      </w:r>
    </w:p>
    <w:bookmarkEnd w:id="161"/>
    <w:bookmarkStart w:id="16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62">
        <w:r>
          <w:rPr>
            <w:rStyle w:val="Hyperlink"/>
          </w:rPr>
          <w:t xml:space="preserve">https://doi.org/10.1021/acs.est.1c05388</w:t>
        </w:r>
      </w:hyperlink>
      <w:r>
        <w:t xml:space="preserve">.</w:t>
      </w:r>
    </w:p>
    <w:bookmarkEnd w:id="163"/>
    <w:bookmarkStart w:id="16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64">
        <w:r>
          <w:rPr>
            <w:rStyle w:val="Hyperlink"/>
          </w:rPr>
          <w:t xml:space="preserve">https://doi.org/10.1016/j.envsoft.2019.03.027</w:t>
        </w:r>
      </w:hyperlink>
      <w:r>
        <w:t xml:space="preserve">.</w:t>
      </w:r>
    </w:p>
    <w:bookmarkEnd w:id="165"/>
    <w:bookmarkStart w:id="166" w:name="ref-nadp2022"/>
    <w:p>
      <w:pPr>
        <w:pStyle w:val="Bibliography"/>
      </w:pPr>
      <w:r>
        <w:t xml:space="preserve">NADP. 2022. National atmospheric deposition program (NRSP-3). NADP program office, wisconsin state laboratory of hygiene, 465 henry mall, madison, WI 53706.</w:t>
      </w:r>
    </w:p>
    <w:bookmarkEnd w:id="166"/>
    <w:bookmarkStart w:id="168"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67">
        <w:r>
          <w:rPr>
            <w:rStyle w:val="Hyperlink"/>
          </w:rPr>
          <w:t xml:space="preserve">https://doi.org/10.1080/00785236.1995.10422044</w:t>
        </w:r>
      </w:hyperlink>
      <w:r>
        <w:t xml:space="preserve">.</w:t>
      </w:r>
    </w:p>
    <w:bookmarkEnd w:id="168"/>
    <w:bookmarkStart w:id="170"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9">
        <w:r>
          <w:rPr>
            <w:rStyle w:val="Hyperlink"/>
          </w:rPr>
          <w:t xml:space="preserve">https://doi.org/10.1007/s00267-004-0034-9</w:t>
        </w:r>
      </w:hyperlink>
      <w:r>
        <w:t xml:space="preserve">.</w:t>
      </w:r>
    </w:p>
    <w:bookmarkEnd w:id="170"/>
    <w:bookmarkStart w:id="171"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71"/>
    <w:bookmarkStart w:id="173"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72">
        <w:r>
          <w:rPr>
            <w:rStyle w:val="Hyperlink"/>
          </w:rPr>
          <w:t xml:space="preserve">https://doi.org/10.1016/j.rsma.2015.11.007</w:t>
        </w:r>
      </w:hyperlink>
      <w:r>
        <w:t xml:space="preserve">.</w:t>
      </w:r>
    </w:p>
    <w:bookmarkEnd w:id="173"/>
    <w:bookmarkStart w:id="175"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74">
        <w:r>
          <w:rPr>
            <w:rStyle w:val="Hyperlink"/>
          </w:rPr>
          <w:t xml:space="preserve">https://doi.org/10.7717/peerj.16073</w:t>
        </w:r>
      </w:hyperlink>
      <w:r>
        <w:t xml:space="preserve">.</w:t>
      </w:r>
    </w:p>
    <w:bookmarkEnd w:id="175"/>
    <w:bookmarkStart w:id="177" w:name="ref-sherwood2015"/>
    <w:p>
      <w:pPr>
        <w:pStyle w:val="Bibliography"/>
      </w:pPr>
      <w:r>
        <w:t xml:space="preserve">Sherwood, E. T., H. S. Greening, L. Garcia, K. Kaufman, A. J. Janicki, R. Pribble, B. Cunningham, et al. 2015.</w:t>
      </w:r>
      <w:r>
        <w:t xml:space="preserve"> </w:t>
      </w:r>
      <w:hyperlink r:id="rId176">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77"/>
    <w:bookmarkStart w:id="179"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78">
        <w:r>
          <w:rPr>
            <w:rStyle w:val="Hyperlink"/>
          </w:rPr>
          <w:t xml:space="preserve">https://doi.org/10.1016/j.rsma.2015.05.005</w:t>
        </w:r>
      </w:hyperlink>
      <w:r>
        <w:t xml:space="preserve">.</w:t>
      </w:r>
    </w:p>
    <w:bookmarkEnd w:id="179"/>
    <w:bookmarkStart w:id="181"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80">
        <w:r>
          <w:rPr>
            <w:rStyle w:val="Hyperlink"/>
          </w:rPr>
          <w:t xml:space="preserve">https://doi.org/10.1353/sgo.2017.0026</w:t>
        </w:r>
      </w:hyperlink>
      <w:r>
        <w:t xml:space="preserve">.</w:t>
      </w:r>
    </w:p>
    <w:bookmarkEnd w:id="181"/>
    <w:bookmarkStart w:id="183"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82">
        <w:r>
          <w:rPr>
            <w:rStyle w:val="Hyperlink"/>
          </w:rPr>
          <w:t xml:space="preserve">https://doi.org/10.32614/CRAN.package.gratia</w:t>
        </w:r>
      </w:hyperlink>
      <w:r>
        <w:t xml:space="preserve">.</w:t>
      </w:r>
    </w:p>
    <w:bookmarkEnd w:id="183"/>
    <w:bookmarkStart w:id="185"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84">
        <w:r>
          <w:rPr>
            <w:rStyle w:val="Hyperlink"/>
          </w:rPr>
          <w:t xml:space="preserve">https://doi.org/10.2307/1352982</w:t>
        </w:r>
      </w:hyperlink>
      <w:r>
        <w:t xml:space="preserve">.</w:t>
      </w:r>
    </w:p>
    <w:bookmarkEnd w:id="185"/>
    <w:bookmarkStart w:id="187" w:name="ref-SWFWMD25"/>
    <w:p>
      <w:pPr>
        <w:pStyle w:val="Bibliography"/>
      </w:pPr>
      <w:r>
        <w:t xml:space="preserve">Southwest Florida Water Management District. 2025.</w:t>
      </w:r>
      <w:r>
        <w:t xml:space="preserve"> </w:t>
      </w:r>
      <w:hyperlink r:id="rId186">
        <w:r>
          <w:rPr>
            <w:rStyle w:val="Hyperlink"/>
          </w:rPr>
          <w:t xml:space="preserve">2023 land use land cover shapefile for SWFWMD</w:t>
        </w:r>
      </w:hyperlink>
      <w:r>
        <w:t xml:space="preserve">.</w:t>
      </w:r>
    </w:p>
    <w:bookmarkEnd w:id="187"/>
    <w:bookmarkStart w:id="189"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88">
        <w:r>
          <w:rPr>
            <w:rStyle w:val="Hyperlink"/>
          </w:rPr>
          <w:t xml:space="preserve">https://doi.org/10.1016/j.scitotenv.2011.09.088</w:t>
        </w:r>
      </w:hyperlink>
      <w:r>
        <w:t xml:space="preserve">.</w:t>
      </w:r>
    </w:p>
    <w:bookmarkEnd w:id="189"/>
    <w:bookmarkStart w:id="191" w:name="ref-tbep0310"/>
    <w:p>
      <w:pPr>
        <w:pStyle w:val="Bibliography"/>
      </w:pPr>
      <w:r>
        <w:t xml:space="preserve">Tampa Bay Nitrogen Management Consortium. 2010.</w:t>
      </w:r>
      <w:r>
        <w:t xml:space="preserve"> </w:t>
      </w:r>
      <w:hyperlink r:id="rId190">
        <w:r>
          <w:rPr>
            <w:rStyle w:val="Hyperlink"/>
            <w:i/>
            <w:iCs/>
          </w:rPr>
          <w:t xml:space="preserve">2009 reasonable assurance addendum: Allocation and assessment report</w:t>
        </w:r>
      </w:hyperlink>
      <w:r>
        <w:t xml:space="preserve">. Technical report 03-10. St. Petersburg, Florida: Tampa Bay Estuary Program.</w:t>
      </w:r>
    </w:p>
    <w:bookmarkEnd w:id="191"/>
    <w:bookmarkStart w:id="193"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92">
        <w:r>
          <w:rPr>
            <w:rStyle w:val="Hyperlink"/>
          </w:rPr>
          <w:t xml:space="preserve">https://doi.org/10.1111/1752-1688.70070</w:t>
        </w:r>
      </w:hyperlink>
      <w:r>
        <w:t xml:space="preserve">.</w:t>
      </w:r>
    </w:p>
    <w:bookmarkEnd w:id="193"/>
    <w:bookmarkStart w:id="195"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94">
        <w:r>
          <w:rPr>
            <w:rStyle w:val="Hyperlink"/>
          </w:rPr>
          <w:t xml:space="preserve">https://doi.org/10.1007/978-0-387-21706-2</w:t>
        </w:r>
      </w:hyperlink>
      <w:r>
        <w:t xml:space="preserve">.</w:t>
      </w:r>
    </w:p>
    <w:bookmarkEnd w:id="195"/>
    <w:bookmarkStart w:id="197"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96">
        <w:r>
          <w:rPr>
            <w:rStyle w:val="Hyperlink"/>
          </w:rPr>
          <w:t xml:space="preserve">https://doi.org/10.1016/j.jhydrol.2025.134851</w:t>
        </w:r>
      </w:hyperlink>
      <w:r>
        <w:t xml:space="preserve">.</w:t>
      </w:r>
    </w:p>
    <w:bookmarkEnd w:id="197"/>
    <w:bookmarkStart w:id="199"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98">
        <w:r>
          <w:rPr>
            <w:rStyle w:val="Hyperlink"/>
          </w:rPr>
          <w:t xml:space="preserve">https://doi.org/10.1006/ecss.1999.0490</w:t>
        </w:r>
      </w:hyperlink>
      <w:r>
        <w:t xml:space="preserve">.</w:t>
      </w:r>
    </w:p>
    <w:bookmarkEnd w:id="199"/>
    <w:bookmarkStart w:id="201"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200">
        <w:r>
          <w:rPr>
            <w:rStyle w:val="Hyperlink"/>
          </w:rPr>
          <w:t xml:space="preserve">https://doi.org/10.1111/j.1467-9868.2010.00749.x</w:t>
        </w:r>
      </w:hyperlink>
      <w:r>
        <w:t xml:space="preserve">.</w:t>
      </w:r>
    </w:p>
    <w:bookmarkEnd w:id="201"/>
    <w:bookmarkStart w:id="202"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202"/>
    <w:bookmarkStart w:id="204"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203">
        <w:r>
          <w:rPr>
            <w:rStyle w:val="Hyperlink"/>
          </w:rPr>
          <w:t xml:space="preserve">https://doi.org/10.1061/(ASCE)0733-9496(2003)129:4(295)</w:t>
        </w:r>
      </w:hyperlink>
      <w:r>
        <w:t xml:space="preserve">.</w:t>
      </w:r>
    </w:p>
    <w:bookmarkEnd w:id="204"/>
    <w:bookmarkStart w:id="206" w:name="ref-tbep0511"/>
    <w:p>
      <w:pPr>
        <w:pStyle w:val="Bibliography"/>
      </w:pPr>
      <w:r>
        <w:t xml:space="preserve">Yates, K., H. Greening, and G. Morrison. 2011.</w:t>
      </w:r>
      <w:r>
        <w:t xml:space="preserve"> </w:t>
      </w:r>
      <w:hyperlink r:id="rId205">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206"/>
    <w:bookmarkStart w:id="208" w:name="ref-tbep0494"/>
    <w:p>
      <w:pPr>
        <w:pStyle w:val="Bibliography"/>
      </w:pPr>
      <w:r>
        <w:t xml:space="preserve">Zarbock, H. W., A. J. Janicki, D. L. Wade, and D. G. Heimbuch. 1994.</w:t>
      </w:r>
      <w:r>
        <w:t xml:space="preserve"> </w:t>
      </w:r>
      <w:hyperlink r:id="rId207">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08"/>
    <w:bookmarkEnd w:id="209"/>
    <w:bookmarkEnd w:id="21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2026-06-09T18:12:25Z</dcterms:created>
  <dcterms:modified xsi:type="dcterms:W3CDTF">2026-06-09T18:12:25Z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