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Supplement</w:t>
      </w:r>
      <w:r>
        <w:t xml:space="preserve"> </w:t>
      </w: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3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1" w:name="fig-suppnorm"/>
          <w:p>
            <w:pPr>
              <w:pStyle w:val="Compact"/>
              <w:jc w:val="center"/>
            </w:pPr>
            <w:r>
              <w:drawing>
                <wp:inline>
                  <wp:extent cx="5504749" cy="7339665"/>
                  <wp:effectExtent b="0" l="0" r="0" t="0"/>
                  <wp:docPr descr="" title="" id="29" name="Picture"/>
                  <a:graphic>
                    <a:graphicData uri="http://schemas.openxmlformats.org/drawingml/2006/picture">
                      <pic:pic>
                        <pic:nvPicPr>
                          <pic:cNvPr descr="figs/suppnorm.png" id="30" name="Picture"/>
                          <pic:cNvPicPr>
                            <a:picLocks noChangeArrowheads="1" noChangeAspect="1"/>
                          </pic:cNvPicPr>
                        </pic:nvPicPr>
                        <pic:blipFill>
                          <a:blip r:embed="rId28"/>
                          <a:stretch>
                            <a:fillRect/>
                          </a:stretch>
                        </pic:blipFill>
                        <pic:spPr bwMode="auto">
                          <a:xfrm>
                            <a:off x="0" y="0"/>
                            <a:ext cx="5504749"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 1: Examples demonstrating the salinity normalization method (a), the salinity normalization method at mean loading (b), and the final results (c). Results are obtained by predicting chlorophyll-a concentrations from a fitted GAM across a range of salinities and estimating the average (a) or doing the same but using mean loading (b). The bottom plot (c) shows the normalized curves where the red line is the mean curve from (a), the blue dashed line is the mean curve from (b), and the points are the actual model predictions.</w:t>
            </w:r>
          </w:p>
          <w:bookmarkEnd w:id="31"/>
        </w:tc>
      </w:tr>
    </w:tbl>
    <w:p>
      <w:r>
        <w:br w:type="page"/>
      </w:r>
    </w:p>
    <w:bookmarkEnd w:id="32"/>
    <w:bookmarkStart w:id="39"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3" w:name="tbl-supaictab"/>
          <w:p>
            <w:pPr>
              <w:jc w:val="center"/>
            </w:pPr>
            <w:pPr>
              <w:jc w:val="left"/>
              <w:spacing w:before="200"/>
              <w:pStyle w:val="ImageCaption"/>
            </w:pPr>
            <w:r>
              <w:t xml:space="preserve">Table 1: Comparison of Generalized Additive Models for chlorophyll-a for each bay segment using a Gamma and Gaussian (log-link) error distributions. Model fit was assessed using Akaike information criterion</w:t>
            </w:r>
            <w:r>
              <w:t xml:space="preserve"> </w:t>
            </w:r>
            <w:r>
              <w:t xml:space="preserve">(AIC, Akaike, 1974)</w:t>
            </w:r>
            <w:r>
              <w:t xml:space="preserve">, with the lowest AIC value by segment shown in bold. df: degrees of freedom;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080"/>
              <w:gridCol w:w="1080"/>
              <w:gridCol w:w="1080"/>
              <w:gridCol w:w="1080"/>
              <w:gridCol w:w="1080"/>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Gamma</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Gaussian (log)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ΔAIC</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2,673.2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1,901.6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148.6</w:t>
                  </w:r>
                </w:p>
              </w:tc>
            </w:tr>
            <w:tr>
              <w:trPr>
                <w:trHeight w:val="3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1,608.6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1,785.8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177.2</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ΔAIC = Gaussian (log) AIC - Gamma AIC</w:t>
                  </w:r>
                </w:p>
              </w:tc>
            </w:tr>
          </w:tbl>
          <w:bookmarkEnd w:id="33"/>
        </w:tc>
      </w:tr>
    </w:tbl>
    <w:tbl>
      <w:tblPr>
        <w:tblStyle w:val="Table"/>
        <w:tblW w:type="pct" w:w="5000"/>
        <w:tblLayout w:type="fixed"/>
        <w:tblLook w:firstRow="0" w:lastRow="0" w:firstColumn="0" w:lastColumn="0" w:noHBand="0" w:noVBand="0" w:val="0000"/>
      </w:tblPr>
      <w:tblGrid>
        <w:gridCol w:w="7920"/>
      </w:tblGrid>
      <w:tr>
        <w:tc>
          <w:tcPr/>
          <w:bookmarkStart w:id="34" w:name="tbl-supgamtab"/>
          <w:p>
            <w:pPr>
              <w:jc w:val="center"/>
            </w:pPr>
            <w:pPr>
              <w:jc w:val="left"/>
              <w:spacing w:before="200"/>
              <w:pStyle w:val="ImageCaption"/>
            </w:pPr>
            <w:r>
              <w:t xml:space="preserve">Table 2: Generalized Additive Model (GAM) summary statistics for chlorophyll-a predictions by bay segment in Tampa Bay (n = 480 for each).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Results for the overall model fit are shown with the Generalized Cross-Validation (GCV) scores in the top rows and deviance explained (Dev. Expl.) in the bottom rows.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91"/>
              <w:gridCol w:w="1323"/>
              <w:gridCol w:w="1341"/>
              <w:gridCol w:w="1079"/>
              <w:gridCol w:w="859"/>
              <w:gridCol w:w="1079"/>
              <w:gridCol w:w="859"/>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 Seasonal Correction</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Seasonal Correction</w:t>
                  </w:r>
                </w:p>
              </w:tc>
            </w:tr>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Summary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0.53</w:t>
                  </w:r>
                </w:p>
              </w:tc>
            </w:tr>
            <w:tr>
              <w:trPr>
                <w:trHeight w:val="29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r>
          </w:tbl>
          <w:bookmarkEnd w:id="34"/>
        </w:tc>
      </w:tr>
    </w:tbl>
    <w:p>
      <w:r>
        <w:br w:type="page"/>
      </w:r>
    </w:p>
    <w:tbl>
      <w:tblPr>
        <w:tblStyle w:val="Table"/>
        <w:tblW w:type="pct" w:w="5000"/>
        <w:tblLayout w:type="fixed"/>
        <w:tblLook w:firstRow="0" w:lastRow="0" w:firstColumn="0" w:lastColumn="0" w:noHBand="0" w:noVBand="0" w:val="0000"/>
      </w:tblPr>
      <w:tblGrid>
        <w:gridCol w:w="7920"/>
      </w:tblGrid>
      <w:tr>
        <w:tc>
          <w:tcPr/>
          <w:bookmarkStart w:id="35" w:name="tbl-supconcurvotbtab"/>
          <w:p>
            <w:pPr>
              <w:jc w:val="center"/>
            </w:pPr>
            <w:pPr>
              <w:jc w:val="left"/>
              <w:spacing w:before="200"/>
              <w:pStyle w:val="ImageCaption"/>
            </w:pPr>
            <w:r>
              <w:t xml:space="preserve">Table 3: Concurvity estimates for the</w:t>
            </w:r>
            <w:r>
              <w:t xml:space="preserve"> </w:t>
            </w:r>
            <w:r>
              <w:rPr>
                <w:b/>
                <w:bCs/>
              </w:rPr>
              <w:t xml:space="preserve">Old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0.77</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71717"/>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bl>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6" w:name="tbl-supconcurvhbtab"/>
          <w:p>
            <w:pPr>
              <w:jc w:val="center"/>
            </w:pPr>
            <w:pPr>
              <w:jc w:val="left"/>
              <w:spacing w:before="200"/>
              <w:pStyle w:val="ImageCaption"/>
            </w:pPr>
            <w:r>
              <w:t xml:space="preserve">Table 4: Concurvity estimates for the</w:t>
            </w:r>
            <w:r>
              <w:t xml:space="preserve"> </w:t>
            </w:r>
            <w:r>
              <w:rPr>
                <w:b/>
                <w:bCs/>
              </w:rPr>
              <w:t xml:space="preserve">Hillsborough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0.45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0.91</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r>
          </w:tbl>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tbl-supconcurvmtbtab"/>
          <w:p>
            <w:pPr>
              <w:jc w:val="center"/>
            </w:pPr>
            <w:pPr>
              <w:jc w:val="left"/>
              <w:spacing w:before="200"/>
              <w:pStyle w:val="ImageCaption"/>
            </w:pPr>
            <w:r>
              <w:t xml:space="preserve">Table 5: Concurvity estimates for the</w:t>
            </w:r>
            <w:r>
              <w:t xml:space="preserve"> </w:t>
            </w:r>
            <w:r>
              <w:rPr>
                <w:b/>
                <w:bCs/>
              </w:rPr>
              <w:t xml:space="preserve">Middle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A2A2A"/>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0.49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r>
          </w:tbl>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38" w:name="tbl-supconcurvltbtab"/>
          <w:p>
            <w:pPr>
              <w:jc w:val="center"/>
            </w:pPr>
            <w:pPr>
              <w:jc w:val="left"/>
              <w:spacing w:before="200"/>
              <w:pStyle w:val="ImageCaption"/>
            </w:pPr>
            <w:r>
              <w:t xml:space="preserve">Table 6: Concurvity estimates for the</w:t>
            </w:r>
            <w:r>
              <w:t xml:space="preserve"> </w:t>
            </w:r>
            <w:r>
              <w:rPr>
                <w:b/>
                <w:bCs/>
              </w:rPr>
              <w:t xml:space="preserve">Lower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0.70</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0404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r>
          </w:tbl>
          <w:bookmarkEnd w:id="38"/>
        </w:tc>
      </w:tr>
    </w:tbl>
    <w:p>
      <w:r>
        <w:br w:type="page"/>
      </w:r>
    </w:p>
    <w:bookmarkEnd w:id="39"/>
    <w:bookmarkStart w:id="43" w:name="references"/>
    <w:p>
      <w:pPr>
        <w:pStyle w:val="Heading2"/>
      </w:pPr>
      <w:r>
        <w:t xml:space="preserve">References</w:t>
      </w:r>
    </w:p>
    <w:bookmarkStart w:id="42" w:name="refs"/>
    <w:bookmarkStart w:id="41"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40">
        <w:r>
          <w:rPr>
            <w:rStyle w:val="Hyperlink"/>
          </w:rPr>
          <w:t xml:space="preserve">https://doi.org/10.1109/TAC.1974.1100705</w:t>
        </w:r>
      </w:hyperlink>
      <w:r>
        <w:t xml:space="preserve">.</w:t>
      </w:r>
    </w:p>
    <w:bookmarkEnd w:id="41"/>
    <w:bookmarkEnd w:id="42"/>
    <w:bookmarkEnd w:id="43"/>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8" Target="media/rId28.png" /><Relationship Type="http://schemas.openxmlformats.org/officeDocument/2006/relationships/hyperlink" Id="rId40" Target="https://doi.org/10.1109/TAC.1974.1100705"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109/TAC.1974.1100705"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2026-06-09T18:15:08Z</dcterms:created>
  <dcterms:modified xsi:type="dcterms:W3CDTF">2026-06-09T18:15:08Z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