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p>
      <w:r>
        <w:br w:type="page"/>
      </w:r>
    </w:p>
    <w:bookmarkStart w:id="22"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1" w:name="tbl-supgamtab"/>
          <w:p>
            <w:pPr>
              <w:jc w:val="center"/>
            </w:pPr>
            <w:pPr>
              <w:jc w:val="left"/>
              <w:spacing w:before="200"/>
              <w:pStyle w:val="ImageCaption"/>
            </w:pPr>
            <w:r>
              <w:t xml:space="preserve">Table 1: Generalized Additive Model (GAM) summary statistics for chlorophyll-a predictions by bay segment in Tampa Bay (n = 480 for each) and different total nitrogen loading lags. Each model uses the same structure but with different estimates for the loading predictors, where the loads were evaluated as cumulative sums for the current month up to a three month lag. Results for the overall model fit are shown with the Generalized Cross Validation (GCV) score and deviance explained (Dev. Expl.).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341"/>
              <w:gridCol w:w="608"/>
              <w:gridCol w:w="1091"/>
            </w:tblGrid>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r>
          </w:tbl>
          <w:bookmarkEnd w:id="21"/>
        </w:tc>
      </w:tr>
    </w:tbl>
    <w:bookmarkEnd w:id="22"/>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2026-02-24T18:45:05Z</dcterms:created>
  <dcterms:modified xsi:type="dcterms:W3CDTF">2026-02-24T18:45:05Z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