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7.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Water quality improvements have been supported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jurisdictional boundaries. Successfull management paradigms require intentional efforts that bridge multiple entities and also consider the unique setting of each waterbody to create a nuanced and iterative approach to adaptively managing water quality</w:t>
      </w:r>
      <w:r>
        <w:t xml:space="preserve"> </w:t>
      </w:r>
      <w:r>
        <w:t xml:space="preserve">(Testa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for example, provides an exceptional opportunity to evaluate these questions. First, Tampa Bay h 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to the bay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in the face of climate change.</w:t>
      </w:r>
    </w:p>
    <w:p>
      <w:pPr>
        <w:pStyle w:val="BodyText"/>
      </w:pPr>
      <w:r>
        <w:t xml:space="preserve">Herein, we evaluate the competing association of nutrient loading and salinity on water quality dynamics in Tampa Bay over four decades. The association between water quality and external nutrient inputs is well-understood and comparatively straightforward. Nitrogen, in particular, is a well-documented limiting nutrient for phytoplankton growth in Tampa Bay because of the underlying geology of central Florida and the long-term effects on chemical characteristics of dissolved content in surficial waters. Salinity gradients and mixing dynamics in estuaries have also recevied substantial attention in coastal research given the fundamental influence on biogeochemical processes in estuaries. The role of salinity in eutrophication is not as straightforward as nutrients, since salinity is a physical characteristic of the environment that can place limits on community dynamics but does not directy control growth in the same manner as macro-nutrients. Salinity is used herein as a proxy measure for physical factors that may affect phytoplankton comunity dynamics, such as through tidal mixing, residence time, freshwater inputs, or other factors related to circulation. Thus, it is not the direct effect of salinity on algal dynamics that we are exploring, rather it is of more interest to understand how changing physical conditions could change the ecology of the bay through the lens of changing salinity. Such changes potentially diminish the effectiveness of conventional management paradigms that focus on external nutrients, which can be managed through substantial effort, whereas salinity at large scales mostly cannot be altered.</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more empirical approaches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explicit consideration of the confounding effects of discharge on trend analysis. In estuarine settings, salinity can be used as a conservative tracer in WRTDS to account for the effects of freshwater inputs or circulation to better understand trends in key parameters</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readily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make inferences on the relative effects of different drivers of chlorophyll dynamics. To our knowledge, this is the first application of GAMs for this purpose and the methods herein can be applied in other settings to address similar questions.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G.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4</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 time).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tatespace">
        <w:r>
          <w:rPr>
            <w:rStyle w:val="Hyperlink"/>
          </w:rPr>
          <w:t xml:space="preserve">Figure 6</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4</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6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dat"/>
          <w:p>
            <w:pPr>
              <w:pStyle w:val="Compact"/>
              <w:jc w:val="center"/>
            </w:pPr>
            <w:r>
              <w:drawing>
                <wp:inline>
                  <wp:extent cx="5943600" cy="5943600"/>
                  <wp:effectExtent b="0" l="0" r="0" t="0"/>
                  <wp:docPr descr="" title="" id="38" name="Picture"/>
                  <a:graphic>
                    <a:graphicData uri="http://schemas.openxmlformats.org/drawingml/2006/picture">
                      <pic:pic>
                        <pic:nvPicPr>
                          <pic:cNvPr descr="figs/obsdat.png" id="39" name="Picture"/>
                          <pic:cNvPicPr>
                            <a:picLocks noChangeArrowheads="1" noChangeAspect="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 (a), salinity (b), and total nitrogen load (c) for each bay segment from 1985 to present. Chlorophyll and salinity are shown as annual averages with 95% confidence intervals and the total nitrogen loads are the annual sums across each month. Relevant regulatory standard are shown as dashed lines for chlorophyll and total nitrogen load. Linear trends are also shown with the solid black lines.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obsprd"/>
          <w:p>
            <w:pPr>
              <w:pStyle w:val="Compact"/>
              <w:jc w:val="center"/>
            </w:pPr>
            <w:r>
              <w:drawing>
                <wp:inline>
                  <wp:extent cx="5943600" cy="6686549"/>
                  <wp:effectExtent b="0" l="0" r="0" t="0"/>
                  <wp:docPr descr="" title="" id="42" name="Picture"/>
                  <a:graphic>
                    <a:graphicData uri="http://schemas.openxmlformats.org/drawingml/2006/picture">
                      <pic:pic>
                        <pic:nvPicPr>
                          <pic:cNvPr descr="figs/obsprd.png" id="43" name="Picture"/>
                          <pic:cNvPicPr>
                            <a:picLocks noChangeArrowheads="1" noChangeAspect="1"/>
                          </pic:cNvPicPr>
                        </pic:nvPicPr>
                        <pic:blipFill>
                          <a:blip r:embed="rId41"/>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prdnrm"/>
          <w:p>
            <w:pPr>
              <w:pStyle w:val="Compact"/>
              <w:jc w:val="center"/>
            </w:pPr>
            <w:r>
              <w:drawing>
                <wp:inline>
                  <wp:extent cx="5943600" cy="4245428"/>
                  <wp:effectExtent b="0" l="0" r="0" t="0"/>
                  <wp:docPr descr="" title="" id="46" name="Picture"/>
                  <a:graphic>
                    <a:graphicData uri="http://schemas.openxmlformats.org/drawingml/2006/picture">
                      <pic:pic>
                        <pic:nvPicPr>
                          <pic:cNvPr descr="figs/prdnrm.png" id="47" name="Picture"/>
                          <pic:cNvPicPr>
                            <a:picLocks noChangeArrowheads="1" noChangeAspect="1"/>
                          </pic:cNvPicPr>
                        </pic:nvPicPr>
                        <pic:blipFill>
                          <a:blip r:embed="rId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alvload"/>
          <w:p>
            <w:pPr>
              <w:pStyle w:val="Compact"/>
              <w:jc w:val="center"/>
            </w:pPr>
            <w:r>
              <w:drawing>
                <wp:inline>
                  <wp:extent cx="5943600" cy="5094514"/>
                  <wp:effectExtent b="0" l="0" r="0" t="0"/>
                  <wp:docPr descr="" title="" id="50" name="Picture"/>
                  <a:graphic>
                    <a:graphicData uri="http://schemas.openxmlformats.org/drawingml/2006/picture">
                      <pic:pic>
                        <pic:nvPicPr>
                          <pic:cNvPr descr="figs/salvload.png" id="51" name="Picture"/>
                          <pic:cNvPicPr>
                            <a:picLocks noChangeArrowheads="1" noChangeAspect="1"/>
                          </pic:cNvPicPr>
                        </pic:nvPicPr>
                        <pic:blipFill>
                          <a:blip r:embed="rId4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statespace"/>
          <w:p>
            <w:pPr>
              <w:pStyle w:val="Compact"/>
              <w:jc w:val="center"/>
            </w:pPr>
            <w:r>
              <w:drawing>
                <wp:inline>
                  <wp:extent cx="5943600" cy="7528559"/>
                  <wp:effectExtent b="0" l="0" r="0" t="0"/>
                  <wp:docPr descr="" title="" id="54" name="Picture"/>
                  <a:graphic>
                    <a:graphicData uri="http://schemas.openxmlformats.org/drawingml/2006/picture">
                      <pic:pic>
                        <pic:nvPicPr>
                          <pic:cNvPr descr="figs/statespace.png" id="55" name="Picture"/>
                          <pic:cNvPicPr>
                            <a:picLocks noChangeArrowheads="1" noChangeAspect="1"/>
                          </pic:cNvPicPr>
                        </pic:nvPicPr>
                        <pic:blipFill>
                          <a:blip r:embed="rId53"/>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implo"/>
          <w:p>
            <w:pPr>
              <w:pStyle w:val="Compact"/>
              <w:jc w:val="center"/>
            </w:pPr>
            <w:r>
              <w:drawing>
                <wp:inline>
                  <wp:extent cx="5943600" cy="5943600"/>
                  <wp:effectExtent b="0" l="0" r="0" t="0"/>
                  <wp:docPr descr="" title="" id="58" name="Picture"/>
                  <a:graphic>
                    <a:graphicData uri="http://schemas.openxmlformats.org/drawingml/2006/picture">
                      <pic:pic>
                        <pic:nvPicPr>
                          <pic:cNvPr descr="figs/simplo.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0"/>
        </w:tc>
      </w:tr>
    </w:tbl>
    <w:p>
      <w:r>
        <w:br w:type="page"/>
      </w:r>
    </w:p>
    <w:bookmarkEnd w:id="61"/>
    <w:bookmarkStart w:id="6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2"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2"/>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5"/>
        </w:tc>
      </w:tr>
    </w:tbl>
    <w:p>
      <w:r>
        <w:br w:type="page"/>
      </w:r>
    </w:p>
    <w:bookmarkEnd w:id="66"/>
    <w:bookmarkStart w:id="68"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7">
        <w:r>
          <w:rPr>
            <w:rStyle w:val="Hyperlink"/>
          </w:rPr>
          <w:t xml:space="preserve">https://github.com/tbep-tech/chlhydro-manu</w:t>
        </w:r>
      </w:hyperlink>
      <w:r>
        <w:t xml:space="preserve">.</w:t>
      </w:r>
    </w:p>
    <w:bookmarkEnd w:id="68"/>
    <w:bookmarkStart w:id="69"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9"/>
    <w:bookmarkStart w:id="73" w:name="statements-and-declarations"/>
    <w:p>
      <w:pPr>
        <w:pStyle w:val="Heading2"/>
      </w:pPr>
      <w:r>
        <w:t xml:space="preserve">Statements and Declarations</w:t>
      </w:r>
    </w:p>
    <w:bookmarkStart w:id="70"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70"/>
    <w:bookmarkStart w:id="71"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1"/>
    <w:bookmarkStart w:id="72"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2"/>
    <w:bookmarkEnd w:id="73"/>
    <w:bookmarkStart w:id="162" w:name="references"/>
    <w:p>
      <w:pPr>
        <w:pStyle w:val="Heading2"/>
      </w:pPr>
      <w:r>
        <w:t xml:space="preserve">References</w:t>
      </w:r>
    </w:p>
    <w:bookmarkStart w:id="161" w:name="refs"/>
    <w:bookmarkStart w:id="75"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4">
        <w:r>
          <w:rPr>
            <w:rStyle w:val="Hyperlink"/>
          </w:rPr>
          <w:t xml:space="preserve">https://doi.org/10.1029/2004GB002229</w:t>
        </w:r>
      </w:hyperlink>
      <w:r>
        <w:t xml:space="preserve">.</w:t>
      </w:r>
    </w:p>
    <w:bookmarkEnd w:id="75"/>
    <w:bookmarkStart w:id="7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6">
        <w:r>
          <w:rPr>
            <w:rStyle w:val="Hyperlink"/>
          </w:rPr>
          <w:t xml:space="preserve">https://doi.org/10.1016/j.scitotenv.2021.149927</w:t>
        </w:r>
      </w:hyperlink>
      <w:r>
        <w:t xml:space="preserve">.</w:t>
      </w:r>
    </w:p>
    <w:bookmarkEnd w:id="77"/>
    <w:bookmarkStart w:id="7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8">
        <w:r>
          <w:rPr>
            <w:rStyle w:val="Hyperlink"/>
          </w:rPr>
          <w:t xml:space="preserve">https://doi.org/10.1007/s12237-024-01385-0</w:t>
        </w:r>
      </w:hyperlink>
      <w:r>
        <w:t xml:space="preserve">.</w:t>
      </w:r>
    </w:p>
    <w:bookmarkEnd w:id="79"/>
    <w:bookmarkStart w:id="8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0">
        <w:r>
          <w:rPr>
            <w:rStyle w:val="Hyperlink"/>
          </w:rPr>
          <w:t xml:space="preserve">https://doi.org/10.1007/s10666-015-9452-8</w:t>
        </w:r>
      </w:hyperlink>
      <w:r>
        <w:t xml:space="preserve">.</w:t>
      </w:r>
    </w:p>
    <w:bookmarkEnd w:id="81"/>
    <w:bookmarkStart w:id="8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2">
        <w:r>
          <w:rPr>
            <w:rStyle w:val="Hyperlink"/>
          </w:rPr>
          <w:t xml:space="preserve">https://doi.org/10.1111/1752-1688.12489</w:t>
        </w:r>
      </w:hyperlink>
      <w:r>
        <w:t xml:space="preserve">.</w:t>
      </w:r>
    </w:p>
    <w:bookmarkEnd w:id="83"/>
    <w:bookmarkStart w:id="8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4">
        <w:r>
          <w:rPr>
            <w:rStyle w:val="Hyperlink"/>
          </w:rPr>
          <w:t xml:space="preserve">https://doi.org/10.13031/2013.21742</w:t>
        </w:r>
      </w:hyperlink>
      <w:r>
        <w:t xml:space="preserve">.</w:t>
      </w:r>
    </w:p>
    <w:bookmarkEnd w:id="85"/>
    <w:bookmarkStart w:id="8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6">
        <w:r>
          <w:rPr>
            <w:rStyle w:val="Hyperlink"/>
          </w:rPr>
          <w:t xml:space="preserve">https://doi.org/10.1021/es011246m</w:t>
        </w:r>
      </w:hyperlink>
      <w:r>
        <w:t xml:space="preserve">.</w:t>
      </w:r>
    </w:p>
    <w:bookmarkEnd w:id="87"/>
    <w:bookmarkStart w:id="8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88"/>
    <w:bookmarkStart w:id="9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89">
        <w:r>
          <w:rPr>
            <w:rStyle w:val="Hyperlink"/>
          </w:rPr>
          <w:t xml:space="preserve">https://doi.org/10.1016/j.marchem.2006.12.007</w:t>
        </w:r>
      </w:hyperlink>
      <w:r>
        <w:t xml:space="preserve">.</w:t>
      </w:r>
    </w:p>
    <w:bookmarkEnd w:id="90"/>
    <w:bookmarkStart w:id="9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1">
        <w:r>
          <w:rPr>
            <w:rStyle w:val="Hyperlink"/>
          </w:rPr>
          <w:t xml:space="preserve">https://doi.org/10.1016/j.rse.2006.12.019</w:t>
        </w:r>
      </w:hyperlink>
      <w:r>
        <w:t xml:space="preserve">.</w:t>
      </w:r>
    </w:p>
    <w:bookmarkEnd w:id="92"/>
    <w:bookmarkStart w:id="93"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93"/>
    <w:bookmarkStart w:id="95"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94">
        <w:r>
          <w:rPr>
            <w:rStyle w:val="Hyperlink"/>
          </w:rPr>
          <w:t xml:space="preserve">https://doi.org/10.1007/s00267-005-0079-4</w:t>
        </w:r>
      </w:hyperlink>
      <w:r>
        <w:t xml:space="preserve">.</w:t>
      </w:r>
    </w:p>
    <w:bookmarkEnd w:id="95"/>
    <w:bookmarkStart w:id="97"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96">
        <w:r>
          <w:rPr>
            <w:rStyle w:val="Hyperlink"/>
          </w:rPr>
          <w:t xml:space="preserve">https://doi.org/10.1016/j.ecss.2014.10.003</w:t>
        </w:r>
      </w:hyperlink>
      <w:r>
        <w:t xml:space="preserve">.</w:t>
      </w:r>
    </w:p>
    <w:bookmarkEnd w:id="97"/>
    <w:bookmarkStart w:id="99"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98">
        <w:r>
          <w:rPr>
            <w:rStyle w:val="Hyperlink"/>
          </w:rPr>
          <w:t xml:space="preserve">https://doi.org/10.2307/1353325</w:t>
        </w:r>
      </w:hyperlink>
      <w:r>
        <w:t xml:space="preserve">.</w:t>
      </w:r>
    </w:p>
    <w:bookmarkEnd w:id="99"/>
    <w:bookmarkStart w:id="101"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0">
        <w:r>
          <w:rPr>
            <w:rStyle w:val="Hyperlink"/>
          </w:rPr>
          <w:t xml:space="preserve">https://doi.org/10.1111/j.1752-1688.2010.00482.x</w:t>
        </w:r>
      </w:hyperlink>
      <w:r>
        <w:t xml:space="preserve">.</w:t>
      </w:r>
    </w:p>
    <w:bookmarkEnd w:id="101"/>
    <w:bookmarkStart w:id="102"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2"/>
    <w:bookmarkStart w:id="104" w:name="ref-tbep0696"/>
    <w:p>
      <w:pPr>
        <w:pStyle w:val="Bibliography"/>
      </w:pPr>
      <w:r>
        <w:t xml:space="preserve">Janicki, A. J., and D. L. Wade. 1996.</w:t>
      </w:r>
      <w:r>
        <w:t xml:space="preserve"> </w:t>
      </w:r>
      <w:hyperlink r:id="rId103">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04"/>
    <w:bookmarkStart w:id="106" w:name="ref-tbep0400"/>
    <w:p>
      <w:pPr>
        <w:pStyle w:val="Bibliography"/>
      </w:pPr>
      <w:r>
        <w:t xml:space="preserve">Janicki, A. J., D. L. Wade, and J. R. Pribble. 2000.</w:t>
      </w:r>
      <w:r>
        <w:t xml:space="preserve"> </w:t>
      </w:r>
      <w:hyperlink r:id="rId105">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06"/>
    <w:bookmarkStart w:id="108" w:name="ref-tbep1115"/>
    <w:p>
      <w:pPr>
        <w:pStyle w:val="Bibliography"/>
      </w:pPr>
      <w:r>
        <w:t xml:space="preserve">Janicki Environmental, Inc. 2015.</w:t>
      </w:r>
      <w:r>
        <w:t xml:space="preserve"> </w:t>
      </w:r>
      <w:hyperlink r:id="rId107">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08"/>
    <w:bookmarkStart w:id="110" w:name="ref-tbep0623"/>
    <w:p>
      <w:pPr>
        <w:pStyle w:val="Bibliography"/>
      </w:pPr>
      <w:r>
        <w:t xml:space="preserve">Janicki Environmental, Inc. 2023.</w:t>
      </w:r>
      <w:r>
        <w:t xml:space="preserve"> </w:t>
      </w:r>
      <w:hyperlink r:id="rId109">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0"/>
    <w:bookmarkStart w:id="112" w:name="ref-tbep0622"/>
    <w:p>
      <w:pPr>
        <w:pStyle w:val="Bibliography"/>
      </w:pPr>
      <w:r>
        <w:t xml:space="preserve">Johansson, J. O. R. 2022.</w:t>
      </w:r>
      <w:r>
        <w:t xml:space="preserve"> </w:t>
      </w:r>
      <w:hyperlink r:id="rId111">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2"/>
    <w:bookmarkStart w:id="113"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13"/>
    <w:bookmarkStart w:id="11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14">
        <w:r>
          <w:rPr>
            <w:rStyle w:val="Hyperlink"/>
          </w:rPr>
          <w:t xml:space="preserve">https://doi.org/10.1016/j.jembe.2009.10.014</w:t>
        </w:r>
      </w:hyperlink>
      <w:r>
        <w:t xml:space="preserve">.</w:t>
      </w:r>
    </w:p>
    <w:bookmarkEnd w:id="115"/>
    <w:bookmarkStart w:id="11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16">
        <w:r>
          <w:rPr>
            <w:rStyle w:val="Hyperlink"/>
          </w:rPr>
          <w:t xml:space="preserve">https://doi.org/10.1016/j.ecss.2012.09.017</w:t>
        </w:r>
      </w:hyperlink>
      <w:r>
        <w:t xml:space="preserve">.</w:t>
      </w:r>
    </w:p>
    <w:bookmarkEnd w:id="117"/>
    <w:bookmarkStart w:id="119" w:name="ref-luther2022"/>
    <w:p>
      <w:pPr>
        <w:pStyle w:val="Bibliography"/>
      </w:pPr>
      <w:r>
        <w:t xml:space="preserve">Luther, M. E., and S. D. Meyers. 2022.</w:t>
      </w:r>
      <w:r>
        <w:t xml:space="preserve"> </w:t>
      </w:r>
      <w:hyperlink r:id="rId118">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19"/>
    <w:bookmarkStart w:id="121"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20">
        <w:r>
          <w:rPr>
            <w:rStyle w:val="Hyperlink"/>
          </w:rPr>
          <w:t xml:space="preserve">https://doi.org/10.1002/2014JC010342</w:t>
        </w:r>
      </w:hyperlink>
      <w:r>
        <w:t xml:space="preserve">.</w:t>
      </w:r>
    </w:p>
    <w:bookmarkEnd w:id="121"/>
    <w:bookmarkStart w:id="123"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22">
        <w:r>
          <w:rPr>
            <w:rStyle w:val="Hyperlink"/>
          </w:rPr>
          <w:t xml:space="preserve">https://doi.org/10.1007/bf02798652</w:t>
        </w:r>
      </w:hyperlink>
      <w:r>
        <w:t xml:space="preserve">.</w:t>
      </w:r>
    </w:p>
    <w:bookmarkEnd w:id="123"/>
    <w:bookmarkStart w:id="124"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24"/>
    <w:bookmarkStart w:id="126"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25">
        <w:r>
          <w:rPr>
            <w:rStyle w:val="Hyperlink"/>
          </w:rPr>
          <w:t xml:space="preserve">https://doi.org/10.1021/acs.est.1c05388</w:t>
        </w:r>
      </w:hyperlink>
      <w:r>
        <w:t xml:space="preserve">.</w:t>
      </w:r>
    </w:p>
    <w:bookmarkEnd w:id="126"/>
    <w:bookmarkStart w:id="128"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27">
        <w:r>
          <w:rPr>
            <w:rStyle w:val="Hyperlink"/>
          </w:rPr>
          <w:t xml:space="preserve">https://doi.org/10.1016/j.envsoft.2019.03.027</w:t>
        </w:r>
      </w:hyperlink>
      <w:r>
        <w:t xml:space="preserve">.</w:t>
      </w:r>
    </w:p>
    <w:bookmarkEnd w:id="128"/>
    <w:bookmarkStart w:id="12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29"/>
    <w:bookmarkStart w:id="13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30">
        <w:r>
          <w:rPr>
            <w:rStyle w:val="Hyperlink"/>
          </w:rPr>
          <w:t xml:space="preserve">https://doi.org/10.1016/j.rsma.2015.11.007</w:t>
        </w:r>
      </w:hyperlink>
      <w:r>
        <w:t xml:space="preserve">.</w:t>
      </w:r>
    </w:p>
    <w:bookmarkEnd w:id="131"/>
    <w:bookmarkStart w:id="13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32">
        <w:r>
          <w:rPr>
            <w:rStyle w:val="Hyperlink"/>
          </w:rPr>
          <w:t xml:space="preserve">https://doi.org/10.7717/peerj.16073</w:t>
        </w:r>
      </w:hyperlink>
      <w:r>
        <w:t xml:space="preserve">.</w:t>
      </w:r>
    </w:p>
    <w:bookmarkEnd w:id="133"/>
    <w:bookmarkStart w:id="135" w:name="ref-sherwood2015"/>
    <w:p>
      <w:pPr>
        <w:pStyle w:val="Bibliography"/>
      </w:pPr>
      <w:r>
        <w:t xml:space="preserve">Sherwood, E. T., H. S. Greening, L. Garcia, K. Kaufman, A. J. Janicki, R. Pribble, B. Cunningham, et al. 2015.</w:t>
      </w:r>
      <w:r>
        <w:t xml:space="preserve"> </w:t>
      </w:r>
      <w:hyperlink r:id="rId13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35"/>
    <w:bookmarkStart w:id="13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36">
        <w:r>
          <w:rPr>
            <w:rStyle w:val="Hyperlink"/>
          </w:rPr>
          <w:t xml:space="preserve">https://doi.org/10.1016/j.rsma.2015.05.005</w:t>
        </w:r>
      </w:hyperlink>
      <w:r>
        <w:t xml:space="preserve">.</w:t>
      </w:r>
    </w:p>
    <w:bookmarkEnd w:id="137"/>
    <w:bookmarkStart w:id="13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38">
        <w:r>
          <w:rPr>
            <w:rStyle w:val="Hyperlink"/>
          </w:rPr>
          <w:t xml:space="preserve">https://doi.org/10.1353/sgo.2017.0026</w:t>
        </w:r>
      </w:hyperlink>
      <w:r>
        <w:t xml:space="preserve">.</w:t>
      </w:r>
    </w:p>
    <w:bookmarkEnd w:id="139"/>
    <w:bookmarkStart w:id="14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40">
        <w:r>
          <w:rPr>
            <w:rStyle w:val="Hyperlink"/>
          </w:rPr>
          <w:t xml:space="preserve">https://doi.org/10.32614/CRAN.package.gratia</w:t>
        </w:r>
      </w:hyperlink>
      <w:r>
        <w:t xml:space="preserve">.</w:t>
      </w:r>
    </w:p>
    <w:bookmarkEnd w:id="141"/>
    <w:bookmarkStart w:id="143" w:name="ref-SWFWMD25"/>
    <w:p>
      <w:pPr>
        <w:pStyle w:val="Bibliography"/>
      </w:pPr>
      <w:r>
        <w:t xml:space="preserve">Southwest Florida Water Management District. 2025.</w:t>
      </w:r>
      <w:r>
        <w:t xml:space="preserve"> </w:t>
      </w:r>
      <w:hyperlink r:id="rId142">
        <w:r>
          <w:rPr>
            <w:rStyle w:val="Hyperlink"/>
          </w:rPr>
          <w:t xml:space="preserve">2023 land use land cover shapefile for SWFWMD</w:t>
        </w:r>
      </w:hyperlink>
      <w:r>
        <w:t xml:space="preserve">.</w:t>
      </w:r>
    </w:p>
    <w:bookmarkEnd w:id="143"/>
    <w:bookmarkStart w:id="145"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44">
        <w:r>
          <w:rPr>
            <w:rStyle w:val="Hyperlink"/>
          </w:rPr>
          <w:t xml:space="preserve">https://doi.org/10.1016/j.scitotenv.2011.09.088</w:t>
        </w:r>
      </w:hyperlink>
      <w:r>
        <w:t xml:space="preserve">.</w:t>
      </w:r>
    </w:p>
    <w:bookmarkEnd w:id="145"/>
    <w:bookmarkStart w:id="147" w:name="ref-tbep0310"/>
    <w:p>
      <w:pPr>
        <w:pStyle w:val="Bibliography"/>
      </w:pPr>
      <w:r>
        <w:t xml:space="preserve">Tampa Bay Nitrogen Management Consortium. 2010.</w:t>
      </w:r>
      <w:r>
        <w:t xml:space="preserve"> </w:t>
      </w:r>
      <w:hyperlink r:id="rId146">
        <w:r>
          <w:rPr>
            <w:rStyle w:val="Hyperlink"/>
            <w:i/>
            <w:iCs/>
          </w:rPr>
          <w:t xml:space="preserve">2009 reasonable assurance addendum: Allocation and assessment report</w:t>
        </w:r>
      </w:hyperlink>
      <w:r>
        <w:t xml:space="preserve">. Technical report 03-10. St. Petersburg, Florida: Tampa Bay Estuary Program.</w:t>
      </w:r>
    </w:p>
    <w:bookmarkEnd w:id="147"/>
    <w:bookmarkStart w:id="149"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48">
        <w:r>
          <w:rPr>
            <w:rStyle w:val="Hyperlink"/>
          </w:rPr>
          <w:t xml:space="preserve">https://doi.org/10.1111/1752-1688.70070</w:t>
        </w:r>
      </w:hyperlink>
      <w:r>
        <w:t xml:space="preserve">.</w:t>
      </w:r>
    </w:p>
    <w:bookmarkEnd w:id="149"/>
    <w:bookmarkStart w:id="151"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50">
        <w:r>
          <w:rPr>
            <w:rStyle w:val="Hyperlink"/>
          </w:rPr>
          <w:t xml:space="preserve">https://doi.org/10.1007/978-0-387-21706-2</w:t>
        </w:r>
      </w:hyperlink>
      <w:r>
        <w:t xml:space="preserve">.</w:t>
      </w:r>
    </w:p>
    <w:bookmarkEnd w:id="151"/>
    <w:bookmarkStart w:id="153"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52">
        <w:r>
          <w:rPr>
            <w:rStyle w:val="Hyperlink"/>
          </w:rPr>
          <w:t xml:space="preserve">https://doi.org/10.1016/j.jhydrol.2025.134851</w:t>
        </w:r>
      </w:hyperlink>
      <w:r>
        <w:t xml:space="preserve">.</w:t>
      </w:r>
    </w:p>
    <w:bookmarkEnd w:id="153"/>
    <w:bookmarkStart w:id="155"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54">
        <w:r>
          <w:rPr>
            <w:rStyle w:val="Hyperlink"/>
          </w:rPr>
          <w:t xml:space="preserve">https://doi.org/10.1111/j.1467-9868.2010.00749.x</w:t>
        </w:r>
      </w:hyperlink>
      <w:r>
        <w:t xml:space="preserve">.</w:t>
      </w:r>
    </w:p>
    <w:bookmarkEnd w:id="155"/>
    <w:bookmarkStart w:id="156"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56"/>
    <w:bookmarkStart w:id="158"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57">
        <w:r>
          <w:rPr>
            <w:rStyle w:val="Hyperlink"/>
          </w:rPr>
          <w:t xml:space="preserve">https://doi.org/10.1061/(ASCE)0733-9496(2003)129:4(295)</w:t>
        </w:r>
      </w:hyperlink>
      <w:r>
        <w:t xml:space="preserve">.</w:t>
      </w:r>
    </w:p>
    <w:bookmarkEnd w:id="158"/>
    <w:bookmarkStart w:id="160" w:name="ref-tbep0494"/>
    <w:p>
      <w:pPr>
        <w:pStyle w:val="Bibliography"/>
      </w:pPr>
      <w:r>
        <w:t xml:space="preserve">Zarbock, H. W., A. J. Janicki, D. L. Wade, and D. G. Heimbuch. 1994.</w:t>
      </w:r>
      <w:r>
        <w:t xml:space="preserve"> </w:t>
      </w:r>
      <w:hyperlink r:id="rId159">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60"/>
    <w:bookmarkEnd w:id="161"/>
    <w:bookmarkEnd w:id="16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hyperlink" Id="rId120" Target="https://doi.org/10.1002/2014JC010342" TargetMode="External" /><Relationship Type="http://schemas.openxmlformats.org/officeDocument/2006/relationships/hyperlink" Id="rId150" Target="https://doi.org/10.1007/978-0-387-21706-2" TargetMode="External" /><Relationship Type="http://schemas.openxmlformats.org/officeDocument/2006/relationships/hyperlink" Id="rId122" Target="https://doi.org/10.1007/bf02798652" TargetMode="External" /><Relationship Type="http://schemas.openxmlformats.org/officeDocument/2006/relationships/hyperlink" Id="rId94" Target="https://doi.org/10.1007/s00267-005-0079-4" TargetMode="External" /><Relationship Type="http://schemas.openxmlformats.org/officeDocument/2006/relationships/hyperlink" Id="rId80" Target="https://doi.org/10.1007/s10666-015-9452-8" TargetMode="External" /><Relationship Type="http://schemas.openxmlformats.org/officeDocument/2006/relationships/hyperlink" Id="rId78" Target="https://doi.org/10.1007/s12237-024-01385-0" TargetMode="External" /><Relationship Type="http://schemas.openxmlformats.org/officeDocument/2006/relationships/hyperlink" Id="rId116" Target="https://doi.org/10.1016/j.ecss.2012.09.017" TargetMode="External" /><Relationship Type="http://schemas.openxmlformats.org/officeDocument/2006/relationships/hyperlink" Id="rId96" Target="https://doi.org/10.1016/j.ecss.2014.10.003" TargetMode="External" /><Relationship Type="http://schemas.openxmlformats.org/officeDocument/2006/relationships/hyperlink" Id="rId127" Target="https://doi.org/10.1016/j.envsoft.2019.03.027" TargetMode="External" /><Relationship Type="http://schemas.openxmlformats.org/officeDocument/2006/relationships/hyperlink" Id="rId114" Target="https://doi.org/10.1016/j.jembe.2009.10.014" TargetMode="External" /><Relationship Type="http://schemas.openxmlformats.org/officeDocument/2006/relationships/hyperlink" Id="rId152" Target="https://doi.org/10.1016/j.jhydrol.2025.134851" TargetMode="External" /><Relationship Type="http://schemas.openxmlformats.org/officeDocument/2006/relationships/hyperlink" Id="rId89" Target="https://doi.org/10.1016/j.marchem.2006.12.007" TargetMode="External" /><Relationship Type="http://schemas.openxmlformats.org/officeDocument/2006/relationships/hyperlink" Id="rId91" Target="https://doi.org/10.1016/j.rse.2006.12.019" TargetMode="External" /><Relationship Type="http://schemas.openxmlformats.org/officeDocument/2006/relationships/hyperlink" Id="rId136" Target="https://doi.org/10.1016/j.rsma.2015.05.005" TargetMode="External" /><Relationship Type="http://schemas.openxmlformats.org/officeDocument/2006/relationships/hyperlink" Id="rId130" Target="https://doi.org/10.1016/j.rsma.2015.11.007" TargetMode="External" /><Relationship Type="http://schemas.openxmlformats.org/officeDocument/2006/relationships/hyperlink" Id="rId144" Target="https://doi.org/10.1016/j.scitotenv.2011.09.088" TargetMode="External" /><Relationship Type="http://schemas.openxmlformats.org/officeDocument/2006/relationships/hyperlink" Id="rId76" Target="https://doi.org/10.1016/j.scitotenv.2021.149927" TargetMode="External" /><Relationship Type="http://schemas.openxmlformats.org/officeDocument/2006/relationships/hyperlink" Id="rId125" Target="https://doi.org/10.1021/acs.est.1c05388" TargetMode="External" /><Relationship Type="http://schemas.openxmlformats.org/officeDocument/2006/relationships/hyperlink" Id="rId86" Target="https://doi.org/10.1021/es011246m" TargetMode="External" /><Relationship Type="http://schemas.openxmlformats.org/officeDocument/2006/relationships/hyperlink" Id="rId74" Target="https://doi.org/10.1029/2004GB002229" TargetMode="External" /><Relationship Type="http://schemas.openxmlformats.org/officeDocument/2006/relationships/hyperlink" Id="rId157" Target="https://doi.org/10.1061/(ASCE)0733-9496(2003)129:4(295)" TargetMode="External" /><Relationship Type="http://schemas.openxmlformats.org/officeDocument/2006/relationships/hyperlink" Id="rId82" Target="https://doi.org/10.1111/1752-1688.12489" TargetMode="External" /><Relationship Type="http://schemas.openxmlformats.org/officeDocument/2006/relationships/hyperlink" Id="rId148" Target="https://doi.org/10.1111/1752-1688.70070" TargetMode="External" /><Relationship Type="http://schemas.openxmlformats.org/officeDocument/2006/relationships/hyperlink" Id="rId154" Target="https://doi.org/10.1111/j.1467-9868.2010.00749.x" TargetMode="External" /><Relationship Type="http://schemas.openxmlformats.org/officeDocument/2006/relationships/hyperlink" Id="rId100" Target="https://doi.org/10.1111/j.1752-1688.2010.00482.x" TargetMode="External" /><Relationship Type="http://schemas.openxmlformats.org/officeDocument/2006/relationships/hyperlink" Id="rId84" Target="https://doi.org/10.13031/2013.21742" TargetMode="External" /><Relationship Type="http://schemas.openxmlformats.org/officeDocument/2006/relationships/hyperlink" Id="rId138" Target="https://doi.org/10.1353/sgo.2017.0026" TargetMode="External" /><Relationship Type="http://schemas.openxmlformats.org/officeDocument/2006/relationships/hyperlink" Id="rId98" Target="https://doi.org/10.2307/1353325" TargetMode="External" /><Relationship Type="http://schemas.openxmlformats.org/officeDocument/2006/relationships/hyperlink" Id="rId140" Target="https://doi.org/10.32614/CRAN.package.gratia" TargetMode="External" /><Relationship Type="http://schemas.openxmlformats.org/officeDocument/2006/relationships/hyperlink" Id="rId132" Target="https://doi.org/10.7717/peerj.16073" TargetMode="External" /><Relationship Type="http://schemas.openxmlformats.org/officeDocument/2006/relationships/hyperlink" Id="rId107" Target="https://drive.google.com/drive/folders/1-vIRAsuZQmQEXZk-0FwqsjhSex0GDu7-?usp=sharing" TargetMode="External" /><Relationship Type="http://schemas.openxmlformats.org/officeDocument/2006/relationships/hyperlink" Id="rId118" Target="https://drive.google.com/file/d/1-1Jq9vly5EvVwEp698brlBucXjSMDbNn/view?usp=sharing" TargetMode="External" /><Relationship Type="http://schemas.openxmlformats.org/officeDocument/2006/relationships/hyperlink" Id="rId146" Target="https://drive.google.com/file/d/10IjJAfcGFf007a5VdPXAUtUi4dx-cmsA/view?usp=drivesdk" TargetMode="External" /><Relationship Type="http://schemas.openxmlformats.org/officeDocument/2006/relationships/hyperlink" Id="rId134" Target="https://drive.google.com/file/d/1BCviGfLykVX-p1tA3b0306deP3pKMagr/view?usp=drivesdk" TargetMode="External" /><Relationship Type="http://schemas.openxmlformats.org/officeDocument/2006/relationships/hyperlink" Id="rId109" Target="https://drive.google.com/file/d/1KARuSC5fGx05MuT1wiOQFWNXysBokkQl/view?usp=share_link" TargetMode="External" /><Relationship Type="http://schemas.openxmlformats.org/officeDocument/2006/relationships/hyperlink" Id="rId105" Target="https://drive.google.com/file/d/1XMULU8w4syWcSv_ciOUOhnC_G4xt6GIF/view?usp=drivesdk" TargetMode="External" /><Relationship Type="http://schemas.openxmlformats.org/officeDocument/2006/relationships/hyperlink" Id="rId103" Target="https://drive.google.com/file/d/1kZkvuprvsMyN9nPS5PHYvXHyo1KQxKTr/view?usp=drivesdk" TargetMode="External" /><Relationship Type="http://schemas.openxmlformats.org/officeDocument/2006/relationships/hyperlink" Id="rId111" Target="https://drive.google.com/file/d/1qaM852mkVkRyjwU8yZjlmZqMy1ROpcZi/view?usp=sharing" TargetMode="External" /><Relationship Type="http://schemas.openxmlformats.org/officeDocument/2006/relationships/hyperlink" Id="rId159"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42"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1002/2014JC010342" TargetMode="External" /><Relationship Type="http://schemas.openxmlformats.org/officeDocument/2006/relationships/hyperlink" Id="rId150" Target="https://doi.org/10.1007/978-0-387-21706-2" TargetMode="External" /><Relationship Type="http://schemas.openxmlformats.org/officeDocument/2006/relationships/hyperlink" Id="rId122" Target="https://doi.org/10.1007/bf02798652" TargetMode="External" /><Relationship Type="http://schemas.openxmlformats.org/officeDocument/2006/relationships/hyperlink" Id="rId94" Target="https://doi.org/10.1007/s00267-005-0079-4" TargetMode="External" /><Relationship Type="http://schemas.openxmlformats.org/officeDocument/2006/relationships/hyperlink" Id="rId80" Target="https://doi.org/10.1007/s10666-015-9452-8" TargetMode="External" /><Relationship Type="http://schemas.openxmlformats.org/officeDocument/2006/relationships/hyperlink" Id="rId78" Target="https://doi.org/10.1007/s12237-024-01385-0" TargetMode="External" /><Relationship Type="http://schemas.openxmlformats.org/officeDocument/2006/relationships/hyperlink" Id="rId116" Target="https://doi.org/10.1016/j.ecss.2012.09.017" TargetMode="External" /><Relationship Type="http://schemas.openxmlformats.org/officeDocument/2006/relationships/hyperlink" Id="rId96" Target="https://doi.org/10.1016/j.ecss.2014.10.003" TargetMode="External" /><Relationship Type="http://schemas.openxmlformats.org/officeDocument/2006/relationships/hyperlink" Id="rId127" Target="https://doi.org/10.1016/j.envsoft.2019.03.027" TargetMode="External" /><Relationship Type="http://schemas.openxmlformats.org/officeDocument/2006/relationships/hyperlink" Id="rId114" Target="https://doi.org/10.1016/j.jembe.2009.10.014" TargetMode="External" /><Relationship Type="http://schemas.openxmlformats.org/officeDocument/2006/relationships/hyperlink" Id="rId152" Target="https://doi.org/10.1016/j.jhydrol.2025.134851" TargetMode="External" /><Relationship Type="http://schemas.openxmlformats.org/officeDocument/2006/relationships/hyperlink" Id="rId89" Target="https://doi.org/10.1016/j.marchem.2006.12.007" TargetMode="External" /><Relationship Type="http://schemas.openxmlformats.org/officeDocument/2006/relationships/hyperlink" Id="rId91" Target="https://doi.org/10.1016/j.rse.2006.12.019" TargetMode="External" /><Relationship Type="http://schemas.openxmlformats.org/officeDocument/2006/relationships/hyperlink" Id="rId136" Target="https://doi.org/10.1016/j.rsma.2015.05.005" TargetMode="External" /><Relationship Type="http://schemas.openxmlformats.org/officeDocument/2006/relationships/hyperlink" Id="rId130" Target="https://doi.org/10.1016/j.rsma.2015.11.007" TargetMode="External" /><Relationship Type="http://schemas.openxmlformats.org/officeDocument/2006/relationships/hyperlink" Id="rId144" Target="https://doi.org/10.1016/j.scitotenv.2011.09.088" TargetMode="External" /><Relationship Type="http://schemas.openxmlformats.org/officeDocument/2006/relationships/hyperlink" Id="rId76" Target="https://doi.org/10.1016/j.scitotenv.2021.149927" TargetMode="External" /><Relationship Type="http://schemas.openxmlformats.org/officeDocument/2006/relationships/hyperlink" Id="rId125" Target="https://doi.org/10.1021/acs.est.1c05388" TargetMode="External" /><Relationship Type="http://schemas.openxmlformats.org/officeDocument/2006/relationships/hyperlink" Id="rId86" Target="https://doi.org/10.1021/es011246m" TargetMode="External" /><Relationship Type="http://schemas.openxmlformats.org/officeDocument/2006/relationships/hyperlink" Id="rId74" Target="https://doi.org/10.1029/2004GB002229" TargetMode="External" /><Relationship Type="http://schemas.openxmlformats.org/officeDocument/2006/relationships/hyperlink" Id="rId157" Target="https://doi.org/10.1061/(ASCE)0733-9496(2003)129:4(295)" TargetMode="External" /><Relationship Type="http://schemas.openxmlformats.org/officeDocument/2006/relationships/hyperlink" Id="rId82" Target="https://doi.org/10.1111/1752-1688.12489" TargetMode="External" /><Relationship Type="http://schemas.openxmlformats.org/officeDocument/2006/relationships/hyperlink" Id="rId148" Target="https://doi.org/10.1111/1752-1688.70070" TargetMode="External" /><Relationship Type="http://schemas.openxmlformats.org/officeDocument/2006/relationships/hyperlink" Id="rId154" Target="https://doi.org/10.1111/j.1467-9868.2010.00749.x" TargetMode="External" /><Relationship Type="http://schemas.openxmlformats.org/officeDocument/2006/relationships/hyperlink" Id="rId100" Target="https://doi.org/10.1111/j.1752-1688.2010.00482.x" TargetMode="External" /><Relationship Type="http://schemas.openxmlformats.org/officeDocument/2006/relationships/hyperlink" Id="rId84" Target="https://doi.org/10.13031/2013.21742" TargetMode="External" /><Relationship Type="http://schemas.openxmlformats.org/officeDocument/2006/relationships/hyperlink" Id="rId138" Target="https://doi.org/10.1353/sgo.2017.0026" TargetMode="External" /><Relationship Type="http://schemas.openxmlformats.org/officeDocument/2006/relationships/hyperlink" Id="rId98" Target="https://doi.org/10.2307/1353325" TargetMode="External" /><Relationship Type="http://schemas.openxmlformats.org/officeDocument/2006/relationships/hyperlink" Id="rId140" Target="https://doi.org/10.32614/CRAN.package.gratia" TargetMode="External" /><Relationship Type="http://schemas.openxmlformats.org/officeDocument/2006/relationships/hyperlink" Id="rId132" Target="https://doi.org/10.7717/peerj.16073" TargetMode="External" /><Relationship Type="http://schemas.openxmlformats.org/officeDocument/2006/relationships/hyperlink" Id="rId107" Target="https://drive.google.com/drive/folders/1-vIRAsuZQmQEXZk-0FwqsjhSex0GDu7-?usp=sharing" TargetMode="External" /><Relationship Type="http://schemas.openxmlformats.org/officeDocument/2006/relationships/hyperlink" Id="rId118" Target="https://drive.google.com/file/d/1-1Jq9vly5EvVwEp698brlBucXjSMDbNn/view?usp=sharing" TargetMode="External" /><Relationship Type="http://schemas.openxmlformats.org/officeDocument/2006/relationships/hyperlink" Id="rId146" Target="https://drive.google.com/file/d/10IjJAfcGFf007a5VdPXAUtUi4dx-cmsA/view?usp=drivesdk" TargetMode="External" /><Relationship Type="http://schemas.openxmlformats.org/officeDocument/2006/relationships/hyperlink" Id="rId134" Target="https://drive.google.com/file/d/1BCviGfLykVX-p1tA3b0306deP3pKMagr/view?usp=drivesdk" TargetMode="External" /><Relationship Type="http://schemas.openxmlformats.org/officeDocument/2006/relationships/hyperlink" Id="rId109" Target="https://drive.google.com/file/d/1KARuSC5fGx05MuT1wiOQFWNXysBokkQl/view?usp=share_link" TargetMode="External" /><Relationship Type="http://schemas.openxmlformats.org/officeDocument/2006/relationships/hyperlink" Id="rId105" Target="https://drive.google.com/file/d/1XMULU8w4syWcSv_ciOUOhnC_G4xt6GIF/view?usp=drivesdk" TargetMode="External" /><Relationship Type="http://schemas.openxmlformats.org/officeDocument/2006/relationships/hyperlink" Id="rId103" Target="https://drive.google.com/file/d/1kZkvuprvsMyN9nPS5PHYvXHyo1KQxKTr/view?usp=drivesdk" TargetMode="External" /><Relationship Type="http://schemas.openxmlformats.org/officeDocument/2006/relationships/hyperlink" Id="rId111" Target="https://drive.google.com/file/d/1qaM852mkVkRyjwU8yZjlmZqMy1ROpcZi/view?usp=sharing" TargetMode="External" /><Relationship Type="http://schemas.openxmlformats.org/officeDocument/2006/relationships/hyperlink" Id="rId159"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42"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2026-02-06T21:30:50Z</dcterms:created>
  <dcterms:modified xsi:type="dcterms:W3CDTF">2026-02-06T21:30:50Z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