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Override PartName="/word/media/rId53.png" ContentType="image/png"/>
  <Override PartName="/word/media/rId4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due primarily to the shallow depth.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2</w:t>
        </w:r>
      </w:hyperlink>
      <w:r>
        <w:t xml:space="preserve">,</w:t>
      </w:r>
      <w:r>
        <w:t xml:space="preserve"> </w:t>
      </w:r>
      <w:hyperlink w:anchor="tbl-gamtab">
        <w:r>
          <w:rPr>
            <w:rStyle w:val="Hyperlink"/>
          </w:rPr>
          <w:t xml:space="preserve">Table 1</w:t>
        </w:r>
      </w:hyperlink>
      <w:r>
        <w:t xml:space="preserve">). All bay segments had overall explained deviance of at least 70% (OTB 74%, HB 70%, MTB 76%), whereas LTB had the lowest at 60%. Model predictions over time captured the seasonality of chlorophyll and substantial variation in the seasonality was observed between years. The long-term decreases in chlorophyll were notable in the upper bay segments, i.e., purple lines earlier in the time series generally higher chlorohpyll-a predictions than the green and yellow lines later in the time series for OTB and HB (</w:t>
      </w:r>
      <w:hyperlink w:anchor="fig-obsprd">
        <w:r>
          <w:rPr>
            <w:rStyle w:val="Hyperlink"/>
          </w:rPr>
          <w:t xml:space="preserve">Figure 2</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suggesting an effect of loading on chlorophyll-a that was dependent on values of other predictors (loading and decimal time for OTB; loading and decimal time, day of year, and salinity for HB; and loading and day of year for MTB and LTB).</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0.73).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0.43, 0.41, respectively). Mean correlations were similar between bay segments and annual groupings for all other seasons (mean</w:t>
      </w:r>
      <w:r>
        <w:t xml:space="preserve"> </w:t>
      </w:r>
      <m:oMath>
        <m:r>
          <m:t>ρ</m:t>
        </m:r>
      </m:oMath>
      <w:r>
        <w:t xml:space="preserve"> </w:t>
      </w:r>
      <w:r>
        <w:t xml:space="preserve">= 0.61, 0.62, 0.74 for JFM, AMJ, and JAS,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3</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3</w:t>
        </w:r>
      </w:hyperlink>
      <w:r>
        <w:t xml:space="preserve"> </w:t>
      </w:r>
      <w:r>
        <w:t xml:space="preserve">are shown differently in</w:t>
      </w:r>
      <w:r>
        <w:t xml:space="preserve"> </w:t>
      </w:r>
      <w:hyperlink w:anchor="fig-salvload">
        <w:r>
          <w:rPr>
            <w:rStyle w:val="Hyperlink"/>
          </w:rPr>
          <w:t xml:space="preserve">Figure 4</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4</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4</w:t>
        </w:r>
      </w:hyperlink>
      <w:r>
        <w:t xml:space="preserve">b). The differences in scale between the salinity and loading effects suggest that the former explained more in the variation of chlorophyll-a. Linear trends by bay segment across the period of record also demonstrate that salinity effects through gradual freshening over time have contributed to higher chlorophyll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absolute differences in chlorophyll for the predictions in</w:t>
      </w:r>
      <w:r>
        <w:t xml:space="preserve"> </w:t>
      </w:r>
      <w:hyperlink w:anchor="fig-prdnrm">
        <w:r>
          <w:rPr>
            <w:rStyle w:val="Hyperlink"/>
          </w:rPr>
          <w:t xml:space="preserve">Figure 3</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5</w:t>
        </w:r>
      </w:hyperlink>
      <w:r>
        <w:t xml:space="preserve">, these are the same results as in</w:t>
      </w:r>
      <w:r>
        <w:t xml:space="preserve"> </w:t>
      </w:r>
      <w:hyperlink w:anchor="fig-salvload">
        <w:r>
          <w:rPr>
            <w:rStyle w:val="Hyperlink"/>
          </w:rPr>
          <w:t xml:space="preserve">Figure 4</w:t>
        </w:r>
      </w:hyperlink>
      <w:r>
        <w:t xml:space="preserve"> </w:t>
      </w:r>
      <w:r>
        <w:t xml:space="preserve">but plotted in both dimensions over time). Differences in scale for each plot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tatespace">
        <w:r>
          <w:rPr>
            <w:rStyle w:val="Hyperlink"/>
          </w:rPr>
          <w:t xml:space="preserve">Figure 5</w:t>
        </w:r>
      </w:hyperlink>
      <w:r>
        <w:t xml:space="preserve">b). A shift towards the right on the x-axis for the 2015-2024 grouping suggested loads were also influenced by more oligohaline conditions, but to a lesser degree than the loading effects. Although general trends by annual groupings were shown by the mean effects in</w:t>
      </w:r>
      <w:r>
        <w:t xml:space="preserve"> </w:t>
      </w:r>
      <w:hyperlink w:anchor="fig-statespace">
        <w:r>
          <w:rPr>
            <w:rStyle w:val="Hyperlink"/>
          </w:rPr>
          <w:t xml:space="preserve">Figure 5</w:t>
        </w:r>
      </w:hyperlink>
      <w:r>
        <w:t xml:space="preserve">b, substantial inter-annual variability was shown for some years (</w:t>
      </w:r>
      <w:hyperlink w:anchor="fig-statespace">
        <w:r>
          <w:rPr>
            <w:rStyle w:val="Hyperlink"/>
          </w:rPr>
          <w:t xml:space="preserve">Figure 5</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6</w:t>
        </w:r>
      </w:hyperlink>
      <w:r>
        <w:t xml:space="preserve">a). The left column in</w:t>
      </w:r>
      <w:r>
        <w:t xml:space="preserve"> </w:t>
      </w:r>
      <w:hyperlink w:anchor="fig-simplo">
        <w:r>
          <w:rPr>
            <w:rStyle w:val="Hyperlink"/>
          </w:rPr>
          <w:t xml:space="preserve">Figure 6</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6</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29"/>
    <w:bookmarkEnd w:id="30"/>
    <w:bookmarkStart w:id="32"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managament implications. Mitigating external nutrient loads has been a fundamental approach for estuarine restoration, whereas salinity controls typically are not. In anticipation of future salinity conditions, existing management paradigms may not be as effective as in the past to maintain water quality.</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20% in fifty years to an overall likelihood of 56%. These increases must also be considered relative to potential future loading trends if no actions are taken to mitigate sources. Although total loads across all sources in OTB have been relatively stable since 1985 (with subsantial inter-annual variability),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was influenced by both salinity and loading, 2) MTB was influenced primarily by salinity, and 3) LTB was influenced by neither. These relationships were also variable over time, particularly in OTB and HB, where pure loading effects appear to have recently increased in importance. This result has management implications for both bay segments, particularly for OTB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4</w:t>
        </w:r>
      </w:hyperlink>
      <w:r>
        <w:t xml:space="preserve"> </w:t>
      </w:r>
      <w:r>
        <w:t xml:space="preserve">and</w:t>
      </w:r>
      <w:r>
        <w:t xml:space="preserve"> </w:t>
      </w:r>
      <w:hyperlink w:anchor="fig-statespace">
        <w:r>
          <w:rPr>
            <w:rStyle w:val="Hyperlink"/>
          </w:rPr>
          <w:t xml:space="preserve">5</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w:t>
      </w:r>
      <w:r>
        <w:t xml:space="preserve"> </w:t>
      </w:r>
      <w:r>
        <w:t xml:space="preserve">(e.g., Hagy et al. 2000; Meyers et al. 2015)</w:t>
      </w:r>
      <w:r>
        <w:t xml:space="preserve">. Lower salinity not only suggests greater freshwater inputs, but is also likely associated with higher residence time with reduced flushing and tidal exchange. Such periods of time could be visually interpreted from</w:t>
      </w:r>
      <w:r>
        <w:t xml:space="preserve"> </w:t>
      </w:r>
      <w:hyperlink w:anchor="fig-prdnrm">
        <w:r>
          <w:rPr>
            <w:rStyle w:val="Hyperlink"/>
          </w:rPr>
          <w:t xml:space="preserve">Figure 3</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w:t>
      </w:r>
      <w:r>
        <w:t xml:space="preserve"> </w:t>
      </w:r>
      <w:r>
        <w:t xml:space="preserve">(but see, Murphy et al. 2021; Schramm 2023)</w:t>
      </w:r>
      <w:r>
        <w:t xml:space="preserve">.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t>
      </w:r>
      <w:r>
        <w:t xml:space="preserve">While mechanistic models will continue to serve an important role in this capacity,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w:t>
      </w:r>
      <w:r>
        <w:t xml:space="preserve"> </w:t>
      </w:r>
      <w:r>
        <w:t xml:space="preserve">(Avery Jr et al. 2004; Chen, Hu, Conmy, et al. 2007)</w:t>
      </w:r>
      <w:r>
        <w:t xml:space="preserve">. The effects of these events on light attenuation and seagrass growth are not well understood in Tampa Bay.</w:t>
      </w:r>
    </w:p>
    <w:bookmarkStart w:id="31"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managment paradigms should be assessed relative to changing baselines.</w:t>
      </w:r>
    </w:p>
    <w:p>
      <w:r>
        <w:br w:type="page"/>
      </w:r>
    </w:p>
    <w:bookmarkEnd w:id="31"/>
    <w:bookmarkEnd w:id="32"/>
    <w:bookmarkStart w:id="5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map"/>
          <w:p>
            <w:pPr>
              <w:pStyle w:val="Compact"/>
              <w:jc w:val="center"/>
            </w:pPr>
            <w:r>
              <w:drawing>
                <wp:inline>
                  <wp:extent cx="3669832" cy="4587290"/>
                  <wp:effectExtent b="0" l="0" r="0" t="0"/>
                  <wp:docPr descr="" title="" id="34" name="Picture"/>
                  <a:graphic>
                    <a:graphicData uri="http://schemas.openxmlformats.org/drawingml/2006/picture">
                      <pic:pic>
                        <pic:nvPicPr>
                          <pic:cNvPr descr="figs/map.png" id="35" name="Picture"/>
                          <pic:cNvPicPr>
                            <a:picLocks noChangeArrowheads="1" noChangeAspect="1"/>
                          </pic:cNvPicPr>
                        </pic:nvPicPr>
                        <pic:blipFill>
                          <a:blip r:embed="rId33"/>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obsprd"/>
          <w:p>
            <w:pPr>
              <w:pStyle w:val="Compact"/>
              <w:jc w:val="center"/>
            </w:pPr>
            <w:r>
              <w:drawing>
                <wp:inline>
                  <wp:extent cx="5943600" cy="6686549"/>
                  <wp:effectExtent b="0" l="0" r="0" t="0"/>
                  <wp:docPr descr="" title="" id="38" name="Picture"/>
                  <a:graphic>
                    <a:graphicData uri="http://schemas.openxmlformats.org/drawingml/2006/picture">
                      <pic:pic>
                        <pic:nvPicPr>
                          <pic:cNvPr descr="figs/obsprd.png" id="39" name="Picture"/>
                          <pic:cNvPicPr>
                            <a:picLocks noChangeArrowheads="1" noChangeAspect="1"/>
                          </pic:cNvPicPr>
                        </pic:nvPicPr>
                        <pic:blipFill>
                          <a:blip r:embed="rId37"/>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2: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prdnrm"/>
          <w:p>
            <w:pPr>
              <w:pStyle w:val="Compact"/>
              <w:jc w:val="center"/>
            </w:pPr>
            <w:r>
              <w:drawing>
                <wp:inline>
                  <wp:extent cx="5943600" cy="4245428"/>
                  <wp:effectExtent b="0" l="0" r="0" t="0"/>
                  <wp:docPr descr="" title="" id="42" name="Picture"/>
                  <a:graphic>
                    <a:graphicData uri="http://schemas.openxmlformats.org/drawingml/2006/picture">
                      <pic:pic>
                        <pic:nvPicPr>
                          <pic:cNvPr descr="figs/prdnrm.png" id="43" name="Picture"/>
                          <pic:cNvPicPr>
                            <a:picLocks noChangeArrowheads="1" noChangeAspect="1"/>
                          </pic:cNvPicPr>
                        </pic:nvPicPr>
                        <pic:blipFill>
                          <a:blip r:embed="rId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3: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salvload"/>
          <w:p>
            <w:pPr>
              <w:pStyle w:val="Compact"/>
              <w:jc w:val="center"/>
            </w:pPr>
            <w:r>
              <w:drawing>
                <wp:inline>
                  <wp:extent cx="5943600" cy="5094514"/>
                  <wp:effectExtent b="0" l="0" r="0" t="0"/>
                  <wp:docPr descr="" title="" id="46" name="Picture"/>
                  <a:graphic>
                    <a:graphicData uri="http://schemas.openxmlformats.org/drawingml/2006/picture">
                      <pic:pic>
                        <pic:nvPicPr>
                          <pic:cNvPr descr="figs/salvload.png" id="47" name="Picture"/>
                          <pic:cNvPicPr>
                            <a:picLocks noChangeArrowheads="1" noChangeAspect="1"/>
                          </pic:cNvPicPr>
                        </pic:nvPicPr>
                        <pic:blipFill>
                          <a:blip r:embed="rId45"/>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4: Unique effects of salinity (a) and loading (b) on chlorophyll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tatespace"/>
          <w:p>
            <w:pPr>
              <w:pStyle w:val="Compact"/>
              <w:jc w:val="center"/>
            </w:pPr>
            <w:r>
              <w:drawing>
                <wp:inline>
                  <wp:extent cx="5943600" cy="7528559"/>
                  <wp:effectExtent b="0" l="0" r="0" t="0"/>
                  <wp:docPr descr="" title="" id="50" name="Picture"/>
                  <a:graphic>
                    <a:graphicData uri="http://schemas.openxmlformats.org/drawingml/2006/picture">
                      <pic:pic>
                        <pic:nvPicPr>
                          <pic:cNvPr descr="figs/statespace.png" id="51" name="Picture"/>
                          <pic:cNvPicPr>
                            <a:picLocks noChangeArrowheads="1" noChangeAspect="1"/>
                          </pic:cNvPicPr>
                        </pic:nvPicPr>
                        <pic:blipFill>
                          <a:blip r:embed="rId49"/>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5: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simplo"/>
          <w:p>
            <w:pPr>
              <w:pStyle w:val="Compact"/>
              <w:jc w:val="center"/>
            </w:pPr>
            <w:r>
              <w:drawing>
                <wp:inline>
                  <wp:extent cx="5943600" cy="5943600"/>
                  <wp:effectExtent b="0" l="0" r="0" t="0"/>
                  <wp:docPr descr="" title="" id="54" name="Picture"/>
                  <a:graphic>
                    <a:graphicData uri="http://schemas.openxmlformats.org/drawingml/2006/picture">
                      <pic:pic>
                        <pic:nvPicPr>
                          <pic:cNvPr descr="figs/simplo.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6: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56"/>
        </w:tc>
      </w:tr>
    </w:tbl>
    <w:p>
      <w:r>
        <w:br w:type="page"/>
      </w:r>
    </w:p>
    <w:bookmarkEnd w:id="57"/>
    <w:bookmarkStart w:id="6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8"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84848"/>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23232"/>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0707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86868"/>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11111"/>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B3B3B"/>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9595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B4B4B"/>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9292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E0E0E"/>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3333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32323"/>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D3D3D"/>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4141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E2E2E"/>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0.44</w:t>
                  </w:r>
                </w:p>
              </w:tc>
            </w:tr>
          </w:tbl>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474"/>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1.15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08080"/>
                    </w:rPr>
                    <w:t xml:space="preserve">1.37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78787"/>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0.35</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1.04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27272"/>
                    </w:rPr>
                    <w:t xml:space="preserve">1.82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1.65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17171"/>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1.76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0.72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5.04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A2A2A"/>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292929"/>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92929"/>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73737"/>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1A1A1A"/>
                    </w:rPr>
                    <w:t xml:space="preserve">1.25</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C6C6C"/>
                    </w:rPr>
                    <w:t xml:space="preserve">1.13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64646"/>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D6D6D"/>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1.52</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1.55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8585"/>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38383"/>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0.15</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0.10</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9393"/>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9494"/>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bl>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1"/>
        </w:tc>
      </w:tr>
    </w:tbl>
    <w:p>
      <w:r>
        <w:br w:type="page"/>
      </w:r>
    </w:p>
    <w:bookmarkEnd w:id="62"/>
    <w:bookmarkStart w:id="64"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3">
        <w:r>
          <w:rPr>
            <w:rStyle w:val="Hyperlink"/>
          </w:rPr>
          <w:t xml:space="preserve">https://github.com/tbep-tech/chlhydro-manu</w:t>
        </w:r>
      </w:hyperlink>
      <w:r>
        <w:t xml:space="preserve">.</w:t>
      </w:r>
    </w:p>
    <w:bookmarkEnd w:id="64"/>
    <w:bookmarkStart w:id="65"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5"/>
    <w:bookmarkStart w:id="69" w:name="statements-and-declarations"/>
    <w:p>
      <w:pPr>
        <w:pStyle w:val="Heading2"/>
      </w:pPr>
      <w:r>
        <w:t xml:space="preserve">Statements and Declarations</w:t>
      </w:r>
    </w:p>
    <w:bookmarkStart w:id="66"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6"/>
    <w:bookmarkStart w:id="67"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7"/>
    <w:bookmarkStart w:id="68"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8"/>
    <w:bookmarkEnd w:id="69"/>
    <w:bookmarkStart w:id="141" w:name="references"/>
    <w:p>
      <w:pPr>
        <w:pStyle w:val="Heading2"/>
      </w:pPr>
      <w:r>
        <w:t xml:space="preserve">References</w:t>
      </w:r>
    </w:p>
    <w:bookmarkStart w:id="140" w:name="refs"/>
    <w:bookmarkStart w:id="71"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0">
        <w:r>
          <w:rPr>
            <w:rStyle w:val="Hyperlink"/>
          </w:rPr>
          <w:t xml:space="preserve">https://doi.org/10.1029/2004GB002229</w:t>
        </w:r>
      </w:hyperlink>
      <w:r>
        <w:t xml:space="preserve">.</w:t>
      </w:r>
    </w:p>
    <w:bookmarkEnd w:id="71"/>
    <w:bookmarkStart w:id="73"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2">
        <w:r>
          <w:rPr>
            <w:rStyle w:val="Hyperlink"/>
          </w:rPr>
          <w:t xml:space="preserve">https://doi.org/10.1016/j.scitotenv.2021.149927</w:t>
        </w:r>
      </w:hyperlink>
      <w:r>
        <w:t xml:space="preserve">.</w:t>
      </w:r>
    </w:p>
    <w:bookmarkEnd w:id="73"/>
    <w:bookmarkStart w:id="75"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74">
        <w:r>
          <w:rPr>
            <w:rStyle w:val="Hyperlink"/>
          </w:rPr>
          <w:t xml:space="preserve">https://doi.org/10.1007/s12237-024-01385-0</w:t>
        </w:r>
      </w:hyperlink>
      <w:r>
        <w:t xml:space="preserve">.</w:t>
      </w:r>
    </w:p>
    <w:bookmarkEnd w:id="75"/>
    <w:bookmarkStart w:id="77"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6">
        <w:r>
          <w:rPr>
            <w:rStyle w:val="Hyperlink"/>
          </w:rPr>
          <w:t xml:space="preserve">https://doi.org/10.1111/1752-1688.12489</w:t>
        </w:r>
      </w:hyperlink>
      <w:r>
        <w:t xml:space="preserve">.</w:t>
      </w:r>
    </w:p>
    <w:bookmarkEnd w:id="77"/>
    <w:bookmarkStart w:id="79"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78">
        <w:r>
          <w:rPr>
            <w:rStyle w:val="Hyperlink"/>
          </w:rPr>
          <w:t xml:space="preserve">https://doi.org/10.13031/2013.21742</w:t>
        </w:r>
      </w:hyperlink>
      <w:r>
        <w:t xml:space="preserve">.</w:t>
      </w:r>
    </w:p>
    <w:bookmarkEnd w:id="79"/>
    <w:bookmarkStart w:id="81"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0">
        <w:r>
          <w:rPr>
            <w:rStyle w:val="Hyperlink"/>
          </w:rPr>
          <w:t xml:space="preserve">https://doi.org/10.1021/es011246m</w:t>
        </w:r>
      </w:hyperlink>
      <w:r>
        <w:t xml:space="preserve">.</w:t>
      </w:r>
    </w:p>
    <w:bookmarkEnd w:id="81"/>
    <w:bookmarkStart w:id="82"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82"/>
    <w:bookmarkStart w:id="84"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83">
        <w:r>
          <w:rPr>
            <w:rStyle w:val="Hyperlink"/>
          </w:rPr>
          <w:t xml:space="preserve">https://doi.org/10.1016/j.marchem.2006.12.007</w:t>
        </w:r>
      </w:hyperlink>
      <w:r>
        <w:t xml:space="preserve">.</w:t>
      </w:r>
    </w:p>
    <w:bookmarkEnd w:id="84"/>
    <w:bookmarkStart w:id="86"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85">
        <w:r>
          <w:rPr>
            <w:rStyle w:val="Hyperlink"/>
          </w:rPr>
          <w:t xml:space="preserve">https://doi.org/10.1016/j.rse.2006.12.019</w:t>
        </w:r>
      </w:hyperlink>
      <w:r>
        <w:t xml:space="preserve">.</w:t>
      </w:r>
    </w:p>
    <w:bookmarkEnd w:id="86"/>
    <w:bookmarkStart w:id="87"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87"/>
    <w:bookmarkStart w:id="89"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88">
        <w:r>
          <w:rPr>
            <w:rStyle w:val="Hyperlink"/>
          </w:rPr>
          <w:t xml:space="preserve">https://doi.org/10.2307/1353325</w:t>
        </w:r>
      </w:hyperlink>
      <w:r>
        <w:t xml:space="preserve">.</w:t>
      </w:r>
    </w:p>
    <w:bookmarkEnd w:id="89"/>
    <w:bookmarkStart w:id="90"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90"/>
    <w:bookmarkStart w:id="92" w:name="ref-tbep0696"/>
    <w:p>
      <w:pPr>
        <w:pStyle w:val="Bibliography"/>
      </w:pPr>
      <w:r>
        <w:t xml:space="preserve">Janicki, A. J., and D. L. Wade. 1996.</w:t>
      </w:r>
      <w:r>
        <w:t xml:space="preserve"> </w:t>
      </w:r>
      <w:hyperlink r:id="rId91">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92"/>
    <w:bookmarkStart w:id="94" w:name="ref-tbep0400"/>
    <w:p>
      <w:pPr>
        <w:pStyle w:val="Bibliography"/>
      </w:pPr>
      <w:r>
        <w:t xml:space="preserve">Janicki, A. J., D. L. Wade, and J. R. Pribble. 2000.</w:t>
      </w:r>
      <w:r>
        <w:t xml:space="preserve"> </w:t>
      </w:r>
      <w:hyperlink r:id="rId93">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94"/>
    <w:bookmarkStart w:id="96" w:name="ref-tbep1115"/>
    <w:p>
      <w:pPr>
        <w:pStyle w:val="Bibliography"/>
      </w:pPr>
      <w:r>
        <w:t xml:space="preserve">Janicki Environmental, Inc. 2015.</w:t>
      </w:r>
      <w:r>
        <w:t xml:space="preserve"> </w:t>
      </w:r>
      <w:hyperlink r:id="rId95">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96"/>
    <w:bookmarkStart w:id="98" w:name="ref-tbep0623"/>
    <w:p>
      <w:pPr>
        <w:pStyle w:val="Bibliography"/>
      </w:pPr>
      <w:r>
        <w:t xml:space="preserve">Janicki Environmental, Inc. 2023.</w:t>
      </w:r>
      <w:r>
        <w:t xml:space="preserve"> </w:t>
      </w:r>
      <w:hyperlink r:id="rId97">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98"/>
    <w:bookmarkStart w:id="100" w:name="ref-tbep0622"/>
    <w:p>
      <w:pPr>
        <w:pStyle w:val="Bibliography"/>
      </w:pPr>
      <w:r>
        <w:t xml:space="preserve">Johansson, J. O. R. 2022.</w:t>
      </w:r>
      <w:r>
        <w:t xml:space="preserve"> </w:t>
      </w:r>
      <w:hyperlink r:id="rId99">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00"/>
    <w:bookmarkStart w:id="102"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01">
        <w:r>
          <w:rPr>
            <w:rStyle w:val="Hyperlink"/>
          </w:rPr>
          <w:t xml:space="preserve">https://doi.org/10.1016/j.jembe.2009.10.014</w:t>
        </w:r>
      </w:hyperlink>
      <w:r>
        <w:t xml:space="preserve">.</w:t>
      </w:r>
    </w:p>
    <w:bookmarkEnd w:id="102"/>
    <w:bookmarkStart w:id="104"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03">
        <w:r>
          <w:rPr>
            <w:rStyle w:val="Hyperlink"/>
          </w:rPr>
          <w:t xml:space="preserve">https://doi.org/10.1016/j.ecss.2012.09.017</w:t>
        </w:r>
      </w:hyperlink>
      <w:r>
        <w:t xml:space="preserve">.</w:t>
      </w:r>
    </w:p>
    <w:bookmarkEnd w:id="104"/>
    <w:bookmarkStart w:id="106" w:name="ref-luther2022"/>
    <w:p>
      <w:pPr>
        <w:pStyle w:val="Bibliography"/>
      </w:pPr>
      <w:r>
        <w:t xml:space="preserve">Luther, M. E., and S. D. Meyers. 2022.</w:t>
      </w:r>
      <w:r>
        <w:t xml:space="preserve"> </w:t>
      </w:r>
      <w:hyperlink r:id="rId105">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06"/>
    <w:bookmarkStart w:id="108"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07">
        <w:r>
          <w:rPr>
            <w:rStyle w:val="Hyperlink"/>
          </w:rPr>
          <w:t xml:space="preserve">https://doi.org/10.1002/2014JC010342</w:t>
        </w:r>
      </w:hyperlink>
      <w:r>
        <w:t xml:space="preserve">.</w:t>
      </w:r>
    </w:p>
    <w:bookmarkEnd w:id="108"/>
    <w:bookmarkStart w:id="10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09"/>
    <w:bookmarkStart w:id="111"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10">
        <w:r>
          <w:rPr>
            <w:rStyle w:val="Hyperlink"/>
          </w:rPr>
          <w:t xml:space="preserve">https://doi.org/10.1021/acs.est.1c05388</w:t>
        </w:r>
      </w:hyperlink>
      <w:r>
        <w:t xml:space="preserve">.</w:t>
      </w:r>
    </w:p>
    <w:bookmarkEnd w:id="111"/>
    <w:bookmarkStart w:id="113"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12">
        <w:r>
          <w:rPr>
            <w:rStyle w:val="Hyperlink"/>
          </w:rPr>
          <w:t xml:space="preserve">https://doi.org/10.1016/j.envsoft.2019.03.027</w:t>
        </w:r>
      </w:hyperlink>
      <w:r>
        <w:t xml:space="preserve">.</w:t>
      </w:r>
    </w:p>
    <w:bookmarkEnd w:id="113"/>
    <w:bookmarkStart w:id="114"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14"/>
    <w:bookmarkStart w:id="116"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15">
        <w:r>
          <w:rPr>
            <w:rStyle w:val="Hyperlink"/>
          </w:rPr>
          <w:t xml:space="preserve">https://doi.org/10.7717/peerj.16073</w:t>
        </w:r>
      </w:hyperlink>
      <w:r>
        <w:t xml:space="preserve">.</w:t>
      </w:r>
    </w:p>
    <w:bookmarkEnd w:id="116"/>
    <w:bookmarkStart w:id="118"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17">
        <w:r>
          <w:rPr>
            <w:rStyle w:val="Hyperlink"/>
          </w:rPr>
          <w:t xml:space="preserve">https://doi.org/10.1353/sgo.2017.0026</w:t>
        </w:r>
      </w:hyperlink>
      <w:r>
        <w:t xml:space="preserve">.</w:t>
      </w:r>
    </w:p>
    <w:bookmarkEnd w:id="118"/>
    <w:bookmarkStart w:id="120"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19">
        <w:r>
          <w:rPr>
            <w:rStyle w:val="Hyperlink"/>
          </w:rPr>
          <w:t xml:space="preserve">https://doi.org/10.32614/CRAN.package.gratia</w:t>
        </w:r>
      </w:hyperlink>
      <w:r>
        <w:t xml:space="preserve">.</w:t>
      </w:r>
    </w:p>
    <w:bookmarkEnd w:id="120"/>
    <w:bookmarkStart w:id="122" w:name="ref-SWFWMD25"/>
    <w:p>
      <w:pPr>
        <w:pStyle w:val="Bibliography"/>
      </w:pPr>
      <w:r>
        <w:t xml:space="preserve">Southwest Florida Water Management District. 2025.</w:t>
      </w:r>
      <w:r>
        <w:t xml:space="preserve"> </w:t>
      </w:r>
      <w:hyperlink r:id="rId121">
        <w:r>
          <w:rPr>
            <w:rStyle w:val="Hyperlink"/>
          </w:rPr>
          <w:t xml:space="preserve">2023 land use land cover shapefile for SWFWMD</w:t>
        </w:r>
      </w:hyperlink>
      <w:r>
        <w:t xml:space="preserve">.</w:t>
      </w:r>
    </w:p>
    <w:bookmarkEnd w:id="122"/>
    <w:bookmarkStart w:id="124"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23">
        <w:r>
          <w:rPr>
            <w:rStyle w:val="Hyperlink"/>
          </w:rPr>
          <w:t xml:space="preserve">https://doi.org/10.1016/j.scitotenv.2011.09.088</w:t>
        </w:r>
      </w:hyperlink>
      <w:r>
        <w:t xml:space="preserve">.</w:t>
      </w:r>
    </w:p>
    <w:bookmarkEnd w:id="124"/>
    <w:bookmarkStart w:id="126" w:name="ref-tbep0310"/>
    <w:p>
      <w:pPr>
        <w:pStyle w:val="Bibliography"/>
      </w:pPr>
      <w:r>
        <w:t xml:space="preserve">Tampa Bay Nitrogen Management Consortium. 2010.</w:t>
      </w:r>
      <w:r>
        <w:t xml:space="preserve"> </w:t>
      </w:r>
      <w:hyperlink r:id="rId125">
        <w:r>
          <w:rPr>
            <w:rStyle w:val="Hyperlink"/>
            <w:i/>
            <w:iCs/>
          </w:rPr>
          <w:t xml:space="preserve">2009 reasonable assurance addendum: Allocation and assessment report</w:t>
        </w:r>
      </w:hyperlink>
      <w:r>
        <w:t xml:space="preserve">. Technical report 03-10. St. Petersburg, Florida: Tampa Bay Estuary Program.</w:t>
      </w:r>
    </w:p>
    <w:bookmarkEnd w:id="126"/>
    <w:bookmarkStart w:id="128"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27">
        <w:r>
          <w:rPr>
            <w:rStyle w:val="Hyperlink"/>
          </w:rPr>
          <w:t xml:space="preserve">https://doi.org/10.1111/1752-1688.70070</w:t>
        </w:r>
      </w:hyperlink>
      <w:r>
        <w:t xml:space="preserve">.</w:t>
      </w:r>
    </w:p>
    <w:bookmarkEnd w:id="128"/>
    <w:bookmarkStart w:id="130"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29">
        <w:r>
          <w:rPr>
            <w:rStyle w:val="Hyperlink"/>
          </w:rPr>
          <w:t xml:space="preserve">https://doi.org/10.1007/978-0-387-21706-2</w:t>
        </w:r>
      </w:hyperlink>
      <w:r>
        <w:t xml:space="preserve">.</w:t>
      </w:r>
    </w:p>
    <w:bookmarkEnd w:id="130"/>
    <w:bookmarkStart w:id="132"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31">
        <w:r>
          <w:rPr>
            <w:rStyle w:val="Hyperlink"/>
          </w:rPr>
          <w:t xml:space="preserve">https://doi.org/10.1016/j.jhydrol.2025.134851</w:t>
        </w:r>
      </w:hyperlink>
      <w:r>
        <w:t xml:space="preserve">.</w:t>
      </w:r>
    </w:p>
    <w:bookmarkEnd w:id="132"/>
    <w:bookmarkStart w:id="134"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33">
        <w:r>
          <w:rPr>
            <w:rStyle w:val="Hyperlink"/>
          </w:rPr>
          <w:t xml:space="preserve">https://doi.org/10.1111/j.1467-9868.2010.00749.x</w:t>
        </w:r>
      </w:hyperlink>
      <w:r>
        <w:t xml:space="preserve">.</w:t>
      </w:r>
    </w:p>
    <w:bookmarkEnd w:id="134"/>
    <w:bookmarkStart w:id="135"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35"/>
    <w:bookmarkStart w:id="137"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36">
        <w:r>
          <w:rPr>
            <w:rStyle w:val="Hyperlink"/>
          </w:rPr>
          <w:t xml:space="preserve">https://doi.org/10.1061/(ASCE)0733-9496(2003)129:4(295)</w:t>
        </w:r>
      </w:hyperlink>
      <w:r>
        <w:t xml:space="preserve">.</w:t>
      </w:r>
    </w:p>
    <w:bookmarkEnd w:id="137"/>
    <w:bookmarkStart w:id="139" w:name="ref-tbep0494"/>
    <w:p>
      <w:pPr>
        <w:pStyle w:val="Bibliography"/>
      </w:pPr>
      <w:r>
        <w:t xml:space="preserve">Zarbock, H. W., A. J. Janicki, D. L. Wade, and D. G. Heimbuch. 1994.</w:t>
      </w:r>
      <w:r>
        <w:t xml:space="preserve"> </w:t>
      </w:r>
      <w:hyperlink r:id="rId13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39"/>
    <w:bookmarkEnd w:id="140"/>
    <w:bookmarkEnd w:id="14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hyperlink" Id="rId107" Target="https://doi.org/10.1002/2014JC010342" TargetMode="External" /><Relationship Type="http://schemas.openxmlformats.org/officeDocument/2006/relationships/hyperlink" Id="rId129" Target="https://doi.org/10.1007/978-0-387-21706-2" TargetMode="External" /><Relationship Type="http://schemas.openxmlformats.org/officeDocument/2006/relationships/hyperlink" Id="rId74" Target="https://doi.org/10.1007/s12237-024-01385-0" TargetMode="External" /><Relationship Type="http://schemas.openxmlformats.org/officeDocument/2006/relationships/hyperlink" Id="rId103" Target="https://doi.org/10.1016/j.ecss.2012.09.017" TargetMode="External" /><Relationship Type="http://schemas.openxmlformats.org/officeDocument/2006/relationships/hyperlink" Id="rId112" Target="https://doi.org/10.1016/j.envsoft.2019.03.027" TargetMode="External" /><Relationship Type="http://schemas.openxmlformats.org/officeDocument/2006/relationships/hyperlink" Id="rId101" Target="https://doi.org/10.1016/j.jembe.2009.10.014" TargetMode="External" /><Relationship Type="http://schemas.openxmlformats.org/officeDocument/2006/relationships/hyperlink" Id="rId131" Target="https://doi.org/10.1016/j.jhydrol.2025.134851" TargetMode="External" /><Relationship Type="http://schemas.openxmlformats.org/officeDocument/2006/relationships/hyperlink" Id="rId83" Target="https://doi.org/10.1016/j.marchem.2006.12.007" TargetMode="External" /><Relationship Type="http://schemas.openxmlformats.org/officeDocument/2006/relationships/hyperlink" Id="rId85" Target="https://doi.org/10.1016/j.rse.2006.12.019" TargetMode="External" /><Relationship Type="http://schemas.openxmlformats.org/officeDocument/2006/relationships/hyperlink" Id="rId123" Target="https://doi.org/10.1016/j.scitotenv.2011.09.088" TargetMode="External" /><Relationship Type="http://schemas.openxmlformats.org/officeDocument/2006/relationships/hyperlink" Id="rId72" Target="https://doi.org/10.1016/j.scitotenv.2021.149927" TargetMode="External" /><Relationship Type="http://schemas.openxmlformats.org/officeDocument/2006/relationships/hyperlink" Id="rId110" Target="https://doi.org/10.1021/acs.est.1c05388" TargetMode="External" /><Relationship Type="http://schemas.openxmlformats.org/officeDocument/2006/relationships/hyperlink" Id="rId80" Target="https://doi.org/10.1021/es011246m" TargetMode="External" /><Relationship Type="http://schemas.openxmlformats.org/officeDocument/2006/relationships/hyperlink" Id="rId70" Target="https://doi.org/10.1029/2004GB002229" TargetMode="External" /><Relationship Type="http://schemas.openxmlformats.org/officeDocument/2006/relationships/hyperlink" Id="rId136" Target="https://doi.org/10.1061/(ASCE)0733-9496(2003)129:4(295)" TargetMode="External" /><Relationship Type="http://schemas.openxmlformats.org/officeDocument/2006/relationships/hyperlink" Id="rId76" Target="https://doi.org/10.1111/1752-1688.12489" TargetMode="External" /><Relationship Type="http://schemas.openxmlformats.org/officeDocument/2006/relationships/hyperlink" Id="rId127" Target="https://doi.org/10.1111/1752-1688.70070" TargetMode="External" /><Relationship Type="http://schemas.openxmlformats.org/officeDocument/2006/relationships/hyperlink" Id="rId133" Target="https://doi.org/10.1111/j.1467-9868.2010.00749.x" TargetMode="External" /><Relationship Type="http://schemas.openxmlformats.org/officeDocument/2006/relationships/hyperlink" Id="rId78" Target="https://doi.org/10.13031/2013.21742" TargetMode="External" /><Relationship Type="http://schemas.openxmlformats.org/officeDocument/2006/relationships/hyperlink" Id="rId117" Target="https://doi.org/10.1353/sgo.2017.0026" TargetMode="External" /><Relationship Type="http://schemas.openxmlformats.org/officeDocument/2006/relationships/hyperlink" Id="rId88" Target="https://doi.org/10.2307/1353325" TargetMode="External" /><Relationship Type="http://schemas.openxmlformats.org/officeDocument/2006/relationships/hyperlink" Id="rId119" Target="https://doi.org/10.32614/CRAN.package.gratia" TargetMode="External" /><Relationship Type="http://schemas.openxmlformats.org/officeDocument/2006/relationships/hyperlink" Id="rId115" Target="https://doi.org/10.7717/peerj.16073" TargetMode="External" /><Relationship Type="http://schemas.openxmlformats.org/officeDocument/2006/relationships/hyperlink" Id="rId95" Target="https://drive.google.com/drive/folders/1-vIRAsuZQmQEXZk-0FwqsjhSex0GDu7-?usp=sharing" TargetMode="External" /><Relationship Type="http://schemas.openxmlformats.org/officeDocument/2006/relationships/hyperlink" Id="rId105" Target="https://drive.google.com/file/d/1-1Jq9vly5EvVwEp698brlBucXjSMDbNn/view?usp=sharing" TargetMode="External" /><Relationship Type="http://schemas.openxmlformats.org/officeDocument/2006/relationships/hyperlink" Id="rId125" Target="https://drive.google.com/file/d/10IjJAfcGFf007a5VdPXAUtUi4dx-cmsA/view?usp=drivesdk" TargetMode="External" /><Relationship Type="http://schemas.openxmlformats.org/officeDocument/2006/relationships/hyperlink" Id="rId97" Target="https://drive.google.com/file/d/1KARuSC5fGx05MuT1wiOQFWNXysBokkQl/view?usp=share_link" TargetMode="External" /><Relationship Type="http://schemas.openxmlformats.org/officeDocument/2006/relationships/hyperlink" Id="rId93" Target="https://drive.google.com/file/d/1XMULU8w4syWcSv_ciOUOhnC_G4xt6GIF/view?usp=drivesdk" TargetMode="External" /><Relationship Type="http://schemas.openxmlformats.org/officeDocument/2006/relationships/hyperlink" Id="rId91" Target="https://drive.google.com/file/d/1kZkvuprvsMyN9nPS5PHYvXHyo1KQxKTr/view?usp=drivesdk" TargetMode="External" /><Relationship Type="http://schemas.openxmlformats.org/officeDocument/2006/relationships/hyperlink" Id="rId99" Target="https://drive.google.com/file/d/1qaM852mkVkRyjwU8yZjlmZqMy1ROpcZi/view?usp=sharing" TargetMode="External" /><Relationship Type="http://schemas.openxmlformats.org/officeDocument/2006/relationships/hyperlink" Id="rId138"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12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2014JC010342" TargetMode="External" /><Relationship Type="http://schemas.openxmlformats.org/officeDocument/2006/relationships/hyperlink" Id="rId129" Target="https://doi.org/10.1007/978-0-387-21706-2" TargetMode="External" /><Relationship Type="http://schemas.openxmlformats.org/officeDocument/2006/relationships/hyperlink" Id="rId74" Target="https://doi.org/10.1007/s12237-024-01385-0" TargetMode="External" /><Relationship Type="http://schemas.openxmlformats.org/officeDocument/2006/relationships/hyperlink" Id="rId103" Target="https://doi.org/10.1016/j.ecss.2012.09.017" TargetMode="External" /><Relationship Type="http://schemas.openxmlformats.org/officeDocument/2006/relationships/hyperlink" Id="rId112" Target="https://doi.org/10.1016/j.envsoft.2019.03.027" TargetMode="External" /><Relationship Type="http://schemas.openxmlformats.org/officeDocument/2006/relationships/hyperlink" Id="rId101" Target="https://doi.org/10.1016/j.jembe.2009.10.014" TargetMode="External" /><Relationship Type="http://schemas.openxmlformats.org/officeDocument/2006/relationships/hyperlink" Id="rId131" Target="https://doi.org/10.1016/j.jhydrol.2025.134851" TargetMode="External" /><Relationship Type="http://schemas.openxmlformats.org/officeDocument/2006/relationships/hyperlink" Id="rId83" Target="https://doi.org/10.1016/j.marchem.2006.12.007" TargetMode="External" /><Relationship Type="http://schemas.openxmlformats.org/officeDocument/2006/relationships/hyperlink" Id="rId85" Target="https://doi.org/10.1016/j.rse.2006.12.019" TargetMode="External" /><Relationship Type="http://schemas.openxmlformats.org/officeDocument/2006/relationships/hyperlink" Id="rId123" Target="https://doi.org/10.1016/j.scitotenv.2011.09.088" TargetMode="External" /><Relationship Type="http://schemas.openxmlformats.org/officeDocument/2006/relationships/hyperlink" Id="rId72" Target="https://doi.org/10.1016/j.scitotenv.2021.149927" TargetMode="External" /><Relationship Type="http://schemas.openxmlformats.org/officeDocument/2006/relationships/hyperlink" Id="rId110" Target="https://doi.org/10.1021/acs.est.1c05388" TargetMode="External" /><Relationship Type="http://schemas.openxmlformats.org/officeDocument/2006/relationships/hyperlink" Id="rId80" Target="https://doi.org/10.1021/es011246m" TargetMode="External" /><Relationship Type="http://schemas.openxmlformats.org/officeDocument/2006/relationships/hyperlink" Id="rId70" Target="https://doi.org/10.1029/2004GB002229" TargetMode="External" /><Relationship Type="http://schemas.openxmlformats.org/officeDocument/2006/relationships/hyperlink" Id="rId136" Target="https://doi.org/10.1061/(ASCE)0733-9496(2003)129:4(295)" TargetMode="External" /><Relationship Type="http://schemas.openxmlformats.org/officeDocument/2006/relationships/hyperlink" Id="rId76" Target="https://doi.org/10.1111/1752-1688.12489" TargetMode="External" /><Relationship Type="http://schemas.openxmlformats.org/officeDocument/2006/relationships/hyperlink" Id="rId127" Target="https://doi.org/10.1111/1752-1688.70070" TargetMode="External" /><Relationship Type="http://schemas.openxmlformats.org/officeDocument/2006/relationships/hyperlink" Id="rId133" Target="https://doi.org/10.1111/j.1467-9868.2010.00749.x" TargetMode="External" /><Relationship Type="http://schemas.openxmlformats.org/officeDocument/2006/relationships/hyperlink" Id="rId78" Target="https://doi.org/10.13031/2013.21742" TargetMode="External" /><Relationship Type="http://schemas.openxmlformats.org/officeDocument/2006/relationships/hyperlink" Id="rId117" Target="https://doi.org/10.1353/sgo.2017.0026" TargetMode="External" /><Relationship Type="http://schemas.openxmlformats.org/officeDocument/2006/relationships/hyperlink" Id="rId88" Target="https://doi.org/10.2307/1353325" TargetMode="External" /><Relationship Type="http://schemas.openxmlformats.org/officeDocument/2006/relationships/hyperlink" Id="rId119" Target="https://doi.org/10.32614/CRAN.package.gratia" TargetMode="External" /><Relationship Type="http://schemas.openxmlformats.org/officeDocument/2006/relationships/hyperlink" Id="rId115" Target="https://doi.org/10.7717/peerj.16073" TargetMode="External" /><Relationship Type="http://schemas.openxmlformats.org/officeDocument/2006/relationships/hyperlink" Id="rId95" Target="https://drive.google.com/drive/folders/1-vIRAsuZQmQEXZk-0FwqsjhSex0GDu7-?usp=sharing" TargetMode="External" /><Relationship Type="http://schemas.openxmlformats.org/officeDocument/2006/relationships/hyperlink" Id="rId105" Target="https://drive.google.com/file/d/1-1Jq9vly5EvVwEp698brlBucXjSMDbNn/view?usp=sharing" TargetMode="External" /><Relationship Type="http://schemas.openxmlformats.org/officeDocument/2006/relationships/hyperlink" Id="rId125" Target="https://drive.google.com/file/d/10IjJAfcGFf007a5VdPXAUtUi4dx-cmsA/view?usp=drivesdk" TargetMode="External" /><Relationship Type="http://schemas.openxmlformats.org/officeDocument/2006/relationships/hyperlink" Id="rId97" Target="https://drive.google.com/file/d/1KARuSC5fGx05MuT1wiOQFWNXysBokkQl/view?usp=share_link" TargetMode="External" /><Relationship Type="http://schemas.openxmlformats.org/officeDocument/2006/relationships/hyperlink" Id="rId93" Target="https://drive.google.com/file/d/1XMULU8w4syWcSv_ciOUOhnC_G4xt6GIF/view?usp=drivesdk" TargetMode="External" /><Relationship Type="http://schemas.openxmlformats.org/officeDocument/2006/relationships/hyperlink" Id="rId91" Target="https://drive.google.com/file/d/1kZkvuprvsMyN9nPS5PHYvXHyo1KQxKTr/view?usp=drivesdk" TargetMode="External" /><Relationship Type="http://schemas.openxmlformats.org/officeDocument/2006/relationships/hyperlink" Id="rId99" Target="https://drive.google.com/file/d/1qaM852mkVkRyjwU8yZjlmZqMy1ROpcZi/view?usp=sharing" TargetMode="External" /><Relationship Type="http://schemas.openxmlformats.org/officeDocument/2006/relationships/hyperlink" Id="rId138"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12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2026-02-06T15:54:14Z</dcterms:created>
  <dcterms:modified xsi:type="dcterms:W3CDTF">2026-02-06T15:54:14Z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