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model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for example, provides an exceptional opportunity to evaluate these questions. First, Tampa Bay h 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to the bay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in the face of climate change.</w:t>
      </w:r>
    </w:p>
    <w:p>
      <w:pPr>
        <w:pStyle w:val="BodyText"/>
      </w:pPr>
      <w:r>
        <w:t xml:space="preserve">Herein, we evaluate the competing association of nutrient loading and salinity on water quality dynamics in Tampa Bay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recevied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directy control growth in the same manner as macro-nutrients</w:t>
      </w:r>
      <w:r>
        <w:t xml:space="preserve"> </w:t>
      </w:r>
      <w:r>
        <w:t xml:space="preserve">(McCorquodale et al. 2009; Lui and Chen 2012)</w:t>
      </w:r>
      <w:r>
        <w:t xml:space="preserve">. Salinity is used herein as a proxy measure for physical factors that may affect phytoplankton comunity dynamics, such as through tidal mixing, residence time, freshwater inputs, or other factors related to circulation. Thus, it is not the direct effect of salinity on algal dynamics that we are exploring, rather we are interested in understanding how changing physical conditions could change the ecology of the bay through the lens of changing salinity. Such changes potentially diminish the effectiveness of conventional management paradigms that focus on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approaches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explicit consideration of the confounding effects of discharge on trend analysis. In estuarine settings, salinity can be used as a conservative tracer in WRTDS to account for the effects of freshwater inputs or circulation to better understand trends in key parameters</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readily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 dynamics. To our knowledge, this is the first application of GAMs for this purpose and the methods herein can be applied in other settings to address similar questions.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that focus on controlling external nutrient loading.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located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due primarily to the shallow depth. The bay is divided into four major segments defined by physical and natural boundaries, with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conditions, wind, and spatial scale. In general, baywide estimates range from 75 (Eulerian) to 159 (Lagrangian) days</w:t>
      </w:r>
      <w:r>
        <w:t xml:space="preserve"> </w:t>
      </w:r>
      <w:r>
        <w:t xml:space="preserve">(Burwell et al. 2000; G. Morrison and Yates 2011)</w:t>
      </w:r>
      <w:r>
        <w:t xml:space="preserve">, with substantial variation by location. Spatially, major inflows enter HB via the Hillsborough and Alafia Rivers, MTB via the Little Manatee river, and LTB via the Manatee River. Comprehensive estimates of residence time by bay segment do not exist, although time generally increases from the mouth of the bay towards the more oligohaline segments.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have been estimated at roughly three months</w:t>
      </w:r>
      <w:r>
        <w:t xml:space="preserve"> </w:t>
      </w:r>
      <w:r>
        <w:t xml:space="preserve">(Janicki Environmental, Inc. 2015)</w:t>
      </w:r>
      <w:r>
        <w:t xml:space="preserve">. Throughout, we consider salinity as a rough proxy for residence time, while also acknowledging that it reflects hydrologic inputs, tidal exchange, baroclinic circulation, and other factors that influence hydrodynanmics (e.g., persistent eddies, wind).</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primarily from wastewater treatment facilities with outfalls to the bay or receiving surface waters have been substantially reduced following upgrades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fixed stations throughout the bay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(n = 480 for each bay segment).</w:t>
      </w:r>
    </w:p>
    <w:p>
      <w:pPr>
        <w:pStyle w:val="BodyText"/>
      </w:pPr>
      <w:r>
        <w:t xml:space="preserve">Monthly total nitrogen loading data to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the best fitting model for observed chlorophyll-a by including the effects of salinity, nitrogen loading, and time. Time was expressed as two separate variables for each time step, first as continuous decimal time (e.g., July 1st 2017 is 2017.5) and as day of year to capture a seasonal component. Each predictor was evaluated as an additive smooth to quantify an individual assocation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(by month). The decision to use a Gamma distribution as compared to a Gaussian with a log-link function was made given that the variance likely increases with the mean, which is a reasonable expectation for chlorophyll data. The log-transformed mean chlorophyll-a is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degress of freedom to describe the assocation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for that time step. This produces a time series that can be considered the chlorophyll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These statistics included Generalized Cross-Validation scores and explained deviance, as well as estimated and reference degrees of freedom, F, and p-values for each smoother. Simple correlations between observed and predicted chlorophyll were also evaluated for different year groupings (1985-1999, 2000-2014, 2015-2024) and seasonal periods (annual, JFM, AMJ, JAS, OND) to assess when model fit may differ relative to the entire time series.</w:t>
      </w:r>
    </w:p>
    <w:bookmarkEnd w:id="24"/>
    <w:bookmarkStart w:id="25" w:name="X78e65be5e5fbd14b777bf2263ebd5a99d332eb8"/>
    <w:p>
      <w:pPr>
        <w:pStyle w:val="Heading3"/>
      </w:pPr>
      <w:r>
        <w:t xml:space="preserve">2.3 Partitioning Drivers of Chlorophyll Change</w:t>
      </w:r>
    </w:p>
    <w:p>
      <w:pPr>
        <w:pStyle w:val="FirstParagraph"/>
      </w:pPr>
      <w:r>
        <w:t xml:space="preserve">The second objective was to assess the relative effects of salinity and loading on chlorophyll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negative being more euhaline) and the y-axis showed the loading effects (positive being high loading associated with higher chlorophyll, negative being lower loading associated with lower chlorophyll). Individual years were plotted on the diagram to assess the relative effects of salinity changes and/or loading on the relative chlorophyll changes each year. Depending on where a year is located on the plot, conclusions can be made on which factor (or both) may or may not have influenced chlorophyll each year. Additionally, these differences were further evaluated for different year groupings (1985-1999, 2000-2014, 2015-2024) and seasonal periods (annual, JFM, AMJ, JAS, OND) to further evaluate periods of time when salinity and/or loading had differing effects on chlorophyll.</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Generally, this was accomplished by repeated simulations from each GAM for the different scenarios.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t>
      </w:r>
      <w:r>
        <w:t xml:space="preserve">was used, which predicts randomized GAM outputs within the prediction interval of the model. For each scenario, 10,000 simulations were used to estimate chlorophyll,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and loading values for each bay segment. Chlorophyll thresholds for each bay segment are 9.3, 15.0, 8.5, and 5.1</w:t>
      </w:r>
      <w:r>
        <w:t xml:space="preserve"> </w:t>
      </w:r>
      <m:oMath>
        <m:r>
          <m:t>μ</m:t>
        </m:r>
      </m:oMath>
      <w:r>
        <w:t xml:space="preserve">g/L and external loading thresholds are 486, 1451, 799, 349 tons per year for OTB, HB, MTB, and LTB, respectively. These thresholds were defined as being supportive of seagrass by promoting a sufficient light environment for growth</w:t>
      </w:r>
      <w:r>
        <w:t xml:space="preserve"> </w:t>
      </w:r>
      <w:r>
        <w:t xml:space="preserve">(Janicki and Wade 1996; Janicki et al. 2000; Tampa Bay Nitrogen Management Consortium 2010)</w:t>
      </w:r>
      <w:r>
        <w:t xml:space="preserve">.</w:t>
      </w:r>
    </w:p>
    <w:p>
      <w:pPr>
        <w:pStyle w:val="BodyText"/>
      </w:pPr>
      <w:r>
        <w:t xml:space="preserve">Salinity changes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conditions within the chosen year period were to persist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GAMs fit for each bay segment had generally high explained deviance for observed chlorophyll, although differences were observed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All bay segments had overall explained deviance of at least 70% (OTB 74%, HB 70%, MTB 76%), whereas LTB had the lowest at 60%. Model predictions over time captured the seasonality of chlorophyll and substantial variation in the seasonality was observed between years. The long-term decreases in chlorophyll were notable in the upper bay segments, i.e., purple lines earlier in the time series generally higher chlorohpyll-a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only LTB had a significent smoother for nitrogen loading</w:t>
      </w:r>
      <w:r>
        <w:t xml:space="preserve"> </w:t>
      </w:r>
      <w:hyperlink w:anchor="tbl-gamtab">
        <w:r>
          <w:rPr>
            <w:rStyle w:val="Hyperlink"/>
          </w:rPr>
          <w:t xml:space="preserve">Table 1</w:t>
        </w:r>
      </w:hyperlink>
      <w:r>
        <w:t xml:space="preserve">. However, every bay segment had at least one significant interaction smoother for nitrogen loading suggesting an effect of loading on chlorophyll-a that was dependent on values of other predictors (loading and decimal time for OTB; loading and decimal time, day of year, and salinity for HB; and loading and day of year for MTB and LTB).</w:t>
      </w:r>
    </w:p>
    <w:p>
      <w:pPr>
        <w:pStyle w:val="BodyText"/>
      </w:pPr>
      <w:r>
        <w:t xml:space="preserve">Differences in correlations between observed and predicted chlorophyll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0.73).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0.43, 0.41, respectively). Mean correlations were similar between bay segments and annual groupings for all other seasons (mean</w:t>
      </w:r>
      <w:r>
        <w:t xml:space="preserve"> </w:t>
      </w:r>
      <m:oMath>
        <m:r>
          <m:t>ρ</m:t>
        </m:r>
      </m:oMath>
      <w:r>
        <w:t xml:space="preserve"> </w:t>
      </w:r>
      <w:r>
        <w:t xml:space="preserve">= 0.61, 0.62, 0.74 for JFM, AMJ, and JAS, respectively). The lowest seasonal correlation was observed for the January, February, March period for OTB in 2000-2014 (</w:t>
      </w:r>
      <m:oMath>
        <m:r>
          <m:t>ρ</m:t>
        </m:r>
      </m:oMath>
      <w:r>
        <w:t xml:space="preserve"> </w:t>
      </w:r>
      <w:r>
        <w:t xml:space="preserve">= 0.22). The highest seasonal correlation was observed for the OND period for OTB in 2015-2024 (</w:t>
      </w:r>
      <m:oMath>
        <m:r>
          <m:t>ρ</m:t>
        </m:r>
      </m:oMath>
      <w:r>
        <w:t xml:space="preserve"> </w:t>
      </w:r>
      <w:r>
        <w:t xml:space="preserve">= 0.92).</w:t>
      </w:r>
    </w:p>
    <w:bookmarkEnd w:id="28"/>
    <w:bookmarkStart w:id="29" w:name="drivers-of-chlorophyll-change"/>
    <w:p>
      <w:pPr>
        <w:pStyle w:val="Heading3"/>
      </w:pPr>
      <w:r>
        <w:t xml:space="preserve">3.2 Drivers of Chlorophyll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result suggested that loading had more unique effects on chlorophyll-a in OTB and HB, whereas loading was less important for MTB and LTB. The unique effects of loading in OTB and HB were most notable early and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 that salinity effects through gradual freshening over time have contributed to higher chlorophyll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 for the predictions in</w:t>
      </w:r>
      <w:r>
        <w:t xml:space="preserve"> </w:t>
      </w:r>
      <w:hyperlink w:anchor="fig-prdnrm">
        <w:r>
          <w:rPr>
            <w:rStyle w:val="Hyperlink"/>
          </w:rPr>
          <w:t xml:space="preserve">Figure 4</w:t>
        </w:r>
      </w:hyperlink>
      <w:r>
        <w:t xml:space="preserve"> </w:t>
      </w:r>
      <w:r>
        <w:t xml:space="preserve">to quantitavely describe the unique effects of salinity (predictions minus salinity-normalized results) and loading (salnity-normalizd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for JJA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 time). Differences in scale for each plot axis by bay segment provided a relative comparison of the importance of salinity and loading, i.e., OTB and HB had the largest scales, MTB had a small scale for loading but not salinity, and LTB had small scales for both salinity and loading. Overall by annual grouping (1985-1999, 2000-2014, and 2015-2024), OTB and HB suggested a shift towards more load-dominated influence on chlorophyll-a in 2015-2024 as shown by a shift in the mean effects higher on the y-axis (</w:t>
      </w:r>
      <w:hyperlink w:anchor="fig-statespace">
        <w:r>
          <w:rPr>
            <w:rStyle w:val="Hyperlink"/>
          </w:rPr>
          <w:t xml:space="preserve">Figure 6</w:t>
        </w:r>
      </w:hyperlink>
      <w:r>
        <w:t xml:space="preserve">b). A shift towards the right on the x-axis for the 2015-2024 grouping suggested loads were also influenced by more oligohaline conditions, but to a lesser degree than the loading effects.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24.9% at present and 28.4%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by 17% by year 50 to ~60%.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managament implications. Mitigating external nutrient loads has been a fundamental approach for estuarine restoration, whereas salinity controls typically are not. In anticipation of future salinity conditions, existing management paradigms may not be as effective as in the past to maintain water quality.</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20% in fifty years to an overall likelihood of 56%.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 in 1) OTB and HB was influenced by both salinity and loading, 2) MTB was influenced primarily by salinity, and 3) LTB was influenced by neither. These relationships were also variable over time, particularly in OTB and HB, where pure loading effects appear to have recently increased in importance. This result has management implications for both bay segments, particularly for OTB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 threshold and the nutrient load ratios. Recent exceedances of the chlorophyll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 independent of loading. The most likely interpretation is that salinity is a proxy for flushing, residence time, and tidal exchange</w:t>
      </w:r>
      <w:r>
        <w:t xml:space="preserve"> </w:t>
      </w:r>
      <w:r>
        <w:t xml:space="preserve">(e.g., Hagy et al. 2000; Meyers et al. 2015)</w:t>
      </w:r>
      <w:r>
        <w:t xml:space="preserve">. Lower salinity not only suggests greater freshwater inputs, but is also likely associated with higher residence time with reduced flushing and tidal exchange. Such periods of time could be visually interpreted from</w:t>
      </w:r>
      <w:r>
        <w:t xml:space="preserve"> </w:t>
      </w:r>
      <w:hyperlink w:anchor="fig-prdnrm">
        <w:r>
          <w:rPr>
            <w:rStyle w:val="Hyperlink"/>
          </w:rPr>
          <w:t xml:space="preserve">Figure 4</w:t>
        </w:r>
      </w:hyperlink>
      <w:r>
        <w:t xml:space="preserve"> </w:t>
      </w:r>
      <w:r>
        <w:t xml:space="preserve">when the solid red lines showing the salinity-normalized values are higher than the salinity-normalized values at mean loading. The opposite could be true during dry periods or when flushing and tidal exchange is high (i.e., solid lines below the dashed blue lines).</w:t>
      </w:r>
    </w:p>
    <w:p>
      <w:pPr>
        <w:pStyle w:val="BodyText"/>
      </w:pPr>
      <w:r>
        <w:t xml:space="preserve">Our approach offers a relatively novel application of GAMs to describe long-term trends in chlorophyll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w:t>
      </w:r>
      <w:r>
        <w:t xml:space="preserve"> </w:t>
      </w:r>
      <w:r>
        <w:t xml:space="preserve">(but see, Murphy et al. 2021; Schramm 2023)</w:t>
      </w:r>
      <w:r>
        <w:t xml:space="preserve">. The use of GAMs to simulate chlorophyll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serve an important role in this capacity,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 (a), salinity (b), and total nitrogen load (c) for each bay segment from 1985 to present. Chlorophyll and salinity are shown as annual averages with 95% confidence intervals and the total nitrogen loads are the annual sums across each month. Relevant regulatory standard are shown as dashed lines for chlorophyll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 response per unit change in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Simulated chlorophyll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5" w:name="references"/>
    <w:p>
      <w:pPr>
        <w:pStyle w:val="Heading2"/>
      </w:pPr>
      <w:r>
        <w:t xml:space="preserve">References</w:t>
      </w:r>
    </w:p>
    <w:bookmarkStart w:id="184"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7">
        <w:r>
          <w:rPr>
            <w:rStyle w:val="Hyperlink"/>
          </w:rPr>
          <w:t xml:space="preserve">https://doi.org/10.1016/j.cosust.2012.03.002</w:t>
        </w:r>
      </w:hyperlink>
      <w:r>
        <w:t xml:space="preserve">.</w:t>
      </w:r>
    </w:p>
    <w:bookmarkEnd w:id="128"/>
    <w:bookmarkStart w:id="130" w:name="ref-luther2022"/>
    <w:p>
      <w:pPr>
        <w:pStyle w:val="Bibliography"/>
      </w:pPr>
      <w:r>
        <w:t xml:space="preserve">Luther, M. E., and S. D. Meyers. 2022.</w:t>
      </w:r>
      <w:r>
        <w:t xml:space="preserve"> </w:t>
      </w:r>
      <w:hyperlink r:id="rId12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0"/>
    <w:bookmarkStart w:id="13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1">
        <w:r>
          <w:rPr>
            <w:rStyle w:val="Hyperlink"/>
          </w:rPr>
          <w:t xml:space="preserve">https://doi.org/10.2112/SI54-000.1</w:t>
        </w:r>
      </w:hyperlink>
      <w:r>
        <w:t xml:space="preserve">.</w:t>
      </w:r>
    </w:p>
    <w:bookmarkEnd w:id="132"/>
    <w:bookmarkStart w:id="13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3">
        <w:r>
          <w:rPr>
            <w:rStyle w:val="Hyperlink"/>
          </w:rPr>
          <w:t xml:space="preserve">https://doi.org/10.1002/2014JC010342</w:t>
        </w:r>
      </w:hyperlink>
      <w:r>
        <w:t xml:space="preserve">.</w:t>
      </w:r>
    </w:p>
    <w:bookmarkEnd w:id="134"/>
    <w:bookmarkStart w:id="136"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5">
        <w:r>
          <w:rPr>
            <w:rStyle w:val="Hyperlink"/>
          </w:rPr>
          <w:t xml:space="preserve">https://doi.org/10.1007/bf02798652</w:t>
        </w:r>
      </w:hyperlink>
      <w:r>
        <w:t xml:space="preserve">.</w:t>
      </w:r>
    </w:p>
    <w:bookmarkEnd w:id="136"/>
    <w:bookmarkStart w:id="13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7"/>
    <w:bookmarkStart w:id="13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38">
        <w:r>
          <w:rPr>
            <w:rStyle w:val="Hyperlink"/>
          </w:rPr>
          <w:t xml:space="preserve">https://doi.org/10.1007/s00267-010-9531-1</w:t>
        </w:r>
      </w:hyperlink>
      <w:r>
        <w:t xml:space="preserve">.</w:t>
      </w:r>
    </w:p>
    <w:bookmarkEnd w:id="139"/>
    <w:bookmarkStart w:id="14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0">
        <w:r>
          <w:rPr>
            <w:rStyle w:val="Hyperlink"/>
          </w:rPr>
          <w:t xml:space="preserve">https://doi.org/10.1021/acs.est.1c05388</w:t>
        </w:r>
      </w:hyperlink>
      <w:r>
        <w:t xml:space="preserve">.</w:t>
      </w:r>
    </w:p>
    <w:bookmarkEnd w:id="141"/>
    <w:bookmarkStart w:id="14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2">
        <w:r>
          <w:rPr>
            <w:rStyle w:val="Hyperlink"/>
          </w:rPr>
          <w:t xml:space="preserve">https://doi.org/10.1016/j.envsoft.2019.03.027</w:t>
        </w:r>
      </w:hyperlink>
      <w:r>
        <w:t xml:space="preserve">.</w:t>
      </w:r>
    </w:p>
    <w:bookmarkEnd w:id="143"/>
    <w:bookmarkStart w:id="145"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4">
        <w:r>
          <w:rPr>
            <w:rStyle w:val="Hyperlink"/>
          </w:rPr>
          <w:t xml:space="preserve">https://doi.org/10.1080/00785236.1995.10422044</w:t>
        </w:r>
      </w:hyperlink>
      <w:r>
        <w:t xml:space="preserve">.</w:t>
      </w:r>
    </w:p>
    <w:bookmarkEnd w:id="145"/>
    <w:bookmarkStart w:id="147"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6">
        <w:r>
          <w:rPr>
            <w:rStyle w:val="Hyperlink"/>
          </w:rPr>
          <w:t xml:space="preserve">https://doi.org/10.1007/s00267-004-0034-9</w:t>
        </w:r>
      </w:hyperlink>
      <w:r>
        <w:t xml:space="preserve">.</w:t>
      </w:r>
    </w:p>
    <w:bookmarkEnd w:id="147"/>
    <w:bookmarkStart w:id="148"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48"/>
    <w:bookmarkStart w:id="150"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49">
        <w:r>
          <w:rPr>
            <w:rStyle w:val="Hyperlink"/>
          </w:rPr>
          <w:t xml:space="preserve">https://doi.org/10.1016/j.rsma.2015.11.007</w:t>
        </w:r>
      </w:hyperlink>
      <w:r>
        <w:t xml:space="preserve">.</w:t>
      </w:r>
    </w:p>
    <w:bookmarkEnd w:id="150"/>
    <w:bookmarkStart w:id="152"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1">
        <w:r>
          <w:rPr>
            <w:rStyle w:val="Hyperlink"/>
          </w:rPr>
          <w:t xml:space="preserve">https://doi.org/10.7717/peerj.16073</w:t>
        </w:r>
      </w:hyperlink>
      <w:r>
        <w:t xml:space="preserve">.</w:t>
      </w:r>
    </w:p>
    <w:bookmarkEnd w:id="152"/>
    <w:bookmarkStart w:id="154" w:name="ref-sherwood2015"/>
    <w:p>
      <w:pPr>
        <w:pStyle w:val="Bibliography"/>
      </w:pPr>
      <w:r>
        <w:t xml:space="preserve">Sherwood, E. T., H. S. Greening, L. Garcia, K. Kaufman, A. J. Janicki, R. Pribble, B. Cunningham, et al. 2015.</w:t>
      </w:r>
      <w:r>
        <w:t xml:space="preserve"> </w:t>
      </w:r>
      <w:hyperlink r:id="rId153">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4"/>
    <w:bookmarkStart w:id="156"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5">
        <w:r>
          <w:rPr>
            <w:rStyle w:val="Hyperlink"/>
          </w:rPr>
          <w:t xml:space="preserve">https://doi.org/10.1016/j.rsma.2015.05.005</w:t>
        </w:r>
      </w:hyperlink>
      <w:r>
        <w:t xml:space="preserve">.</w:t>
      </w:r>
    </w:p>
    <w:bookmarkEnd w:id="156"/>
    <w:bookmarkStart w:id="158"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7">
        <w:r>
          <w:rPr>
            <w:rStyle w:val="Hyperlink"/>
          </w:rPr>
          <w:t xml:space="preserve">https://doi.org/10.1353/sgo.2017.0026</w:t>
        </w:r>
      </w:hyperlink>
      <w:r>
        <w:t xml:space="preserve">.</w:t>
      </w:r>
    </w:p>
    <w:bookmarkEnd w:id="158"/>
    <w:bookmarkStart w:id="160"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59">
        <w:r>
          <w:rPr>
            <w:rStyle w:val="Hyperlink"/>
          </w:rPr>
          <w:t xml:space="preserve">https://doi.org/10.32614/CRAN.package.gratia</w:t>
        </w:r>
      </w:hyperlink>
      <w:r>
        <w:t xml:space="preserve">.</w:t>
      </w:r>
    </w:p>
    <w:bookmarkEnd w:id="160"/>
    <w:bookmarkStart w:id="162" w:name="ref-SWFWMD25"/>
    <w:p>
      <w:pPr>
        <w:pStyle w:val="Bibliography"/>
      </w:pPr>
      <w:r>
        <w:t xml:space="preserve">Southwest Florida Water Management District. 2025.</w:t>
      </w:r>
      <w:r>
        <w:t xml:space="preserve"> </w:t>
      </w:r>
      <w:hyperlink r:id="rId161">
        <w:r>
          <w:rPr>
            <w:rStyle w:val="Hyperlink"/>
          </w:rPr>
          <w:t xml:space="preserve">2023 land use land cover shapefile for SWFWMD</w:t>
        </w:r>
      </w:hyperlink>
      <w:r>
        <w:t xml:space="preserve">.</w:t>
      </w:r>
    </w:p>
    <w:bookmarkEnd w:id="162"/>
    <w:bookmarkStart w:id="164"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3">
        <w:r>
          <w:rPr>
            <w:rStyle w:val="Hyperlink"/>
          </w:rPr>
          <w:t xml:space="preserve">https://doi.org/10.1016/j.scitotenv.2011.09.088</w:t>
        </w:r>
      </w:hyperlink>
      <w:r>
        <w:t xml:space="preserve">.</w:t>
      </w:r>
    </w:p>
    <w:bookmarkEnd w:id="164"/>
    <w:bookmarkStart w:id="166" w:name="ref-tbep0310"/>
    <w:p>
      <w:pPr>
        <w:pStyle w:val="Bibliography"/>
      </w:pPr>
      <w:r>
        <w:t xml:space="preserve">Tampa Bay Nitrogen Management Consortium. 2010.</w:t>
      </w:r>
      <w:r>
        <w:t xml:space="preserve"> </w:t>
      </w:r>
      <w:hyperlink r:id="rId165">
        <w:r>
          <w:rPr>
            <w:rStyle w:val="Hyperlink"/>
            <w:i/>
            <w:iCs/>
          </w:rPr>
          <w:t xml:space="preserve">2009 reasonable assurance addendum: Allocation and assessment report</w:t>
        </w:r>
      </w:hyperlink>
      <w:r>
        <w:t xml:space="preserve">. Technical report 03-10. St. Petersburg, Florida: Tampa Bay Estuary Program.</w:t>
      </w:r>
    </w:p>
    <w:bookmarkEnd w:id="166"/>
    <w:bookmarkStart w:id="168"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67">
        <w:r>
          <w:rPr>
            <w:rStyle w:val="Hyperlink"/>
          </w:rPr>
          <w:t xml:space="preserve">https://doi.org/10.1111/1752-1688.70070</w:t>
        </w:r>
      </w:hyperlink>
      <w:r>
        <w:t xml:space="preserve">.</w:t>
      </w:r>
    </w:p>
    <w:bookmarkEnd w:id="168"/>
    <w:bookmarkStart w:id="170"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69">
        <w:r>
          <w:rPr>
            <w:rStyle w:val="Hyperlink"/>
          </w:rPr>
          <w:t xml:space="preserve">https://doi.org/10.1007/978-0-387-21706-2</w:t>
        </w:r>
      </w:hyperlink>
      <w:r>
        <w:t xml:space="preserve">.</w:t>
      </w:r>
    </w:p>
    <w:bookmarkEnd w:id="170"/>
    <w:bookmarkStart w:id="172"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1">
        <w:r>
          <w:rPr>
            <w:rStyle w:val="Hyperlink"/>
          </w:rPr>
          <w:t xml:space="preserve">https://doi.org/10.1016/j.jhydrol.2025.134851</w:t>
        </w:r>
      </w:hyperlink>
      <w:r>
        <w:t xml:space="preserve">.</w:t>
      </w:r>
    </w:p>
    <w:bookmarkEnd w:id="172"/>
    <w:bookmarkStart w:id="174"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3">
        <w:r>
          <w:rPr>
            <w:rStyle w:val="Hyperlink"/>
          </w:rPr>
          <w:t xml:space="preserve">https://doi.org/10.1006/ecss.1999.0490</w:t>
        </w:r>
      </w:hyperlink>
      <w:r>
        <w:t xml:space="preserve">.</w:t>
      </w:r>
    </w:p>
    <w:bookmarkEnd w:id="174"/>
    <w:bookmarkStart w:id="176"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5">
        <w:r>
          <w:rPr>
            <w:rStyle w:val="Hyperlink"/>
          </w:rPr>
          <w:t xml:space="preserve">https://doi.org/10.1111/j.1467-9868.2010.00749.x</w:t>
        </w:r>
      </w:hyperlink>
      <w:r>
        <w:t xml:space="preserve">.</w:t>
      </w:r>
    </w:p>
    <w:bookmarkEnd w:id="176"/>
    <w:bookmarkStart w:id="177"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77"/>
    <w:bookmarkStart w:id="179"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78">
        <w:r>
          <w:rPr>
            <w:rStyle w:val="Hyperlink"/>
          </w:rPr>
          <w:t xml:space="preserve">https://doi.org/10.1061/(ASCE)0733-9496(2003)129:4(295)</w:t>
        </w:r>
      </w:hyperlink>
      <w:r>
        <w:t xml:space="preserve">.</w:t>
      </w:r>
    </w:p>
    <w:bookmarkEnd w:id="179"/>
    <w:bookmarkStart w:id="181" w:name="ref-tbep0511"/>
    <w:p>
      <w:pPr>
        <w:pStyle w:val="Bibliography"/>
      </w:pPr>
      <w:r>
        <w:t xml:space="preserve">Yates, K., H. Greening, and G. Morrison. 2011.</w:t>
      </w:r>
      <w:r>
        <w:t xml:space="preserve"> </w:t>
      </w:r>
      <w:hyperlink r:id="rId180">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1"/>
    <w:bookmarkStart w:id="183" w:name="ref-tbep0494"/>
    <w:p>
      <w:pPr>
        <w:pStyle w:val="Bibliography"/>
      </w:pPr>
      <w:r>
        <w:t xml:space="preserve">Zarbock, H. W., A. J. Janicki, D. L. Wade, and D. G. Heimbuch. 1994.</w:t>
      </w:r>
      <w:r>
        <w:t xml:space="preserve"> </w:t>
      </w:r>
      <w:hyperlink r:id="rId182">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3"/>
    <w:bookmarkEnd w:id="184"/>
    <w:bookmarkEnd w:id="185"/>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0" Target="http://pubs.usgs.gov/circ/1348/" TargetMode="External" /><Relationship Type="http://schemas.openxmlformats.org/officeDocument/2006/relationships/hyperlink" Id="rId133" Target="https://doi.org/10.1002/2014JC010342" TargetMode="External" /><Relationship Type="http://schemas.openxmlformats.org/officeDocument/2006/relationships/hyperlink" Id="rId173" Target="https://doi.org/10.1006/ecss.1999.0490" TargetMode="External" /><Relationship Type="http://schemas.openxmlformats.org/officeDocument/2006/relationships/hyperlink" Id="rId169" Target="https://doi.org/10.1007/978-0-387-21706-2" TargetMode="External" /><Relationship Type="http://schemas.openxmlformats.org/officeDocument/2006/relationships/hyperlink" Id="rId135" Target="https://doi.org/10.1007/bf02798652" TargetMode="External" /><Relationship Type="http://schemas.openxmlformats.org/officeDocument/2006/relationships/hyperlink" Id="rId146"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38"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7" Target="https://doi.org/10.1016/j.cosust.2012.03.002"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2"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1"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5" Target="https://doi.org/10.1016/j.rsma.2015.05.005" TargetMode="External" /><Relationship Type="http://schemas.openxmlformats.org/officeDocument/2006/relationships/hyperlink" Id="rId149" Target="https://doi.org/10.1016/j.rsma.2015.11.007" TargetMode="External" /><Relationship Type="http://schemas.openxmlformats.org/officeDocument/2006/relationships/hyperlink" Id="rId163"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0"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78" Target="https://doi.org/10.1061/(ASCE)0733-9496(2003)129:4(295)" TargetMode="External" /><Relationship Type="http://schemas.openxmlformats.org/officeDocument/2006/relationships/hyperlink" Id="rId144"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67" Target="https://doi.org/10.1111/1752-1688.70070" TargetMode="External" /><Relationship Type="http://schemas.openxmlformats.org/officeDocument/2006/relationships/hyperlink" Id="rId175"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7" Target="https://doi.org/10.1353/sgo.2017.0026" TargetMode="External" /><Relationship Type="http://schemas.openxmlformats.org/officeDocument/2006/relationships/hyperlink" Id="rId131"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05" Target="https://doi.org/10.2307/1353325" TargetMode="External" /><Relationship Type="http://schemas.openxmlformats.org/officeDocument/2006/relationships/hyperlink" Id="rId159"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1"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29" Target="https://drive.google.com/file/d/1-1Jq9vly5EvVwEp698brlBucXjSMDbNn/view?usp=sharing" TargetMode="External" /><Relationship Type="http://schemas.openxmlformats.org/officeDocument/2006/relationships/hyperlink" Id="rId165" Target="https://drive.google.com/file/d/10IjJAfcGFf007a5VdPXAUtUi4dx-cmsA/view?usp=drivesdk" TargetMode="External" /><Relationship Type="http://schemas.openxmlformats.org/officeDocument/2006/relationships/hyperlink" Id="rId153"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0" Target="http://pubs.usgs.gov/circ/1348/" TargetMode="External" /><Relationship Type="http://schemas.openxmlformats.org/officeDocument/2006/relationships/hyperlink" Id="rId133" Target="https://doi.org/10.1002/2014JC010342" TargetMode="External" /><Relationship Type="http://schemas.openxmlformats.org/officeDocument/2006/relationships/hyperlink" Id="rId173" Target="https://doi.org/10.1006/ecss.1999.0490" TargetMode="External" /><Relationship Type="http://schemas.openxmlformats.org/officeDocument/2006/relationships/hyperlink" Id="rId169" Target="https://doi.org/10.1007/978-0-387-21706-2" TargetMode="External" /><Relationship Type="http://schemas.openxmlformats.org/officeDocument/2006/relationships/hyperlink" Id="rId135" Target="https://doi.org/10.1007/bf02798652" TargetMode="External" /><Relationship Type="http://schemas.openxmlformats.org/officeDocument/2006/relationships/hyperlink" Id="rId146"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38"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7" Target="https://doi.org/10.1016/j.cosust.2012.03.002"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2"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1"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5" Target="https://doi.org/10.1016/j.rsma.2015.05.005" TargetMode="External" /><Relationship Type="http://schemas.openxmlformats.org/officeDocument/2006/relationships/hyperlink" Id="rId149" Target="https://doi.org/10.1016/j.rsma.2015.11.007" TargetMode="External" /><Relationship Type="http://schemas.openxmlformats.org/officeDocument/2006/relationships/hyperlink" Id="rId163"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0"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78" Target="https://doi.org/10.1061/(ASCE)0733-9496(2003)129:4(295)" TargetMode="External" /><Relationship Type="http://schemas.openxmlformats.org/officeDocument/2006/relationships/hyperlink" Id="rId144"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67" Target="https://doi.org/10.1111/1752-1688.70070" TargetMode="External" /><Relationship Type="http://schemas.openxmlformats.org/officeDocument/2006/relationships/hyperlink" Id="rId175"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7" Target="https://doi.org/10.1353/sgo.2017.0026" TargetMode="External" /><Relationship Type="http://schemas.openxmlformats.org/officeDocument/2006/relationships/hyperlink" Id="rId131"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05" Target="https://doi.org/10.2307/1353325" TargetMode="External" /><Relationship Type="http://schemas.openxmlformats.org/officeDocument/2006/relationships/hyperlink" Id="rId159"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1"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29" Target="https://drive.google.com/file/d/1-1Jq9vly5EvVwEp698brlBucXjSMDbNn/view?usp=sharing" TargetMode="External" /><Relationship Type="http://schemas.openxmlformats.org/officeDocument/2006/relationships/hyperlink" Id="rId165" Target="https://drive.google.com/file/d/10IjJAfcGFf007a5VdPXAUtUi4dx-cmsA/view?usp=drivesdk" TargetMode="External" /><Relationship Type="http://schemas.openxmlformats.org/officeDocument/2006/relationships/hyperlink" Id="rId153"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2"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1"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2026-02-10T18:11:18Z</dcterms:created>
  <dcterms:modified xsi:type="dcterms:W3CDTF">2026-02-10T18:11:18Z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