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62.png" ContentType="image/png"/>
  <Override PartName="/word/media/rId58.png" ContentType="image/png"/>
  <Override PartName="/word/media/rId5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Rebecca Murphy</w:t>
      </w:r>
      <w:r>
        <w:rPr>
          <w:vertAlign w:val="superscript"/>
        </w:rPr>
        <w:t xml:space="preserve">2</w:t>
      </w:r>
      <w:r>
        <w:t xml:space="preserve">, Kerry Flaherty-Walia</w:t>
      </w:r>
      <w:r>
        <w:rPr>
          <w:vertAlign w:val="superscript"/>
        </w:rPr>
        <w:t xml:space="preserve">1</w:t>
      </w:r>
      <w:r>
        <w:t xml:space="preserve">, Qian Zhang</w:t>
      </w:r>
      <w:r>
        <w:rPr>
          <w:vertAlign w:val="superscript"/>
        </w:rPr>
        <w:t xml:space="preserve">2</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~16%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1"/>
    <w:bookmarkStart w:id="22"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and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and Landman 1993; Moss and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and Hagy 2015; Karlen et al. 2023)</w:t>
      </w:r>
      <w:r>
        <w:t xml:space="preserve"> </w:t>
      </w:r>
      <w:r>
        <w:t xml:space="preserve">and have also contributed to the development of regulatory standards for different parts of the bay</w:t>
      </w:r>
      <w:r>
        <w:t xml:space="preserve"> </w:t>
      </w:r>
      <w:r>
        <w:t xml:space="preserve">(Janicki and Wade 1996; Janicki et al. 2000)</w:t>
      </w:r>
      <w:r>
        <w:t xml:space="preserve"> </w:t>
      </w:r>
      <w:r>
        <w:t xml:space="preserve">Similarly, monthly long-term estimates of external nutrient inputs are also available and have been used to monitor the effectiveness of management interventions to reduce excess loads to the bay</w:t>
      </w:r>
      <w:r>
        <w:t xml:space="preserve"> </w:t>
      </w:r>
      <w:r>
        <w:t xml:space="preserve">(Greening and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and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and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and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2"/>
    <w:bookmarkStart w:id="27" w:name="methods"/>
    <w:p>
      <w:pPr>
        <w:pStyle w:val="Heading2"/>
      </w:pPr>
      <w:r>
        <w:t xml:space="preserve">2 Methods</w:t>
      </w:r>
    </w:p>
    <w:p>
      <w:pPr>
        <w:pStyle w:val="FirstParagraph"/>
      </w:pPr>
      <w:r>
        <w:t xml:space="preserve">Tampa Bay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and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requires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and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the GAMs for scenario assessments under expected future changes and management actions to address objective (3), stated above.</w:t>
      </w:r>
    </w:p>
    <w:bookmarkStart w:id="23"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3"/>
    <w:bookmarkStart w:id="24"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 Loading was evaluated during the same month of the chlorophyll-a sample and as cumulative monthly sums up to three months prior to the month of observation. Previous work has suggested cumulative monthly sums of preceding loading may better explain variation in chlorophyll-a</w:t>
      </w:r>
      <w:r>
        <w:t xml:space="preserve"> </w:t>
      </w:r>
      <w:r>
        <w:t xml:space="preserve">(Janicki and Wade 1996)</w:t>
      </w:r>
      <w:r>
        <w:t xml:space="preserve">.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was used to account for an increase in variance with the mean, which is a reasonable expectation for chlorophyll-a data.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Different forms of the predictors and smoothers were evaluated to determine the best model fit for each bay segment</w:t>
      </w:r>
      <w:r>
        <w:t xml:space="preserve"> </w:t>
      </w:r>
      <w:r>
        <w:t xml:space="preserve">(following Murphy et al. 2021)</w:t>
      </w:r>
      <w:r>
        <w:t xml:space="preserve">. First, the K values (number of basis functions) for each smoother were chosen to allow sufficient degrees of freedom to describe the association of each predictor with chlorophyll-a. An alternative approach where the K values were restricted for the decimal time smoother was also evaluated to allow additional variation to be fit for the other predictors (i.e., constraining the amount of</w:t>
      </w:r>
      <w:r>
        <w:t xml:space="preserve"> </w:t>
      </w:r>
      <w:r>
        <w:t xml:space="preserve">“wiggliness”</w:t>
      </w:r>
      <w:r>
        <w:t xml:space="preserve"> </w:t>
      </w:r>
      <w:r>
        <w:t xml:space="preserve">that may be attributed to time alone so that salinity or loading can better describe chlorophyll-a). Second, the salinity and loading variables were seasonally corrected by taking the residuals of a separate GAM model for each predictor compared to day of year. This correction was made to isolate a signal independent of seasonal effects. The correction for loading also included a fit to the corrected salinity time series to remove any variation attributed to the latter. Finally, loading lags in each model were evaluated by using loading at the month of observation (no lag) up to a cumulative lag of three months.</w:t>
      </w:r>
    </w:p>
    <w:p>
      <w:pPr>
        <w:pStyle w:val="BodyText"/>
      </w:pPr>
      <w:r>
        <w:t xml:space="preserve">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 Multicollinearity (identifiability) among model predictors was evaluated with the</w:t>
      </w:r>
      <w:r>
        <w:t xml:space="preserve"> </w:t>
      </w:r>
      <w:r>
        <w:rPr>
          <w:rStyle w:val="VerbatimChar"/>
        </w:rPr>
        <w:t xml:space="preserve">concurvity()</w:t>
      </w:r>
      <w:r>
        <w:t xml:space="preserve"> </w:t>
      </w:r>
      <w:r>
        <w:t xml:space="preserve">function.</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(1985-1998, 1999-2011, 2012-2024, as an approximate split of the period of record into equal groups) and by season (Wet: June to September; Dry: October to May) for each year grouping to assess when model fit may differ relative to the entire time series.</w:t>
      </w:r>
    </w:p>
    <w:bookmarkEnd w:id="24"/>
    <w:bookmarkStart w:id="25"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(1985-1998, 1999-2011, 2012-2024) and by season (Wet, Dry) within each year grouping to further evaluate periods of time when salinity and/or loading had differing effects on chlorophyll-a.</w:t>
      </w:r>
    </w:p>
    <w:bookmarkEnd w:id="25"/>
    <w:bookmarkStart w:id="26"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r>
        <w:t xml:space="preserve">(Janicki and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2012-2024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26"/>
    <w:bookmarkEnd w:id="27"/>
    <w:bookmarkStart w:id="31" w:name="results"/>
    <w:p>
      <w:pPr>
        <w:pStyle w:val="Heading2"/>
      </w:pPr>
      <w:r>
        <w:t xml:space="preserve">3 Results</w:t>
      </w:r>
    </w:p>
    <w:bookmarkStart w:id="28" w:name="model-performance"/>
    <w:p>
      <w:pPr>
        <w:pStyle w:val="Heading3"/>
      </w:pPr>
      <w:r>
        <w:t xml:space="preserve">3.1 Model Performance</w:t>
      </w:r>
    </w:p>
    <w:p>
      <w:pPr>
        <w:pStyle w:val="FirstParagraph"/>
      </w:pPr>
      <w:r>
        <w:t xml:space="preserve">Among the models evaluated, the simplest were chosen that did not include alterations to the predictors (seasonal correction or loading lags), nor constraints on the K values. Initial analyses indicated minimal improvements in model fit with these alterations (Table S1). For all models, multicollinearity was high for the individual smoothers (approaching 1), although this is common when interactions are included</w:t>
      </w:r>
      <w:r>
        <w:t xml:space="preserve"> </w:t>
      </w:r>
      <w:r>
        <w:t xml:space="preserve">(Wood 2017)</w:t>
      </w:r>
      <w:r>
        <w:t xml:space="preserve">. Multicollinearity of the interaction smoothers was lower for the simpler models (Tables S2-S5), which does not preclude the use of these models for prediction, rather caution should be used to interpret the individual contribution of each smoother. The remainder of the results described below use the simpler models.</w:t>
      </w:r>
    </w:p>
    <w:p>
      <w:pPr>
        <w:pStyle w:val="BodyText"/>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none of the bay segments had a significant smoother for nitrogen loading</w:t>
      </w:r>
      <w:r>
        <w:t xml:space="preserve"> </w:t>
      </w:r>
      <w:hyperlink w:anchor="tbl-gamtab">
        <w:r>
          <w:rPr>
            <w:rStyle w:val="Hyperlink"/>
          </w:rPr>
          <w:t xml:space="preserve">Table 1</w:t>
        </w:r>
      </w:hyperlink>
      <w:r>
        <w:t xml:space="preserve">. However, every bay segment except MTB had at least one significant interaction smoother for nitrogen loading suggesting an effect of loading on chlorophyll-a that was dependent on values of other predictors (loading and decimal time for OTB; loading and decimal time for HB; and loading and salinity for LTB). MTB had a nearly significant interaction smoother for loading and salinity (</w:t>
      </w:r>
      <m:oMath>
        <m:r>
          <m:t>p</m:t>
        </m:r>
      </m:oMath>
      <w:r>
        <w:t xml:space="preserve"> </w:t>
      </w:r>
      <w:r>
        <w:t xml:space="preserve">= 0.053).</w:t>
      </w:r>
    </w:p>
    <w:p>
      <w:pPr>
        <w:pStyle w:val="BodyText"/>
      </w:pPr>
      <w:r>
        <w:t xml:space="preserve">Differences in correlations between observed and predicted chlorophyll-a were also shown by annual groupings and season (</w:t>
      </w:r>
      <w:hyperlink w:anchor="tbl-gamcrtab">
        <w:r>
          <w:rPr>
            <w:rStyle w:val="Hyperlink"/>
          </w:rPr>
          <w:t xml:space="preserve">Table 2</w:t>
        </w:r>
      </w:hyperlink>
      <w:r>
        <w:t xml:space="preserve">), suggesting fit varied by time in each bay segment. All annual groupings by bay segment had correlations greater than 0.7. The highest annual grouping correlation was observed for 2012 to 2024 for OTB (</w:t>
      </w:r>
      <m:oMath>
        <m:r>
          <m:t>ρ</m:t>
        </m:r>
      </m:oMath>
      <w:r>
        <w:t xml:space="preserve"> </w:t>
      </w:r>
      <w:r>
        <w:t xml:space="preserve">= 0.90), whereas the lowest was observed for 1999 to 2011 for LTB (</w:t>
      </w:r>
      <m:oMath>
        <m:r>
          <m:t>ρ</m:t>
        </m:r>
      </m:oMath>
      <w:r>
        <w:t xml:space="preserve"> </w:t>
      </w:r>
      <w:r>
        <w:t xml:space="preserve">= 0.74). By season, the dry season had generally higher correlations than the wet season across the annual groupings and bay segments (mean</w:t>
      </w:r>
      <w:r>
        <w:t xml:space="preserve"> </w:t>
      </w:r>
      <m:oMath>
        <m:r>
          <m:t>ρ</m:t>
        </m:r>
      </m:oMath>
      <w:r>
        <w:t xml:space="preserve"> </w:t>
      </w:r>
      <w:r>
        <w:t xml:space="preserve">= 0.78, 0.68, respectively). The highest seasonal correlation was observed for the dry season from 2012-2024 in OTB (</w:t>
      </w:r>
      <m:oMath>
        <m:r>
          <m:t>ρ</m:t>
        </m:r>
      </m:oMath>
      <w:r>
        <w:t xml:space="preserve"> </w:t>
      </w:r>
      <w:r>
        <w:t xml:space="preserve">= 0.92), whereas the lowest correlation was observed for the wet season from 1999-2011 in OTB (</w:t>
      </w:r>
      <m:oMath>
        <m:r>
          <m:t>ρ</m:t>
        </m:r>
      </m:oMath>
      <w:r>
        <w:t xml:space="preserve"> </w:t>
      </w:r>
      <w:r>
        <w:t xml:space="preserve">= 0.54). Only one instance of the wet season correlation being greater than the dry season correlation was observed, which occurred for 2012-2024 in LTB (</w:t>
      </w:r>
      <m:oMath>
        <m:r>
          <m:t>ρ</m:t>
        </m:r>
      </m:oMath>
      <w:r>
        <w:t xml:space="preserve"> </w:t>
      </w:r>
      <w:r>
        <w:t xml:space="preserve">= 0.81, 0.62 respectively).</w:t>
      </w:r>
    </w:p>
    <w:bookmarkEnd w:id="28"/>
    <w:bookmarkStart w:id="29"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loading was less important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was not a key driver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in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the opposite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season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during the wet season in HB and MTB. Similarly, chlorophyll-a concentrations increased over time from loading effects, although the effects were generally lower than for salinity and varied by season. The largest increases from loading by season, particularly in OTB and HB, were observed for the wet season where the effect increased across year groupings, whereas the dry season showed the opposite trend.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(1985-1998, 1999-2011, and 2012-2024), OTB suggested a shift towards higher chlorophyll-a from both load and salinity influences in 2012-2024 as shown by a shift in the mean effects towards the upper right of the plot (</w:t>
      </w:r>
      <w:hyperlink w:anchor="fig-statespace">
        <w:r>
          <w:rPr>
            <w:rStyle w:val="Hyperlink"/>
          </w:rPr>
          <w:t xml:space="preserve">Figure 6</w:t>
        </w:r>
      </w:hyperlink>
      <w:r>
        <w:t xml:space="preserve">b). A shift towards the right on the x-axis for the 2012-2024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in 2024 as high values on the y-axis for OTB and HB.</w:t>
      </w:r>
    </w:p>
    <w:bookmarkEnd w:id="29"/>
    <w:bookmarkStart w:id="30" w:name="X14f6928a225a3ff958e23c9722a7666d8f7bace"/>
    <w:p>
      <w:pPr>
        <w:pStyle w:val="Heading3"/>
      </w:pPr>
      <w:r>
        <w:t xml:space="preserve">3.3 Likelihood of Exceeding Regulatory Criteria</w:t>
      </w:r>
    </w:p>
    <w:p>
      <w:pPr>
        <w:pStyle w:val="FirstParagraph"/>
      </w:pPr>
      <w:r>
        <w:t xml:space="preserve">Scenario assessments for recent years (2012-2024)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15% at present and 19%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2012-2024 (five years in this period), the likelihood at present under observed salinity and loading conditions was approximately 40%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chlorophyll-a.</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16% by year 50 to 55%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2012-2024) showed that the likelihood of exceeding the regulatory criteria increases from 35% to 52% by year 50 with expected changes in salinity. If loading were reduced to half the TMDL, the likelihood of exceeding the regulatory thresholds decreased by 16% to 36% by year 50 (</w:t>
      </w:r>
      <w:hyperlink w:anchor="fig-simload">
        <w:r>
          <w:rPr>
            <w:rStyle w:val="Hyperlink"/>
          </w:rPr>
          <w:t xml:space="preserve">Figure 8</w:t>
        </w:r>
      </w:hyperlink>
      <w:r>
        <w:t xml:space="preserve">), suggesting that load reductions further than the TMDL may be needed to maintain an acceptable likelihood of exceeding regulatory chlorophyll-a thresholds in the future.</w:t>
      </w:r>
    </w:p>
    <w:bookmarkEnd w:id="30"/>
    <w:bookmarkEnd w:id="31"/>
    <w:bookmarkStart w:id="33"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and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future reductions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 year average), the likelihood that the chlorophyll-a threshold will be exceeded increases by 8% in 25 years and by 17% in fifty years to an overall likelihood of 52%.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was influenced by neither.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(VIFs were sufficiently low).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and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and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2"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2"/>
    <w:bookmarkEnd w:id="33"/>
    <w:bookmarkStart w:id="66"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7" w:name="fig-map"/>
          <w:p>
            <w:pPr>
              <w:pStyle w:val="Compact"/>
              <w:jc w:val="center"/>
            </w:pPr>
            <w:r>
              <w:drawing>
                <wp:inline>
                  <wp:extent cx="3669832" cy="4587290"/>
                  <wp:effectExtent b="0" l="0" r="0" t="0"/>
                  <wp:docPr descr="" title="" id="35" name="Picture"/>
                  <a:graphic>
                    <a:graphicData uri="http://schemas.openxmlformats.org/drawingml/2006/picture">
                      <pic:pic>
                        <pic:nvPicPr>
                          <pic:cNvPr descr="figs/map.png" id="36" name="Picture"/>
                          <pic:cNvPicPr>
                            <a:picLocks noChangeArrowheads="1" noChangeAspect="1"/>
                          </pic:cNvPicPr>
                        </pic:nvPicPr>
                        <pic:blipFill>
                          <a:blip r:embed="rId34"/>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Red lines show major dredged areas, including the main shipping canal from the Gulf to Hillsborough Bay. Points show long-term monitoring stations from the Environmental Protection Commission of Hillsborough County where chlorophyll-a and salinity data were used for modeling.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obsdat"/>
          <w:p>
            <w:pPr>
              <w:pStyle w:val="Compact"/>
              <w:jc w:val="center"/>
            </w:pPr>
            <w:r>
              <w:drawing>
                <wp:inline>
                  <wp:extent cx="5943600" cy="5943600"/>
                  <wp:effectExtent b="0" l="0" r="0" t="0"/>
                  <wp:docPr descr="" title="" id="39" name="Picture"/>
                  <a:graphic>
                    <a:graphicData uri="http://schemas.openxmlformats.org/drawingml/2006/picture">
                      <pic:pic>
                        <pic:nvPicPr>
                          <pic:cNvPr descr="figs/obsdat.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obsprd"/>
          <w:p>
            <w:pPr>
              <w:pStyle w:val="Compact"/>
              <w:jc w:val="center"/>
            </w:pPr>
            <w:r>
              <w:drawing>
                <wp:inline>
                  <wp:extent cx="5943600" cy="6686549"/>
                  <wp:effectExtent b="0" l="0" r="0" t="0"/>
                  <wp:docPr descr="" title="" id="43" name="Picture"/>
                  <a:graphic>
                    <a:graphicData uri="http://schemas.openxmlformats.org/drawingml/2006/picture">
                      <pic:pic>
                        <pic:nvPicPr>
                          <pic:cNvPr descr="figs/obsprd.png" id="44" name="Picture"/>
                          <pic:cNvPicPr>
                            <a:picLocks noChangeArrowheads="1" noChangeAspect="1"/>
                          </pic:cNvPicPr>
                        </pic:nvPicPr>
                        <pic:blipFill>
                          <a:blip r:embed="rId4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prdnrm"/>
          <w:p>
            <w:pPr>
              <w:pStyle w:val="Compact"/>
              <w:jc w:val="center"/>
            </w:pPr>
            <w:r>
              <w:drawing>
                <wp:inline>
                  <wp:extent cx="5943600" cy="4245428"/>
                  <wp:effectExtent b="0" l="0" r="0" t="0"/>
                  <wp:docPr descr="" title="" id="47" name="Picture"/>
                  <a:graphic>
                    <a:graphicData uri="http://schemas.openxmlformats.org/drawingml/2006/picture">
                      <pic:pic>
                        <pic:nvPicPr>
                          <pic:cNvPr descr="figs/prdnrm.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alvload"/>
          <w:p>
            <w:pPr>
              <w:pStyle w:val="Compact"/>
              <w:jc w:val="center"/>
            </w:pPr>
            <w:r>
              <w:drawing>
                <wp:inline>
                  <wp:extent cx="5943600" cy="5283200"/>
                  <wp:effectExtent b="0" l="0" r="0" t="0"/>
                  <wp:docPr descr="" title="" id="51" name="Picture"/>
                  <a:graphic>
                    <a:graphicData uri="http://schemas.openxmlformats.org/drawingml/2006/picture">
                      <pic:pic>
                        <pic:nvPicPr>
                          <pic:cNvPr descr="figs/salvload.png" id="52" name="Picture"/>
                          <pic:cNvPicPr>
                            <a:picLocks noChangeArrowheads="1" noChangeAspect="1"/>
                          </pic:cNvPicPr>
                        </pic:nvPicPr>
                        <pic:blipFill>
                          <a:blip r:embed="rId50"/>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53"/>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fig-statespace"/>
          <w:p>
            <w:pPr>
              <w:pStyle w:val="Compact"/>
              <w:jc w:val="center"/>
            </w:pPr>
            <w:r>
              <w:drawing>
                <wp:inline>
                  <wp:extent cx="5943600" cy="7528559"/>
                  <wp:effectExtent b="0" l="0" r="0" t="0"/>
                  <wp:docPr descr="" title="" id="55" name="Picture"/>
                  <a:graphic>
                    <a:graphicData uri="http://schemas.openxmlformats.org/drawingml/2006/picture">
                      <pic:pic>
                        <pic:nvPicPr>
                          <pic:cNvPr descr="figs/statespace.png" id="56" name="Picture"/>
                          <pic:cNvPicPr>
                            <a:picLocks noChangeArrowheads="1" noChangeAspect="1"/>
                          </pic:cNvPicPr>
                        </pic:nvPicPr>
                        <pic:blipFill>
                          <a:blip r:embed="rId54"/>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 space representations of modelled annual chlorophyll-a response to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fig-simplo"/>
          <w:p>
            <w:pPr>
              <w:pStyle w:val="Compact"/>
              <w:jc w:val="center"/>
            </w:pPr>
            <w:r>
              <w:drawing>
                <wp:inline>
                  <wp:extent cx="5943600" cy="5943600"/>
                  <wp:effectExtent b="0" l="0" r="0" t="0"/>
                  <wp:docPr descr="" title="" id="59" name="Picture"/>
                  <a:graphic>
                    <a:graphicData uri="http://schemas.openxmlformats.org/drawingml/2006/picture">
                      <pic:pic>
                        <pic:nvPicPr>
                          <pic:cNvPr descr="figs/simplo.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2012-2024.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1"/>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fig-simload"/>
          <w:p>
            <w:pPr>
              <w:pStyle w:val="Compact"/>
              <w:jc w:val="center"/>
            </w:pPr>
            <w:r>
              <w:drawing>
                <wp:inline>
                  <wp:extent cx="4128561" cy="4128561"/>
                  <wp:effectExtent b="0" l="0" r="0" t="0"/>
                  <wp:docPr descr="" title="" id="63" name="Picture"/>
                  <a:graphic>
                    <a:graphicData uri="http://schemas.openxmlformats.org/drawingml/2006/picture">
                      <pic:pic>
                        <pic:nvPicPr>
                          <pic:cNvPr descr="figs/simload.png" id="64" name="Picture"/>
                          <pic:cNvPicPr>
                            <a:picLocks noChangeArrowheads="1" noChangeAspect="1"/>
                          </pic:cNvPicPr>
                        </pic:nvPicPr>
                        <pic:blipFill>
                          <a:blip r:embed="rId62"/>
                          <a:stretch>
                            <a:fillRect/>
                          </a:stretch>
                        </pic:blipFill>
                        <pic:spPr bwMode="auto">
                          <a:xfrm>
                            <a:off x="0" y="0"/>
                            <a:ext cx="4128561" cy="4128561"/>
                          </a:xfrm>
                          <a:prstGeom prst="rect">
                            <a:avLst/>
                          </a:prstGeom>
                          <a:noFill/>
                          <a:ln w="9525">
                            <a:noFill/>
                            <a:headEnd/>
                            <a:tailEnd/>
                          </a:ln>
                        </pic:spPr>
                      </pic:pic>
                    </a:graphicData>
                  </a:graphic>
                </wp:inline>
              </w:drawing>
            </w:r>
          </w:p>
          <w:p>
            <w:pPr>
              <w:jc w:val="center"/>
            </w:pPr>
            <w:pPr>
              <w:jc w:val="left"/>
              <w:spacing w:before="200"/>
              <w:pStyle w:val="ImageCaption"/>
            </w:pPr>
            <w:r>
              <w:t xml:space="preserve">Fig. 8: Likelihood of exceeding regulatory thresholds in OTB over fifty years if nutrient loading is maintained at the current TMDL or at half the TMDL. Solid lines show the average and standard deviations of likelihoods of exceeding the thresholds over time for 10,000 simulations using the OTB model. Dashed lines show the estimated likelihood at year 50 and the difference between the two scenarios.</w:t>
            </w:r>
          </w:p>
          <w:bookmarkEnd w:id="65"/>
        </w:tc>
      </w:tr>
    </w:tbl>
    <w:p>
      <w:r>
        <w:br w:type="page"/>
      </w:r>
    </w:p>
    <w:bookmarkEnd w:id="66"/>
    <w:bookmarkStart w:id="7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7"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7"/>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tbl-gamcrtab"/>
          <w:p>
            <w:pPr>
              <w:jc w:val="center"/>
            </w:pPr>
            <w:pPr>
              <w:jc w:val="left"/>
              <w:spacing w:before="200"/>
              <w:pStyle w:val="ImageCaption"/>
            </w:pPr>
            <w:r>
              <w:t xml:space="preserve">Table 2: Correlations between monthly observed and predicted chlorophyll-a for different annual and seasonal groupings for each bay segment. The Annual column shows the correlation for the entire year grouping (1985-1998, 1999-2011, or 2012-2024)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10"/>
              <w:gridCol w:w="529"/>
            </w:tblGrid>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57575"/>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0.70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0.80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0.61</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r>
          </w:tbl>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69"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(1985-1998, 1999-2011, or 2012-2024) and the remaining columns show the differences by season within the year group. Font size is proportional to the magnitude of the effects, whereas colors show negative (blue) or positive (red) effects on chlorophyll-a.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602"/>
              <w:gridCol w:w="486"/>
              <w:gridCol w:w="792"/>
              <w:gridCol w:w="512"/>
              <w:gridCol w:w="521"/>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4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6AD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6ADC2"/>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67B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67B6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F9F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F9FC5"/>
                    </w:rPr>
                    <w:t xml:space="preserve">-0.24</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B89"/>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27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27E"/>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FA0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FA091"/>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FF0000"/>
                    </w:rPr>
                    <w:t xml:space="preserve">1.29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96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96C7"/>
                    </w:rPr>
                    <w:t xml:space="preserve">-0.31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90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90C8"/>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-1.80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EE8A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EE8A74"/>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3ADA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3ADA3"/>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0.17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73C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73C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DE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DE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783C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783CA"/>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791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791C8"/>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2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29C8B"/>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6ED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6ED1"/>
                    </w:rPr>
                    <w:t xml:space="preserve">-0.65</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1"/>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E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E32"/>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381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38168"/>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BE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BE7"/>
                    </w:rPr>
                    <w:t xml:space="preserve">-0.91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DC5"/>
                    </w:rPr>
                    <w:t xml:space="preserve">-0.26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743E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743EB"/>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B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B917C"/>
                    </w:rPr>
                    <w:t xml:space="preserve">0.33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8BC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8BC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7BC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7BCC"/>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94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94C7"/>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19E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19E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-0.12</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087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08770"/>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43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438"/>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CA39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CA395"/>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1C1"/>
                    </w:rPr>
                    <w:t xml:space="preserve">-0.10</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A"/>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9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9F"/>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bl>
          <w:bookmarkEnd w:id="69"/>
        </w:tc>
      </w:tr>
    </w:tbl>
    <w:p>
      <w:r>
        <w:br w:type="page"/>
      </w:r>
    </w:p>
    <w:tbl>
      <w:tblPr>
        <w:tblStyle w:val="Table"/>
        <w:tblW w:type="pct" w:w="5000"/>
        <w:tblLayout w:type="fixed"/>
        <w:tblLook w:firstRow="0" w:lastRow="0" w:firstColumn="0" w:lastColumn="0" w:noHBand="0" w:noVBand="0" w:val="0000"/>
      </w:tblPr>
      <w:tblGrid>
        <w:gridCol w:w="7920"/>
      </w:tblGrid>
      <w:tr>
        <w:tc>
          <w:tcPr/>
          <w:bookmarkStart w:id="70"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2012-2024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16"/>
              <w:gridCol w:w="1281"/>
              <w:gridCol w:w="1061"/>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(10.4,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(9.9, ↑6.5)</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(9.8, ↑15.5)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(10.4, ↑16.9)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↑13)</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(7.8)</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(7.9, ↑2.3)</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↑4.4)</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↑0.5)</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 ↑2.6)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↑1.2)</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 ↑3.1)</w:t>
                  </w:r>
                </w:p>
              </w:tc>
            </w:tr>
            <w:tr>
              <w:trPr>
                <w:trHeight w:val="4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 ↑7.1)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(6.6, ↑8.4)</w:t>
                  </w:r>
                </w:p>
              </w:tc>
            </w:tr>
          </w:tbl>
          <w:bookmarkEnd w:id="70"/>
        </w:tc>
      </w:tr>
    </w:tbl>
    <w:p>
      <w:r>
        <w:br w:type="page"/>
      </w:r>
    </w:p>
    <w:bookmarkEnd w:id="71"/>
    <w:bookmarkStart w:id="73"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2">
        <w:r>
          <w:rPr>
            <w:rStyle w:val="Hyperlink"/>
          </w:rPr>
          <w:t xml:space="preserve">https://github.com/tbep-tech/chlhydro-manu</w:t>
        </w:r>
      </w:hyperlink>
      <w:r>
        <w:t xml:space="preserve">.</w:t>
      </w:r>
    </w:p>
    <w:bookmarkEnd w:id="73"/>
    <w:bookmarkStart w:id="74"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 We also thank Dr. Ray Pribble for extensive support with the loading estimates.</w:t>
      </w:r>
    </w:p>
    <w:bookmarkEnd w:id="74"/>
    <w:bookmarkStart w:id="78" w:name="statements-and-declarations"/>
    <w:p>
      <w:pPr>
        <w:pStyle w:val="Heading2"/>
      </w:pPr>
      <w:r>
        <w:t xml:space="preserve">Statements and Declarations</w:t>
      </w:r>
    </w:p>
    <w:bookmarkStart w:id="75" w:name="author-contributions"/>
    <w:p>
      <w:pPr>
        <w:pStyle w:val="Heading3"/>
      </w:pPr>
      <w:r>
        <w:t xml:space="preserve">Author Contributions</w:t>
      </w:r>
    </w:p>
    <w:p>
      <w:pPr>
        <w:pStyle w:val="FirstParagraph"/>
      </w:pPr>
      <w:r>
        <w:t xml:space="preserve">Conceptualization: all authors; Data Curation: Marcus W Beck; Methodology: Marcus W Beck, Edward T Sherwood; Formal analysis and investigation: Marcus W Beck; Writing - original draft preparation: Marcus W Beck; Writing - review and editing: all authors; Funding acquisition: Edward T Sherwood.</w:t>
      </w:r>
    </w:p>
    <w:bookmarkEnd w:id="75"/>
    <w:bookmarkStart w:id="76"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6"/>
    <w:bookmarkStart w:id="77"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7"/>
    <w:bookmarkEnd w:id="78"/>
    <w:bookmarkStart w:id="201" w:name="references"/>
    <w:p>
      <w:pPr>
        <w:pStyle w:val="Heading2"/>
      </w:pPr>
      <w:r>
        <w:t xml:space="preserve">References</w:t>
      </w:r>
    </w:p>
    <w:bookmarkStart w:id="200" w:name="refs"/>
    <w:bookmarkStart w:id="79"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79"/>
    <w:bookmarkStart w:id="81"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80">
        <w:r>
          <w:rPr>
            <w:rStyle w:val="Hyperlink"/>
          </w:rPr>
          <w:t xml:space="preserve">https://doi.org/10.1016/j.ocecoaman.2023.106929</w:t>
        </w:r>
      </w:hyperlink>
      <w:r>
        <w:t xml:space="preserve">.</w:t>
      </w:r>
    </w:p>
    <w:bookmarkEnd w:id="81"/>
    <w:bookmarkStart w:id="83"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82">
        <w:r>
          <w:rPr>
            <w:rStyle w:val="Hyperlink"/>
          </w:rPr>
          <w:t xml:space="preserve">https://doi.org/10.1029/2004GB002229</w:t>
        </w:r>
      </w:hyperlink>
      <w:r>
        <w:t xml:space="preserve">.</w:t>
      </w:r>
    </w:p>
    <w:bookmarkEnd w:id="83"/>
    <w:bookmarkStart w:id="85" w:name="ref-beck2022c"/>
    <w:p>
      <w:pPr>
        <w:pStyle w:val="Bibliography"/>
      </w:pPr>
      <w:r>
        <w:t xml:space="preserve">Beck, M. W. 2022. Tbep-tech/load-estimates: v1.0.0 (version v1.0.0). Zenodo.</w:t>
      </w:r>
      <w:r>
        <w:t xml:space="preserve"> </w:t>
      </w:r>
      <w:hyperlink r:id="rId84">
        <w:r>
          <w:rPr>
            <w:rStyle w:val="Hyperlink"/>
          </w:rPr>
          <w:t xml:space="preserve">https://doi.org/10.5281/zenodo.6653433</w:t>
        </w:r>
      </w:hyperlink>
      <w:r>
        <w:t xml:space="preserve">.</w:t>
      </w:r>
    </w:p>
    <w:bookmarkEnd w:id="85"/>
    <w:bookmarkStart w:id="87"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86">
        <w:r>
          <w:rPr>
            <w:rStyle w:val="Hyperlink"/>
          </w:rPr>
          <w:t xml:space="preserve">https://doi.org/10.1016/j.scitotenv.2021.149927</w:t>
        </w:r>
      </w:hyperlink>
      <w:r>
        <w:t xml:space="preserve">.</w:t>
      </w:r>
    </w:p>
    <w:bookmarkEnd w:id="87"/>
    <w:bookmarkStart w:id="89"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88">
        <w:r>
          <w:rPr>
            <w:rStyle w:val="Hyperlink"/>
          </w:rPr>
          <w:t xml:space="preserve">https://doi.org/10.1007/s12237-024-01385-0</w:t>
        </w:r>
      </w:hyperlink>
      <w:r>
        <w:t xml:space="preserve">.</w:t>
      </w:r>
    </w:p>
    <w:bookmarkEnd w:id="89"/>
    <w:bookmarkStart w:id="91"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90">
        <w:r>
          <w:rPr>
            <w:rStyle w:val="Hyperlink"/>
          </w:rPr>
          <w:t xml:space="preserve">https://doi.org/10.1007/s10666-015-9452-8</w:t>
        </w:r>
      </w:hyperlink>
      <w:r>
        <w:t xml:space="preserve">.</w:t>
      </w:r>
    </w:p>
    <w:bookmarkEnd w:id="91"/>
    <w:bookmarkStart w:id="93"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92">
        <w:r>
          <w:rPr>
            <w:rStyle w:val="Hyperlink"/>
          </w:rPr>
          <w:t xml:space="preserve">https://doi.org/10.1111/1752-1688.12489</w:t>
        </w:r>
      </w:hyperlink>
      <w:r>
        <w:t xml:space="preserve">.</w:t>
      </w:r>
    </w:p>
    <w:bookmarkEnd w:id="93"/>
    <w:bookmarkStart w:id="95"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94">
        <w:r>
          <w:rPr>
            <w:rStyle w:val="Hyperlink"/>
          </w:rPr>
          <w:t xml:space="preserve">https://doi.org/10.13031/2013.21742</w:t>
        </w:r>
      </w:hyperlink>
      <w:r>
        <w:t xml:space="preserve">.</w:t>
      </w:r>
    </w:p>
    <w:bookmarkEnd w:id="95"/>
    <w:bookmarkStart w:id="97"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96">
        <w:r>
          <w:rPr>
            <w:rStyle w:val="Hyperlink"/>
          </w:rPr>
          <w:t xml:space="preserve">https://doi.org/10.1021/es011246m</w:t>
        </w:r>
      </w:hyperlink>
      <w:r>
        <w:t xml:space="preserve">.</w:t>
      </w:r>
    </w:p>
    <w:bookmarkEnd w:id="97"/>
    <w:bookmarkStart w:id="98"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98"/>
    <w:bookmarkStart w:id="99"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99"/>
    <w:bookmarkStart w:id="101"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100">
        <w:r>
          <w:rPr>
            <w:rStyle w:val="Hyperlink"/>
          </w:rPr>
          <w:t xml:space="preserve">https://doi.org/10.1016/j.marchem.2006.12.007</w:t>
        </w:r>
      </w:hyperlink>
      <w:r>
        <w:t xml:space="preserve">.</w:t>
      </w:r>
    </w:p>
    <w:bookmarkEnd w:id="101"/>
    <w:bookmarkStart w:id="103"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102">
        <w:r>
          <w:rPr>
            <w:rStyle w:val="Hyperlink"/>
          </w:rPr>
          <w:t xml:space="preserve">https://doi.org/10.1016/j.rse.2006.12.019</w:t>
        </w:r>
      </w:hyperlink>
      <w:r>
        <w:t xml:space="preserve">.</w:t>
      </w:r>
    </w:p>
    <w:bookmarkEnd w:id="103"/>
    <w:bookmarkStart w:id="105"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04">
        <w:r>
          <w:rPr>
            <w:rStyle w:val="Hyperlink"/>
          </w:rPr>
          <w:t xml:space="preserve">https://doi.org/10.3354/meps210223</w:t>
        </w:r>
      </w:hyperlink>
      <w:r>
        <w:t xml:space="preserve">.</w:t>
      </w:r>
    </w:p>
    <w:bookmarkEnd w:id="105"/>
    <w:bookmarkStart w:id="107"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06">
        <w:r>
          <w:rPr>
            <w:rStyle w:val="Hyperlink"/>
          </w:rPr>
          <w:t xml:space="preserve">https://doi.org/10.1007/s10750-004-7102-2</w:t>
        </w:r>
      </w:hyperlink>
      <w:r>
        <w:t xml:space="preserve">.</w:t>
      </w:r>
    </w:p>
    <w:bookmarkEnd w:id="107"/>
    <w:bookmarkStart w:id="109"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08">
        <w:r>
          <w:rPr>
            <w:rStyle w:val="Hyperlink"/>
          </w:rPr>
          <w:t xml:space="preserve">https://doi.org/10.1007/s00267-005-0079-4</w:t>
        </w:r>
      </w:hyperlink>
      <w:r>
        <w:t xml:space="preserve">.</w:t>
      </w:r>
    </w:p>
    <w:bookmarkEnd w:id="109"/>
    <w:bookmarkStart w:id="111"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10">
        <w:r>
          <w:rPr>
            <w:rStyle w:val="Hyperlink"/>
          </w:rPr>
          <w:t xml:space="preserve">https://doi.org/10.1016/j.ecss.2014.10.003</w:t>
        </w:r>
      </w:hyperlink>
      <w:r>
        <w:t xml:space="preserve">.</w:t>
      </w:r>
    </w:p>
    <w:bookmarkEnd w:id="111"/>
    <w:bookmarkStart w:id="113"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12">
        <w:r>
          <w:rPr>
            <w:rStyle w:val="Hyperlink"/>
          </w:rPr>
          <w:t xml:space="preserve">https://doi.org/10.2307/1353325</w:t>
        </w:r>
      </w:hyperlink>
      <w:r>
        <w:t xml:space="preserve">.</w:t>
      </w:r>
    </w:p>
    <w:bookmarkEnd w:id="113"/>
    <w:bookmarkStart w:id="115"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14">
        <w:r>
          <w:rPr>
            <w:rStyle w:val="Hyperlink"/>
          </w:rPr>
          <w:t xml:space="preserve">https://doi.org/10.1016/j.scitotenv.2010.05.031</w:t>
        </w:r>
      </w:hyperlink>
      <w:r>
        <w:t xml:space="preserve">.</w:t>
      </w:r>
    </w:p>
    <w:bookmarkEnd w:id="115"/>
    <w:bookmarkStart w:id="117"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16">
        <w:r>
          <w:rPr>
            <w:rStyle w:val="Hyperlink"/>
          </w:rPr>
          <w:t xml:space="preserve">https://doi.org/10.1111/j.1752-1688.2010.00482.x</w:t>
        </w:r>
      </w:hyperlink>
      <w:r>
        <w:t xml:space="preserve">.</w:t>
      </w:r>
    </w:p>
    <w:bookmarkEnd w:id="117"/>
    <w:bookmarkStart w:id="118"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18"/>
    <w:bookmarkStart w:id="120" w:name="ref-tbep0696"/>
    <w:p>
      <w:pPr>
        <w:pStyle w:val="Bibliography"/>
      </w:pPr>
      <w:r>
        <w:t xml:space="preserve">Janicki, A. J., and D. L. Wade. 1996.</w:t>
      </w:r>
      <w:r>
        <w:t xml:space="preserve"> </w:t>
      </w:r>
      <w:hyperlink r:id="rId119">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20"/>
    <w:bookmarkStart w:id="122" w:name="ref-tbep0400"/>
    <w:p>
      <w:pPr>
        <w:pStyle w:val="Bibliography"/>
      </w:pPr>
      <w:r>
        <w:t xml:space="preserve">Janicki, A. J., D. L. Wade, and J. R. Pribble. 2000.</w:t>
      </w:r>
      <w:r>
        <w:t xml:space="preserve"> </w:t>
      </w:r>
      <w:hyperlink r:id="rId121">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22"/>
    <w:bookmarkStart w:id="124" w:name="ref-tbep1115"/>
    <w:p>
      <w:pPr>
        <w:pStyle w:val="Bibliography"/>
      </w:pPr>
      <w:r>
        <w:t xml:space="preserve">Janicki Environmental, Inc. 2015.</w:t>
      </w:r>
      <w:r>
        <w:t xml:space="preserve"> </w:t>
      </w:r>
      <w:hyperlink r:id="rId123">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24"/>
    <w:bookmarkStart w:id="126" w:name="ref-tbep0623"/>
    <w:p>
      <w:pPr>
        <w:pStyle w:val="Bibliography"/>
      </w:pPr>
      <w:r>
        <w:t xml:space="preserve">Janicki Environmental, Inc. 2023.</w:t>
      </w:r>
      <w:r>
        <w:t xml:space="preserve"> </w:t>
      </w:r>
      <w:hyperlink r:id="rId125">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26"/>
    <w:bookmarkStart w:id="128" w:name="ref-tbep0622"/>
    <w:p>
      <w:pPr>
        <w:pStyle w:val="Bibliography"/>
      </w:pPr>
      <w:r>
        <w:t xml:space="preserve">Johansson, J. O. R. 2022.</w:t>
      </w:r>
      <w:r>
        <w:t xml:space="preserve"> </w:t>
      </w:r>
      <w:hyperlink r:id="rId127">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28"/>
    <w:bookmarkStart w:id="129"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29"/>
    <w:bookmarkStart w:id="131"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30">
        <w:r>
          <w:rPr>
            <w:rStyle w:val="Hyperlink"/>
          </w:rPr>
          <w:t xml:space="preserve">https://doi.org/10.1016/j.jenvman.2006.12.013</w:t>
        </w:r>
      </w:hyperlink>
      <w:r>
        <w:t xml:space="preserve">.</w:t>
      </w:r>
    </w:p>
    <w:bookmarkEnd w:id="131"/>
    <w:bookmarkStart w:id="133"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32">
        <w:r>
          <w:rPr>
            <w:rStyle w:val="Hyperlink"/>
          </w:rPr>
          <w:t xml:space="preserve">https://doi.org/10.2307/1351884</w:t>
        </w:r>
      </w:hyperlink>
      <w:r>
        <w:t xml:space="preserve">.</w:t>
      </w:r>
    </w:p>
    <w:bookmarkEnd w:id="133"/>
    <w:bookmarkStart w:id="135"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34">
        <w:r>
          <w:rPr>
            <w:rStyle w:val="Hyperlink"/>
          </w:rPr>
          <w:t xml:space="preserve">https://doi.org/10.1016/j.jembe.2009.10.014</w:t>
        </w:r>
      </w:hyperlink>
      <w:r>
        <w:t xml:space="preserve">.</w:t>
      </w:r>
    </w:p>
    <w:bookmarkEnd w:id="135"/>
    <w:bookmarkStart w:id="137"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36">
        <w:r>
          <w:rPr>
            <w:rStyle w:val="Hyperlink"/>
          </w:rPr>
          <w:t xml:space="preserve">https://doi.org/10.1016/j.ecss.2012.09.017</w:t>
        </w:r>
      </w:hyperlink>
      <w:r>
        <w:t xml:space="preserve">.</w:t>
      </w:r>
    </w:p>
    <w:bookmarkEnd w:id="137"/>
    <w:bookmarkStart w:id="139"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38">
        <w:r>
          <w:rPr>
            <w:rStyle w:val="Hyperlink"/>
          </w:rPr>
          <w:t xml:space="preserve">https://doi.org/10.1016/j.dsr2.2013.12.011</w:t>
        </w:r>
      </w:hyperlink>
      <w:r>
        <w:t xml:space="preserve">.</w:t>
      </w:r>
    </w:p>
    <w:bookmarkEnd w:id="139"/>
    <w:bookmarkStart w:id="141"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40">
        <w:r>
          <w:rPr>
            <w:rStyle w:val="Hyperlink"/>
          </w:rPr>
          <w:t xml:space="preserve">https://doi.org/10.1016/j.cosust.2012.03.002</w:t>
        </w:r>
      </w:hyperlink>
      <w:r>
        <w:t xml:space="preserve">.</w:t>
      </w:r>
    </w:p>
    <w:bookmarkEnd w:id="141"/>
    <w:bookmarkStart w:id="143" w:name="ref-luther2022"/>
    <w:p>
      <w:pPr>
        <w:pStyle w:val="Bibliography"/>
      </w:pPr>
      <w:r>
        <w:t xml:space="preserve">Luther, M. E., and S. D. Meyers. 2022.</w:t>
      </w:r>
      <w:r>
        <w:t xml:space="preserve"> </w:t>
      </w:r>
      <w:hyperlink r:id="rId142">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43"/>
    <w:bookmarkStart w:id="145"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44">
        <w:r>
          <w:rPr>
            <w:rStyle w:val="Hyperlink"/>
          </w:rPr>
          <w:t xml:space="preserve">https://doi.org/10.2112/SI54-000.1</w:t>
        </w:r>
      </w:hyperlink>
      <w:r>
        <w:t xml:space="preserve">.</w:t>
      </w:r>
    </w:p>
    <w:bookmarkEnd w:id="145"/>
    <w:bookmarkStart w:id="147"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46">
        <w:r>
          <w:rPr>
            <w:rStyle w:val="Hyperlink"/>
          </w:rPr>
          <w:t xml:space="preserve">https://doi.org/10.1002/2014JC010342</w:t>
        </w:r>
      </w:hyperlink>
      <w:r>
        <w:t xml:space="preserve">.</w:t>
      </w:r>
    </w:p>
    <w:bookmarkEnd w:id="147"/>
    <w:bookmarkStart w:id="149"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48">
        <w:r>
          <w:rPr>
            <w:rStyle w:val="Hyperlink"/>
          </w:rPr>
          <w:t xml:space="preserve">https://doi.org/10.1007/BF02798652</w:t>
        </w:r>
      </w:hyperlink>
      <w:r>
        <w:t xml:space="preserve">.</w:t>
      </w:r>
    </w:p>
    <w:bookmarkEnd w:id="149"/>
    <w:bookmarkStart w:id="150"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50"/>
    <w:bookmarkStart w:id="152"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51">
        <w:r>
          <w:rPr>
            <w:rStyle w:val="Hyperlink"/>
          </w:rPr>
          <w:t xml:space="preserve">https://doi.org/10.1007/s00267-010-9531-1</w:t>
        </w:r>
      </w:hyperlink>
      <w:r>
        <w:t xml:space="preserve">.</w:t>
      </w:r>
    </w:p>
    <w:bookmarkEnd w:id="152"/>
    <w:bookmarkStart w:id="154"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53">
        <w:r>
          <w:rPr>
            <w:rStyle w:val="Hyperlink"/>
          </w:rPr>
          <w:t xml:space="preserve">https://doi.org/10.1021/acs.est.1c05388</w:t>
        </w:r>
      </w:hyperlink>
      <w:r>
        <w:t xml:space="preserve">.</w:t>
      </w:r>
    </w:p>
    <w:bookmarkEnd w:id="154"/>
    <w:bookmarkStart w:id="156"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55">
        <w:r>
          <w:rPr>
            <w:rStyle w:val="Hyperlink"/>
          </w:rPr>
          <w:t xml:space="preserve">https://doi.org/10.1016/j.envsoft.2019.03.027</w:t>
        </w:r>
      </w:hyperlink>
      <w:r>
        <w:t xml:space="preserve">.</w:t>
      </w:r>
    </w:p>
    <w:bookmarkEnd w:id="156"/>
    <w:bookmarkStart w:id="157" w:name="ref-nadp2022"/>
    <w:p>
      <w:pPr>
        <w:pStyle w:val="Bibliography"/>
      </w:pPr>
      <w:r>
        <w:t xml:space="preserve">NADP. 2022. National atmospheric deposition program (NRSP-3). NADP program office, wisconsin state laboratory of hygiene, 465 henry mall, madison, WI 53706.</w:t>
      </w:r>
    </w:p>
    <w:bookmarkEnd w:id="157"/>
    <w:bookmarkStart w:id="159"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58">
        <w:r>
          <w:rPr>
            <w:rStyle w:val="Hyperlink"/>
          </w:rPr>
          <w:t xml:space="preserve">https://doi.org/10.1080/00785236.1995.10422044</w:t>
        </w:r>
      </w:hyperlink>
      <w:r>
        <w:t xml:space="preserve">.</w:t>
      </w:r>
    </w:p>
    <w:bookmarkEnd w:id="159"/>
    <w:bookmarkStart w:id="161"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60">
        <w:r>
          <w:rPr>
            <w:rStyle w:val="Hyperlink"/>
          </w:rPr>
          <w:t xml:space="preserve">https://doi.org/10.1007/s00267-004-0034-9</w:t>
        </w:r>
      </w:hyperlink>
      <w:r>
        <w:t xml:space="preserve">.</w:t>
      </w:r>
    </w:p>
    <w:bookmarkEnd w:id="161"/>
    <w:bookmarkStart w:id="162"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62"/>
    <w:bookmarkStart w:id="164"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63">
        <w:r>
          <w:rPr>
            <w:rStyle w:val="Hyperlink"/>
          </w:rPr>
          <w:t xml:space="preserve">https://doi.org/10.1016/j.rsma.2015.11.007</w:t>
        </w:r>
      </w:hyperlink>
      <w:r>
        <w:t xml:space="preserve">.</w:t>
      </w:r>
    </w:p>
    <w:bookmarkEnd w:id="164"/>
    <w:bookmarkStart w:id="166"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65">
        <w:r>
          <w:rPr>
            <w:rStyle w:val="Hyperlink"/>
          </w:rPr>
          <w:t xml:space="preserve">https://doi.org/10.7717/peerj.16073</w:t>
        </w:r>
      </w:hyperlink>
      <w:r>
        <w:t xml:space="preserve">.</w:t>
      </w:r>
    </w:p>
    <w:bookmarkEnd w:id="166"/>
    <w:bookmarkStart w:id="168" w:name="ref-sherwood2015"/>
    <w:p>
      <w:pPr>
        <w:pStyle w:val="Bibliography"/>
      </w:pPr>
      <w:r>
        <w:t xml:space="preserve">Sherwood, E. T., H. S. Greening, L. Garcia, K. Kaufman, A. J. Janicki, R. Pribble, B. Cunningham, et al. 2015.</w:t>
      </w:r>
      <w:r>
        <w:t xml:space="preserve"> </w:t>
      </w:r>
      <w:hyperlink r:id="rId167">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68"/>
    <w:bookmarkStart w:id="170"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69">
        <w:r>
          <w:rPr>
            <w:rStyle w:val="Hyperlink"/>
          </w:rPr>
          <w:t xml:space="preserve">https://doi.org/10.1016/j.rsma.2015.05.005</w:t>
        </w:r>
      </w:hyperlink>
      <w:r>
        <w:t xml:space="preserve">.</w:t>
      </w:r>
    </w:p>
    <w:bookmarkEnd w:id="170"/>
    <w:bookmarkStart w:id="172"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71">
        <w:r>
          <w:rPr>
            <w:rStyle w:val="Hyperlink"/>
          </w:rPr>
          <w:t xml:space="preserve">https://doi.org/10.1353/sgo.2017.0026</w:t>
        </w:r>
      </w:hyperlink>
      <w:r>
        <w:t xml:space="preserve">.</w:t>
      </w:r>
    </w:p>
    <w:bookmarkEnd w:id="172"/>
    <w:bookmarkStart w:id="174"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73">
        <w:r>
          <w:rPr>
            <w:rStyle w:val="Hyperlink"/>
          </w:rPr>
          <w:t xml:space="preserve">https://doi.org/10.32614/CRAN.package.gratia</w:t>
        </w:r>
      </w:hyperlink>
      <w:r>
        <w:t xml:space="preserve">.</w:t>
      </w:r>
    </w:p>
    <w:bookmarkEnd w:id="174"/>
    <w:bookmarkStart w:id="176"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75">
        <w:r>
          <w:rPr>
            <w:rStyle w:val="Hyperlink"/>
          </w:rPr>
          <w:t xml:space="preserve">https://doi.org/10.2307/1352982</w:t>
        </w:r>
      </w:hyperlink>
      <w:r>
        <w:t xml:space="preserve">.</w:t>
      </w:r>
    </w:p>
    <w:bookmarkEnd w:id="176"/>
    <w:bookmarkStart w:id="178" w:name="ref-SWFWMD25"/>
    <w:p>
      <w:pPr>
        <w:pStyle w:val="Bibliography"/>
      </w:pPr>
      <w:r>
        <w:t xml:space="preserve">Southwest Florida Water Management District. 2025.</w:t>
      </w:r>
      <w:r>
        <w:t xml:space="preserve"> </w:t>
      </w:r>
      <w:hyperlink r:id="rId177">
        <w:r>
          <w:rPr>
            <w:rStyle w:val="Hyperlink"/>
          </w:rPr>
          <w:t xml:space="preserve">2023 land use land cover shapefile for SWFWMD</w:t>
        </w:r>
      </w:hyperlink>
      <w:r>
        <w:t xml:space="preserve">.</w:t>
      </w:r>
    </w:p>
    <w:bookmarkEnd w:id="178"/>
    <w:bookmarkStart w:id="180"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79">
        <w:r>
          <w:rPr>
            <w:rStyle w:val="Hyperlink"/>
          </w:rPr>
          <w:t xml:space="preserve">https://doi.org/10.1016/j.scitotenv.2011.09.088</w:t>
        </w:r>
      </w:hyperlink>
      <w:r>
        <w:t xml:space="preserve">.</w:t>
      </w:r>
    </w:p>
    <w:bookmarkEnd w:id="180"/>
    <w:bookmarkStart w:id="182" w:name="ref-tbep0310"/>
    <w:p>
      <w:pPr>
        <w:pStyle w:val="Bibliography"/>
      </w:pPr>
      <w:r>
        <w:t xml:space="preserve">Tampa Bay Nitrogen Management Consortium. 2010.</w:t>
      </w:r>
      <w:r>
        <w:t xml:space="preserve"> </w:t>
      </w:r>
      <w:hyperlink r:id="rId181">
        <w:r>
          <w:rPr>
            <w:rStyle w:val="Hyperlink"/>
            <w:i/>
            <w:iCs/>
          </w:rPr>
          <w:t xml:space="preserve">2009 reasonable assurance addendum: Allocation and assessment report</w:t>
        </w:r>
      </w:hyperlink>
      <w:r>
        <w:t xml:space="preserve">. Technical report 03-10. St. Petersburg, Florida: Tampa Bay Estuary Program.</w:t>
      </w:r>
    </w:p>
    <w:bookmarkEnd w:id="182"/>
    <w:bookmarkStart w:id="184"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83">
        <w:r>
          <w:rPr>
            <w:rStyle w:val="Hyperlink"/>
          </w:rPr>
          <w:t xml:space="preserve">https://doi.org/10.1111/1752-1688.70070</w:t>
        </w:r>
      </w:hyperlink>
      <w:r>
        <w:t xml:space="preserve">.</w:t>
      </w:r>
    </w:p>
    <w:bookmarkEnd w:id="184"/>
    <w:bookmarkStart w:id="186"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85">
        <w:r>
          <w:rPr>
            <w:rStyle w:val="Hyperlink"/>
          </w:rPr>
          <w:t xml:space="preserve">https://doi.org/10.1007/978-0-387-21706-2</w:t>
        </w:r>
      </w:hyperlink>
      <w:r>
        <w:t xml:space="preserve">.</w:t>
      </w:r>
    </w:p>
    <w:bookmarkEnd w:id="186"/>
    <w:bookmarkStart w:id="188"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87">
        <w:r>
          <w:rPr>
            <w:rStyle w:val="Hyperlink"/>
          </w:rPr>
          <w:t xml:space="preserve">https://doi.org/10.1016/j.jhydrol.2025.134851</w:t>
        </w:r>
      </w:hyperlink>
      <w:r>
        <w:t xml:space="preserve">.</w:t>
      </w:r>
    </w:p>
    <w:bookmarkEnd w:id="188"/>
    <w:bookmarkStart w:id="190"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89">
        <w:r>
          <w:rPr>
            <w:rStyle w:val="Hyperlink"/>
          </w:rPr>
          <w:t xml:space="preserve">https://doi.org/10.1006/ecss.1999.0490</w:t>
        </w:r>
      </w:hyperlink>
      <w:r>
        <w:t xml:space="preserve">.</w:t>
      </w:r>
    </w:p>
    <w:bookmarkEnd w:id="190"/>
    <w:bookmarkStart w:id="192"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91">
        <w:r>
          <w:rPr>
            <w:rStyle w:val="Hyperlink"/>
          </w:rPr>
          <w:t xml:space="preserve">https://doi.org/10.1111/j.1467-9868.2010.00749.x</w:t>
        </w:r>
      </w:hyperlink>
      <w:r>
        <w:t xml:space="preserve">.</w:t>
      </w:r>
    </w:p>
    <w:bookmarkEnd w:id="192"/>
    <w:bookmarkStart w:id="193"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93"/>
    <w:bookmarkStart w:id="195"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94">
        <w:r>
          <w:rPr>
            <w:rStyle w:val="Hyperlink"/>
          </w:rPr>
          <w:t xml:space="preserve">https://doi.org/10.1061/(ASCE)0733-9496(2003)129:4(295)</w:t>
        </w:r>
      </w:hyperlink>
      <w:r>
        <w:t xml:space="preserve">.</w:t>
      </w:r>
    </w:p>
    <w:bookmarkEnd w:id="195"/>
    <w:bookmarkStart w:id="197" w:name="ref-tbep0511"/>
    <w:p>
      <w:pPr>
        <w:pStyle w:val="Bibliography"/>
      </w:pPr>
      <w:r>
        <w:t xml:space="preserve">Yates, K., H. Greening, and G. Morrison. 2011.</w:t>
      </w:r>
      <w:r>
        <w:t xml:space="preserve"> </w:t>
      </w:r>
      <w:hyperlink r:id="rId196">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197"/>
    <w:bookmarkStart w:id="199" w:name="ref-tbep0494"/>
    <w:p>
      <w:pPr>
        <w:pStyle w:val="Bibliography"/>
      </w:pPr>
      <w:r>
        <w:t xml:space="preserve">Zarbock, H. W., A. J. Janicki, D. L. Wade, and D. G. Heimbuch. 1994.</w:t>
      </w:r>
      <w:r>
        <w:t xml:space="preserve"> </w:t>
      </w:r>
      <w:hyperlink r:id="rId198">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99"/>
    <w:bookmarkEnd w:id="200"/>
    <w:bookmarkEnd w:id="201"/>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hyperlink" Id="rId196" Target="http://pubs.usgs.gov/circ/1348/" TargetMode="External" /><Relationship Type="http://schemas.openxmlformats.org/officeDocument/2006/relationships/hyperlink" Id="rId146" Target="https://doi.org/10.1002/2014JC010342" TargetMode="External" /><Relationship Type="http://schemas.openxmlformats.org/officeDocument/2006/relationships/hyperlink" Id="rId189" Target="https://doi.org/10.1006/ecss.1999.0490" TargetMode="External" /><Relationship Type="http://schemas.openxmlformats.org/officeDocument/2006/relationships/hyperlink" Id="rId185" Target="https://doi.org/10.1007/978-0-387-21706-2" TargetMode="External" /><Relationship Type="http://schemas.openxmlformats.org/officeDocument/2006/relationships/hyperlink" Id="rId148" Target="https://doi.org/10.1007/BF02798652" TargetMode="External" /><Relationship Type="http://schemas.openxmlformats.org/officeDocument/2006/relationships/hyperlink" Id="rId160" Target="https://doi.org/10.1007/s00267-004-0034-9" TargetMode="External" /><Relationship Type="http://schemas.openxmlformats.org/officeDocument/2006/relationships/hyperlink" Id="rId108" Target="https://doi.org/10.1007/s00267-005-0079-4" TargetMode="External" /><Relationship Type="http://schemas.openxmlformats.org/officeDocument/2006/relationships/hyperlink" Id="rId151" Target="https://doi.org/10.1007/s00267-010-9531-1" TargetMode="External" /><Relationship Type="http://schemas.openxmlformats.org/officeDocument/2006/relationships/hyperlink" Id="rId90" Target="https://doi.org/10.1007/s10666-015-9452-8" TargetMode="External" /><Relationship Type="http://schemas.openxmlformats.org/officeDocument/2006/relationships/hyperlink" Id="rId106" Target="https://doi.org/10.1007/s10750-004-7102-2" TargetMode="External" /><Relationship Type="http://schemas.openxmlformats.org/officeDocument/2006/relationships/hyperlink" Id="rId88" Target="https://doi.org/10.1007/s12237-024-01385-0" TargetMode="External" /><Relationship Type="http://schemas.openxmlformats.org/officeDocument/2006/relationships/hyperlink" Id="rId140" Target="https://doi.org/10.1016/j.cosust.2012.03.002" TargetMode="External" /><Relationship Type="http://schemas.openxmlformats.org/officeDocument/2006/relationships/hyperlink" Id="rId138" Target="https://doi.org/10.1016/j.dsr2.2013.12.011" TargetMode="External" /><Relationship Type="http://schemas.openxmlformats.org/officeDocument/2006/relationships/hyperlink" Id="rId136" Target="https://doi.org/10.1016/j.ecss.2012.09.017" TargetMode="External" /><Relationship Type="http://schemas.openxmlformats.org/officeDocument/2006/relationships/hyperlink" Id="rId110" Target="https://doi.org/10.1016/j.ecss.2014.10.003" TargetMode="External" /><Relationship Type="http://schemas.openxmlformats.org/officeDocument/2006/relationships/hyperlink" Id="rId155" Target="https://doi.org/10.1016/j.envsoft.2019.03.027" TargetMode="External" /><Relationship Type="http://schemas.openxmlformats.org/officeDocument/2006/relationships/hyperlink" Id="rId134" Target="https://doi.org/10.1016/j.jembe.2009.10.014" TargetMode="External" /><Relationship Type="http://schemas.openxmlformats.org/officeDocument/2006/relationships/hyperlink" Id="rId130" Target="https://doi.org/10.1016/j.jenvman.2006.12.013" TargetMode="External" /><Relationship Type="http://schemas.openxmlformats.org/officeDocument/2006/relationships/hyperlink" Id="rId187" Target="https://doi.org/10.1016/j.jhydrol.2025.134851" TargetMode="External" /><Relationship Type="http://schemas.openxmlformats.org/officeDocument/2006/relationships/hyperlink" Id="rId100" Target="https://doi.org/10.1016/j.marchem.2006.12.007" TargetMode="External" /><Relationship Type="http://schemas.openxmlformats.org/officeDocument/2006/relationships/hyperlink" Id="rId80" Target="https://doi.org/10.1016/j.ocecoaman.2023.106929" TargetMode="External" /><Relationship Type="http://schemas.openxmlformats.org/officeDocument/2006/relationships/hyperlink" Id="rId102" Target="https://doi.org/10.1016/j.rse.2006.12.019" TargetMode="External" /><Relationship Type="http://schemas.openxmlformats.org/officeDocument/2006/relationships/hyperlink" Id="rId169" Target="https://doi.org/10.1016/j.rsma.2015.05.005" TargetMode="External" /><Relationship Type="http://schemas.openxmlformats.org/officeDocument/2006/relationships/hyperlink" Id="rId163" Target="https://doi.org/10.1016/j.rsma.2015.11.007" TargetMode="External" /><Relationship Type="http://schemas.openxmlformats.org/officeDocument/2006/relationships/hyperlink" Id="rId114" Target="https://doi.org/10.1016/j.scitotenv.2010.05.031" TargetMode="External" /><Relationship Type="http://schemas.openxmlformats.org/officeDocument/2006/relationships/hyperlink" Id="rId179" Target="https://doi.org/10.1016/j.scitotenv.2011.09.088" TargetMode="External" /><Relationship Type="http://schemas.openxmlformats.org/officeDocument/2006/relationships/hyperlink" Id="rId86" Target="https://doi.org/10.1016/j.scitotenv.2021.149927" TargetMode="External" /><Relationship Type="http://schemas.openxmlformats.org/officeDocument/2006/relationships/hyperlink" Id="rId153" Target="https://doi.org/10.1021/acs.est.1c05388" TargetMode="External" /><Relationship Type="http://schemas.openxmlformats.org/officeDocument/2006/relationships/hyperlink" Id="rId96" Target="https://doi.org/10.1021/es011246m" TargetMode="External" /><Relationship Type="http://schemas.openxmlformats.org/officeDocument/2006/relationships/hyperlink" Id="rId82" Target="https://doi.org/10.1029/2004GB002229" TargetMode="External" /><Relationship Type="http://schemas.openxmlformats.org/officeDocument/2006/relationships/hyperlink" Id="rId194" Target="https://doi.org/10.1061/(ASCE)0733-9496(2003)129:4(295)" TargetMode="External" /><Relationship Type="http://schemas.openxmlformats.org/officeDocument/2006/relationships/hyperlink" Id="rId158" Target="https://doi.org/10.1080/00785236.1995.10422044" TargetMode="External" /><Relationship Type="http://schemas.openxmlformats.org/officeDocument/2006/relationships/hyperlink" Id="rId92" Target="https://doi.org/10.1111/1752-1688.12489" TargetMode="External" /><Relationship Type="http://schemas.openxmlformats.org/officeDocument/2006/relationships/hyperlink" Id="rId183" Target="https://doi.org/10.1111/1752-1688.70070" TargetMode="External" /><Relationship Type="http://schemas.openxmlformats.org/officeDocument/2006/relationships/hyperlink" Id="rId191" Target="https://doi.org/10.1111/j.1467-9868.2010.00749.x" TargetMode="External" /><Relationship Type="http://schemas.openxmlformats.org/officeDocument/2006/relationships/hyperlink" Id="rId116" Target="https://doi.org/10.1111/j.1752-1688.2010.00482.x" TargetMode="External" /><Relationship Type="http://schemas.openxmlformats.org/officeDocument/2006/relationships/hyperlink" Id="rId94" Target="https://doi.org/10.13031/2013.21742" TargetMode="External" /><Relationship Type="http://schemas.openxmlformats.org/officeDocument/2006/relationships/hyperlink" Id="rId171" Target="https://doi.org/10.1353/sgo.2017.0026" TargetMode="External" /><Relationship Type="http://schemas.openxmlformats.org/officeDocument/2006/relationships/hyperlink" Id="rId144" Target="https://doi.org/10.2112/SI54-000.1" TargetMode="External" /><Relationship Type="http://schemas.openxmlformats.org/officeDocument/2006/relationships/hyperlink" Id="rId132" Target="https://doi.org/10.2307/1351884" TargetMode="External" /><Relationship Type="http://schemas.openxmlformats.org/officeDocument/2006/relationships/hyperlink" Id="rId175" Target="https://doi.org/10.2307/1352982" TargetMode="External" /><Relationship Type="http://schemas.openxmlformats.org/officeDocument/2006/relationships/hyperlink" Id="rId112" Target="https://doi.org/10.2307/1353325" TargetMode="External" /><Relationship Type="http://schemas.openxmlformats.org/officeDocument/2006/relationships/hyperlink" Id="rId173" Target="https://doi.org/10.32614/CRAN.package.gratia" TargetMode="External" /><Relationship Type="http://schemas.openxmlformats.org/officeDocument/2006/relationships/hyperlink" Id="rId104" Target="https://doi.org/10.3354/meps210223" TargetMode="External" /><Relationship Type="http://schemas.openxmlformats.org/officeDocument/2006/relationships/hyperlink" Id="rId84" Target="https://doi.org/10.5281/zenodo.6653433" TargetMode="External" /><Relationship Type="http://schemas.openxmlformats.org/officeDocument/2006/relationships/hyperlink" Id="rId165" Target="https://doi.org/10.7717/peerj.16073" TargetMode="External" /><Relationship Type="http://schemas.openxmlformats.org/officeDocument/2006/relationships/hyperlink" Id="rId123" Target="https://drive.google.com/drive/folders/1-vIRAsuZQmQEXZk-0FwqsjhSex0GDu7-?usp=sharing" TargetMode="External" /><Relationship Type="http://schemas.openxmlformats.org/officeDocument/2006/relationships/hyperlink" Id="rId142" Target="https://drive.google.com/file/d/1-1Jq9vly5EvVwEp698brlBucXjSMDbNn/view?usp=sharing" TargetMode="External" /><Relationship Type="http://schemas.openxmlformats.org/officeDocument/2006/relationships/hyperlink" Id="rId181" Target="https://drive.google.com/file/d/10IjJAfcGFf007a5VdPXAUtUi4dx-cmsA/view?usp=drivesdk" TargetMode="External" /><Relationship Type="http://schemas.openxmlformats.org/officeDocument/2006/relationships/hyperlink" Id="rId167" Target="https://drive.google.com/file/d/1BCviGfLykVX-p1tA3b0306deP3pKMagr/view?usp=drivesdk" TargetMode="External" /><Relationship Type="http://schemas.openxmlformats.org/officeDocument/2006/relationships/hyperlink" Id="rId125" Target="https://drive.google.com/file/d/1KARuSC5fGx05MuT1wiOQFWNXysBokkQl/view?usp=share_link" TargetMode="External" /><Relationship Type="http://schemas.openxmlformats.org/officeDocument/2006/relationships/hyperlink" Id="rId121" Target="https://drive.google.com/file/d/1XMULU8w4syWcSv_ciOUOhnC_G4xt6GIF/view?usp=drivesdk" TargetMode="External" /><Relationship Type="http://schemas.openxmlformats.org/officeDocument/2006/relationships/hyperlink" Id="rId119" Target="https://drive.google.com/file/d/1kZkvuprvsMyN9nPS5PHYvXHyo1KQxKTr/view?usp=drivesdk" TargetMode="External" /><Relationship Type="http://schemas.openxmlformats.org/officeDocument/2006/relationships/hyperlink" Id="rId127" Target="https://drive.google.com/file/d/1qaM852mkVkRyjwU8yZjlmZqMy1ROpcZi/view?usp=sharing" TargetMode="External" /><Relationship Type="http://schemas.openxmlformats.org/officeDocument/2006/relationships/hyperlink" Id="rId198" Target="https://drive.google.com/file/d/1vNl3kvRmxQ7VW-2VYbykB__e_ESGSoVz/view?usp=drivesdk" TargetMode="External" /><Relationship Type="http://schemas.openxmlformats.org/officeDocument/2006/relationships/hyperlink" Id="rId72" Target="https://github.com/tbep-tech/chlhydro-manu" TargetMode="External" /><Relationship Type="http://schemas.openxmlformats.org/officeDocument/2006/relationships/hyperlink" Id="rId177"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96" Target="http://pubs.usgs.gov/circ/1348/" TargetMode="External" /><Relationship Type="http://schemas.openxmlformats.org/officeDocument/2006/relationships/hyperlink" Id="rId146" Target="https://doi.org/10.1002/2014JC010342" TargetMode="External" /><Relationship Type="http://schemas.openxmlformats.org/officeDocument/2006/relationships/hyperlink" Id="rId189" Target="https://doi.org/10.1006/ecss.1999.0490" TargetMode="External" /><Relationship Type="http://schemas.openxmlformats.org/officeDocument/2006/relationships/hyperlink" Id="rId185" Target="https://doi.org/10.1007/978-0-387-21706-2" TargetMode="External" /><Relationship Type="http://schemas.openxmlformats.org/officeDocument/2006/relationships/hyperlink" Id="rId148" Target="https://doi.org/10.1007/BF02798652" TargetMode="External" /><Relationship Type="http://schemas.openxmlformats.org/officeDocument/2006/relationships/hyperlink" Id="rId160" Target="https://doi.org/10.1007/s00267-004-0034-9" TargetMode="External" /><Relationship Type="http://schemas.openxmlformats.org/officeDocument/2006/relationships/hyperlink" Id="rId108" Target="https://doi.org/10.1007/s00267-005-0079-4" TargetMode="External" /><Relationship Type="http://schemas.openxmlformats.org/officeDocument/2006/relationships/hyperlink" Id="rId151" Target="https://doi.org/10.1007/s00267-010-9531-1" TargetMode="External" /><Relationship Type="http://schemas.openxmlformats.org/officeDocument/2006/relationships/hyperlink" Id="rId90" Target="https://doi.org/10.1007/s10666-015-9452-8" TargetMode="External" /><Relationship Type="http://schemas.openxmlformats.org/officeDocument/2006/relationships/hyperlink" Id="rId106" Target="https://doi.org/10.1007/s10750-004-7102-2" TargetMode="External" /><Relationship Type="http://schemas.openxmlformats.org/officeDocument/2006/relationships/hyperlink" Id="rId88" Target="https://doi.org/10.1007/s12237-024-01385-0" TargetMode="External" /><Relationship Type="http://schemas.openxmlformats.org/officeDocument/2006/relationships/hyperlink" Id="rId140" Target="https://doi.org/10.1016/j.cosust.2012.03.002" TargetMode="External" /><Relationship Type="http://schemas.openxmlformats.org/officeDocument/2006/relationships/hyperlink" Id="rId138" Target="https://doi.org/10.1016/j.dsr2.2013.12.011" TargetMode="External" /><Relationship Type="http://schemas.openxmlformats.org/officeDocument/2006/relationships/hyperlink" Id="rId136" Target="https://doi.org/10.1016/j.ecss.2012.09.017" TargetMode="External" /><Relationship Type="http://schemas.openxmlformats.org/officeDocument/2006/relationships/hyperlink" Id="rId110" Target="https://doi.org/10.1016/j.ecss.2014.10.003" TargetMode="External" /><Relationship Type="http://schemas.openxmlformats.org/officeDocument/2006/relationships/hyperlink" Id="rId155" Target="https://doi.org/10.1016/j.envsoft.2019.03.027" TargetMode="External" /><Relationship Type="http://schemas.openxmlformats.org/officeDocument/2006/relationships/hyperlink" Id="rId134" Target="https://doi.org/10.1016/j.jembe.2009.10.014" TargetMode="External" /><Relationship Type="http://schemas.openxmlformats.org/officeDocument/2006/relationships/hyperlink" Id="rId130" Target="https://doi.org/10.1016/j.jenvman.2006.12.013" TargetMode="External" /><Relationship Type="http://schemas.openxmlformats.org/officeDocument/2006/relationships/hyperlink" Id="rId187" Target="https://doi.org/10.1016/j.jhydrol.2025.134851" TargetMode="External" /><Relationship Type="http://schemas.openxmlformats.org/officeDocument/2006/relationships/hyperlink" Id="rId100" Target="https://doi.org/10.1016/j.marchem.2006.12.007" TargetMode="External" /><Relationship Type="http://schemas.openxmlformats.org/officeDocument/2006/relationships/hyperlink" Id="rId80" Target="https://doi.org/10.1016/j.ocecoaman.2023.106929" TargetMode="External" /><Relationship Type="http://schemas.openxmlformats.org/officeDocument/2006/relationships/hyperlink" Id="rId102" Target="https://doi.org/10.1016/j.rse.2006.12.019" TargetMode="External" /><Relationship Type="http://schemas.openxmlformats.org/officeDocument/2006/relationships/hyperlink" Id="rId169" Target="https://doi.org/10.1016/j.rsma.2015.05.005" TargetMode="External" /><Relationship Type="http://schemas.openxmlformats.org/officeDocument/2006/relationships/hyperlink" Id="rId163" Target="https://doi.org/10.1016/j.rsma.2015.11.007" TargetMode="External" /><Relationship Type="http://schemas.openxmlformats.org/officeDocument/2006/relationships/hyperlink" Id="rId114" Target="https://doi.org/10.1016/j.scitotenv.2010.05.031" TargetMode="External" /><Relationship Type="http://schemas.openxmlformats.org/officeDocument/2006/relationships/hyperlink" Id="rId179" Target="https://doi.org/10.1016/j.scitotenv.2011.09.088" TargetMode="External" /><Relationship Type="http://schemas.openxmlformats.org/officeDocument/2006/relationships/hyperlink" Id="rId86" Target="https://doi.org/10.1016/j.scitotenv.2021.149927" TargetMode="External" /><Relationship Type="http://schemas.openxmlformats.org/officeDocument/2006/relationships/hyperlink" Id="rId153" Target="https://doi.org/10.1021/acs.est.1c05388" TargetMode="External" /><Relationship Type="http://schemas.openxmlformats.org/officeDocument/2006/relationships/hyperlink" Id="rId96" Target="https://doi.org/10.1021/es011246m" TargetMode="External" /><Relationship Type="http://schemas.openxmlformats.org/officeDocument/2006/relationships/hyperlink" Id="rId82" Target="https://doi.org/10.1029/2004GB002229" TargetMode="External" /><Relationship Type="http://schemas.openxmlformats.org/officeDocument/2006/relationships/hyperlink" Id="rId194" Target="https://doi.org/10.1061/(ASCE)0733-9496(2003)129:4(295)" TargetMode="External" /><Relationship Type="http://schemas.openxmlformats.org/officeDocument/2006/relationships/hyperlink" Id="rId158" Target="https://doi.org/10.1080/00785236.1995.10422044" TargetMode="External" /><Relationship Type="http://schemas.openxmlformats.org/officeDocument/2006/relationships/hyperlink" Id="rId92" Target="https://doi.org/10.1111/1752-1688.12489" TargetMode="External" /><Relationship Type="http://schemas.openxmlformats.org/officeDocument/2006/relationships/hyperlink" Id="rId183" Target="https://doi.org/10.1111/1752-1688.70070" TargetMode="External" /><Relationship Type="http://schemas.openxmlformats.org/officeDocument/2006/relationships/hyperlink" Id="rId191" Target="https://doi.org/10.1111/j.1467-9868.2010.00749.x" TargetMode="External" /><Relationship Type="http://schemas.openxmlformats.org/officeDocument/2006/relationships/hyperlink" Id="rId116" Target="https://doi.org/10.1111/j.1752-1688.2010.00482.x" TargetMode="External" /><Relationship Type="http://schemas.openxmlformats.org/officeDocument/2006/relationships/hyperlink" Id="rId94" Target="https://doi.org/10.13031/2013.21742" TargetMode="External" /><Relationship Type="http://schemas.openxmlformats.org/officeDocument/2006/relationships/hyperlink" Id="rId171" Target="https://doi.org/10.1353/sgo.2017.0026" TargetMode="External" /><Relationship Type="http://schemas.openxmlformats.org/officeDocument/2006/relationships/hyperlink" Id="rId144" Target="https://doi.org/10.2112/SI54-000.1" TargetMode="External" /><Relationship Type="http://schemas.openxmlformats.org/officeDocument/2006/relationships/hyperlink" Id="rId132" Target="https://doi.org/10.2307/1351884" TargetMode="External" /><Relationship Type="http://schemas.openxmlformats.org/officeDocument/2006/relationships/hyperlink" Id="rId175" Target="https://doi.org/10.2307/1352982" TargetMode="External" /><Relationship Type="http://schemas.openxmlformats.org/officeDocument/2006/relationships/hyperlink" Id="rId112" Target="https://doi.org/10.2307/1353325" TargetMode="External" /><Relationship Type="http://schemas.openxmlformats.org/officeDocument/2006/relationships/hyperlink" Id="rId173" Target="https://doi.org/10.32614/CRAN.package.gratia" TargetMode="External" /><Relationship Type="http://schemas.openxmlformats.org/officeDocument/2006/relationships/hyperlink" Id="rId104" Target="https://doi.org/10.3354/meps210223" TargetMode="External" /><Relationship Type="http://schemas.openxmlformats.org/officeDocument/2006/relationships/hyperlink" Id="rId84" Target="https://doi.org/10.5281/zenodo.6653433" TargetMode="External" /><Relationship Type="http://schemas.openxmlformats.org/officeDocument/2006/relationships/hyperlink" Id="rId165" Target="https://doi.org/10.7717/peerj.16073" TargetMode="External" /><Relationship Type="http://schemas.openxmlformats.org/officeDocument/2006/relationships/hyperlink" Id="rId123" Target="https://drive.google.com/drive/folders/1-vIRAsuZQmQEXZk-0FwqsjhSex0GDu7-?usp=sharing" TargetMode="External" /><Relationship Type="http://schemas.openxmlformats.org/officeDocument/2006/relationships/hyperlink" Id="rId142" Target="https://drive.google.com/file/d/1-1Jq9vly5EvVwEp698brlBucXjSMDbNn/view?usp=sharing" TargetMode="External" /><Relationship Type="http://schemas.openxmlformats.org/officeDocument/2006/relationships/hyperlink" Id="rId181" Target="https://drive.google.com/file/d/10IjJAfcGFf007a5VdPXAUtUi4dx-cmsA/view?usp=drivesdk" TargetMode="External" /><Relationship Type="http://schemas.openxmlformats.org/officeDocument/2006/relationships/hyperlink" Id="rId167" Target="https://drive.google.com/file/d/1BCviGfLykVX-p1tA3b0306deP3pKMagr/view?usp=drivesdk" TargetMode="External" /><Relationship Type="http://schemas.openxmlformats.org/officeDocument/2006/relationships/hyperlink" Id="rId125" Target="https://drive.google.com/file/d/1KARuSC5fGx05MuT1wiOQFWNXysBokkQl/view?usp=share_link" TargetMode="External" /><Relationship Type="http://schemas.openxmlformats.org/officeDocument/2006/relationships/hyperlink" Id="rId121" Target="https://drive.google.com/file/d/1XMULU8w4syWcSv_ciOUOhnC_G4xt6GIF/view?usp=drivesdk" TargetMode="External" /><Relationship Type="http://schemas.openxmlformats.org/officeDocument/2006/relationships/hyperlink" Id="rId119" Target="https://drive.google.com/file/d/1kZkvuprvsMyN9nPS5PHYvXHyo1KQxKTr/view?usp=drivesdk" TargetMode="External" /><Relationship Type="http://schemas.openxmlformats.org/officeDocument/2006/relationships/hyperlink" Id="rId127" Target="https://drive.google.com/file/d/1qaM852mkVkRyjwU8yZjlmZqMy1ROpcZi/view?usp=sharing" TargetMode="External" /><Relationship Type="http://schemas.openxmlformats.org/officeDocument/2006/relationships/hyperlink" Id="rId198" Target="https://drive.google.com/file/d/1vNl3kvRmxQ7VW-2VYbykB__e_ESGSoVz/view?usp=drivesdk" TargetMode="External" /><Relationship Type="http://schemas.openxmlformats.org/officeDocument/2006/relationships/hyperlink" Id="rId72" Target="https://github.com/tbep-tech/chlhydro-manu" TargetMode="External" /><Relationship Type="http://schemas.openxmlformats.org/officeDocument/2006/relationships/hyperlink" Id="rId177"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Rebecca Murphy2, Kerry Flaherty-Walia1, Qian Zhang2, Blake A Simmons1, Maya C Burke1, and Edward T Sherwood1</dc:creator>
  <cp:keywords/>
  <dcterms:created xsi:type="dcterms:W3CDTF">2026-03-12T14:29:02Z</dcterms:created>
  <dcterms:modified xsi:type="dcterms:W3CDTF">2026-03-12T14:29:02Z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