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(Beck et al., 2022)</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Akaike information criterion</w:t>
      </w:r>
      <w:r>
        <w:t xml:space="preserve"> </w:t>
      </w:r>
      <w:r>
        <w:t xml:space="preserve">(Akaike, 1974, Table S1)</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S2).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S3-S6),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hyperlink w:anchor="fig-obsdat">
        <w:r>
          <w:rPr>
            <w:rStyle w:val="Hyperlink"/>
          </w:rPr>
          <w:t xml:space="preserve">Figure 2</w:t>
        </w:r>
      </w:hyperlink>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2026-06-09T20:54:14Z</dcterms:created>
  <dcterms:modified xsi:type="dcterms:W3CDTF">2026-06-09T20:54:14Z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