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2.png" ContentType="image/png"/>
  <Override PartName="/word/media/rId2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Supplement</w:t>
      </w:r>
      <w:r>
        <w:t xml:space="preserve"> </w:t>
      </w: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w:t>
      </w:r>
      <w:r>
        <w:t xml:space="preserve">(</w:t>
      </w:r>
      <w:hyperlink r:id="rId20">
        <w:r>
          <w:rPr>
            <w:rStyle w:val="Hyperlink"/>
          </w:rPr>
          <w:t xml:space="preserve">0000-0002-4996-0059</w:t>
        </w:r>
      </w:hyperlink>
      <w:r>
        <w:t xml:space="preserve">), Edward T Sherwood</w:t>
      </w:r>
      <w:r>
        <w:rPr>
          <w:vertAlign w:val="superscript"/>
        </w:rPr>
        <w:t xml:space="preserve">1</w:t>
      </w:r>
      <w:r>
        <w:t xml:space="preserve"> </w:t>
      </w:r>
      <w:r>
        <w:t xml:space="preserve">(</w:t>
      </w:r>
      <w:hyperlink r:id="rId21">
        <w:r>
          <w:rPr>
            <w:rStyle w:val="Hyperlink"/>
          </w:rPr>
          <w:t xml:space="preserve">0000-0001-5330-302X</w:t>
        </w:r>
      </w:hyperlink>
      <w:r>
        <w:t xml:space="preserve">), Rebecca R Murphy</w:t>
      </w:r>
      <w:r>
        <w:rPr>
          <w:vertAlign w:val="superscript"/>
        </w:rPr>
        <w:t xml:space="preserve">2</w:t>
      </w:r>
      <w:r>
        <w:t xml:space="preserve"> </w:t>
      </w:r>
      <w:r>
        <w:t xml:space="preserve">(</w:t>
      </w:r>
      <w:hyperlink r:id="rId22">
        <w:r>
          <w:rPr>
            <w:rStyle w:val="Hyperlink"/>
          </w:rPr>
          <w:t xml:space="preserve">0000-0003-3391-1823</w:t>
        </w:r>
      </w:hyperlink>
      <w:r>
        <w:t xml:space="preserve">), Kerry Flaherty-Walia</w:t>
      </w:r>
      <w:r>
        <w:rPr>
          <w:vertAlign w:val="superscript"/>
        </w:rPr>
        <w:t xml:space="preserve">1</w:t>
      </w:r>
      <w:r>
        <w:t xml:space="preserve"> </w:t>
      </w:r>
      <w:r>
        <w:t xml:space="preserve">(</w:t>
      </w:r>
      <w:hyperlink r:id="rId23">
        <w:r>
          <w:rPr>
            <w:rStyle w:val="Hyperlink"/>
          </w:rPr>
          <w:t xml:space="preserve">0000-0002-6032-0570</w:t>
        </w:r>
      </w:hyperlink>
      <w:r>
        <w:t xml:space="preserve">), Qian Zhang</w:t>
      </w:r>
      <w:r>
        <w:rPr>
          <w:vertAlign w:val="superscript"/>
        </w:rPr>
        <w:t xml:space="preserve">2</w:t>
      </w:r>
      <w:r>
        <w:t xml:space="preserve"> </w:t>
      </w:r>
      <w:r>
        <w:t xml:space="preserve">(</w:t>
      </w:r>
      <w:hyperlink r:id="rId24">
        <w:r>
          <w:rPr>
            <w:rStyle w:val="Hyperlink"/>
          </w:rPr>
          <w:t xml:space="preserve">0000-0003-0500-5655</w:t>
        </w:r>
      </w:hyperlink>
      <w:r>
        <w:t xml:space="preserve">), Blake A Simmons</w:t>
      </w:r>
      <w:r>
        <w:rPr>
          <w:vertAlign w:val="superscript"/>
        </w:rPr>
        <w:t xml:space="preserve">1</w:t>
      </w:r>
      <w:r>
        <w:t xml:space="preserve"> </w:t>
      </w:r>
      <w:r>
        <w:t xml:space="preserve">(</w:t>
      </w:r>
      <w:hyperlink r:id="rId25">
        <w:r>
          <w:rPr>
            <w:rStyle w:val="Hyperlink"/>
          </w:rPr>
          <w:t xml:space="preserve">0000-0002-1918-3463</w:t>
        </w:r>
      </w:hyperlink>
      <w:r>
        <w:t xml:space="preserve">), and Maya C Burke</w:t>
      </w:r>
      <w:r>
        <w:rPr>
          <w:vertAlign w:val="superscript"/>
        </w:rPr>
        <w:t xml:space="preserve">1</w:t>
      </w:r>
      <w:r>
        <w:t xml:space="preserve"> </w:t>
      </w:r>
      <w:r>
        <w:t xml:space="preserve">(</w:t>
      </w:r>
      <w:hyperlink r:id="rId26">
        <w:r>
          <w:rPr>
            <w:rStyle w:val="Hyperlink"/>
          </w:rPr>
          <w:t xml:space="preserve">0000-0002-3847-6501</w:t>
        </w:r>
      </w:hyperlink>
      <w:r>
        <w:t xml:space="preserve">)</w:t>
      </w:r>
    </w:p>
    <w:p>
      <w:pPr>
        <w:pStyle w:val="FirstParagraph"/>
      </w:pPr>
      <w:r>
        <w:rPr>
          <w:vertAlign w:val="superscript"/>
        </w:rPr>
        <w:t xml:space="preserve">1</w:t>
      </w:r>
      <w:r>
        <w:t xml:space="preserve"> </w:t>
      </w:r>
      <w:r>
        <w:t xml:space="preserve">Tampa Bay Estuary Program, 263 13th Ave S., Suite 350, St. Petersburg, Florida 33701 USA</w:t>
      </w:r>
      <w:r>
        <w:br/>
      </w:r>
      <w:r>
        <w:rPr>
          <w:vertAlign w:val="superscript"/>
        </w:rPr>
        <w:t xml:space="preserve">2</w:t>
      </w:r>
      <w:r>
        <w:t xml:space="preserve"> </w:t>
      </w:r>
      <w:r>
        <w:t xml:space="preserve">University of Maryland Center for Environmental Science/U.S. Environmental Protection Agency Chesapeake Bay Program, 1750 Forest Drive, Annapolis, Maryland 21401 USA</w:t>
      </w:r>
    </w:p>
    <w:p>
      <w:pPr>
        <w:pStyle w:val="BodyText"/>
      </w:pPr>
      <w:r>
        <w:rPr>
          <w:vertAlign w:val="superscript"/>
        </w:rPr>
        <w:t xml:space="preserve">✉</w:t>
      </w:r>
      <w:r>
        <w:t xml:space="preserve"> </w:t>
      </w:r>
      <w:r>
        <w:t xml:space="preserve">Correspondence:</w:t>
      </w:r>
      <w:r>
        <w:t xml:space="preserve"> </w:t>
      </w:r>
      <w:hyperlink r:id="rId27">
        <w:r>
          <w:rPr>
            <w:rStyle w:val="Hyperlink"/>
          </w:rPr>
          <w:t xml:space="preserve">Marcus W Beck &lt;mbeck@tbep.org&gt;</w:t>
        </w:r>
      </w:hyperlink>
    </w:p>
    <w:bookmarkStart w:id="36"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1" w:name="fig-suppnorm"/>
          <w:p>
            <w:pPr>
              <w:pStyle w:val="Compact"/>
              <w:jc w:val="center"/>
            </w:pPr>
            <w:r>
              <w:drawing>
                <wp:inline>
                  <wp:extent cx="5504749" cy="7339665"/>
                  <wp:effectExtent b="0" l="0" r="0" t="0"/>
                  <wp:docPr descr="" title="" id="29" name="Picture"/>
                  <a:graphic>
                    <a:graphicData uri="http://schemas.openxmlformats.org/drawingml/2006/picture">
                      <pic:pic>
                        <pic:nvPicPr>
                          <pic:cNvPr descr="figs/suppnorm.png" id="30" name="Picture"/>
                          <pic:cNvPicPr>
                            <a:picLocks noChangeArrowheads="1" noChangeAspect="1"/>
                          </pic:cNvPicPr>
                        </pic:nvPicPr>
                        <pic:blipFill>
                          <a:blip r:embed="rId28"/>
                          <a:stretch>
                            <a:fillRect/>
                          </a:stretch>
                        </pic:blipFill>
                        <pic:spPr bwMode="auto">
                          <a:xfrm>
                            <a:off x="0" y="0"/>
                            <a:ext cx="5504749" cy="7339665"/>
                          </a:xfrm>
                          <a:prstGeom prst="rect">
                            <a:avLst/>
                          </a:prstGeom>
                          <a:noFill/>
                          <a:ln w="9525">
                            <a:noFill/>
                            <a:headEnd/>
                            <a:tailEnd/>
                          </a:ln>
                        </pic:spPr>
                      </pic:pic>
                    </a:graphicData>
                  </a:graphic>
                </wp:inline>
              </w:drawing>
            </w:r>
          </w:p>
          <w:p>
            <w:pPr>
              <w:jc w:val="center"/>
            </w:pPr>
            <w:pPr>
              <w:jc w:val="left"/>
              <w:spacing w:before="200"/>
              <w:pStyle w:val="ImageCaption"/>
            </w:pPr>
            <w:r>
              <w:t xml:space="preserve">Fig. 1: Examples demonstrating the salinity normalization method (a), the salinity normalization method at mean loading (b), and the final results (c). Results are obtained by predicting chlorophyll-a concentrations from a fitted GAM across a range of salinities and estimating the average (a) or doing the same but using mean loading (b). The bottom plot (c) shows the normalized curves where the red line is the mean curve from (a), the blue dashed line is the mean curve from (b), and the points are the actual model predictions.</w:t>
            </w:r>
          </w:p>
          <w:bookmarkEnd w:id="31"/>
        </w:tc>
      </w:tr>
    </w:tbl>
    <w:p>
      <w:r>
        <w:br w:type="page"/>
      </w:r>
    </w:p>
    <w:tbl>
      <w:tblPr>
        <w:tblStyle w:val="Table"/>
        <w:tblW w:type="pct" w:w="5000"/>
        <w:tblLayout w:type="fixed"/>
        <w:tblLook w:firstRow="0" w:lastRow="0" w:firstColumn="0" w:lastColumn="0" w:noHBand="0" w:noVBand="0" w:val="0000"/>
      </w:tblPr>
      <w:tblGrid>
        <w:gridCol w:w="7920"/>
      </w:tblGrid>
      <w:tr>
        <w:tc>
          <w:tcPr/>
          <w:bookmarkStart w:id="35" w:name="fig-suppgameff1"/>
          <w:p>
            <w:pPr>
              <w:pStyle w:val="Compact"/>
              <w:jc w:val="center"/>
            </w:pPr>
            <w:r>
              <w:drawing>
                <wp:inline>
                  <wp:extent cx="5943600" cy="5349240"/>
                  <wp:effectExtent b="0" l="0" r="0" t="0"/>
                  <wp:docPr descr="" title="" id="33" name="Picture"/>
                  <a:graphic>
                    <a:graphicData uri="http://schemas.openxmlformats.org/drawingml/2006/picture">
                      <pic:pic>
                        <pic:nvPicPr>
                          <pic:cNvPr descr="figs/suppgameff1.png" id="34" name="Picture"/>
                          <pic:cNvPicPr>
                            <a:picLocks noChangeArrowheads="1" noChangeAspect="1"/>
                          </pic:cNvPicPr>
                        </pic:nvPicPr>
                        <pic:blipFill>
                          <a:blip r:embed="rId32"/>
                          <a:stretch>
                            <a:fillRect/>
                          </a:stretch>
                        </pic:blipFill>
                        <pic:spPr bwMode="auto">
                          <a:xfrm>
                            <a:off x="0" y="0"/>
                            <a:ext cx="5943600" cy="5349240"/>
                          </a:xfrm>
                          <a:prstGeom prst="rect">
                            <a:avLst/>
                          </a:prstGeom>
                          <a:noFill/>
                          <a:ln w="9525">
                            <a:noFill/>
                            <a:headEnd/>
                            <a:tailEnd/>
                          </a:ln>
                        </pic:spPr>
                      </pic:pic>
                    </a:graphicData>
                  </a:graphic>
                </wp:inline>
              </w:drawing>
            </w:r>
          </w:p>
          <w:p>
            <w:pPr>
              <w:jc w:val="center"/>
            </w:pPr>
            <w:pPr>
              <w:jc w:val="left"/>
              <w:spacing w:before="200"/>
              <w:pStyle w:val="ImageCaption"/>
            </w:pPr>
            <w:r>
              <w:t xml:space="preserve">Fig. 2: Effects plots for individual smoothers from Generalized Additive Models applied to each bay segment. Each plot shows the modeled effects on chlorophyll-a of the smoothers identified on the x-axes. The small vertical bars on the x-axis of each plot show the relative distribution of values for each parameter. Confidence intervals (95%) are also shown for each parameter. OTB: Old Tampa Bay; HB: Hillsborough Bay; MTB: Middle Tampa Bay; LTB: Lower Tampa Bay</w:t>
            </w:r>
          </w:p>
          <w:bookmarkEnd w:id="35"/>
        </w:tc>
      </w:tr>
    </w:tbl>
    <w:p>
      <w:r>
        <w:br w:type="page"/>
      </w:r>
    </w:p>
    <w:bookmarkEnd w:id="36"/>
    <w:bookmarkStart w:id="43"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37" w:name="tbl-supaictab"/>
          <w:p>
            <w:pPr>
              <w:jc w:val="center"/>
            </w:pPr>
            <w:pPr>
              <w:jc w:val="left"/>
              <w:spacing w:before="200"/>
              <w:pStyle w:val="ImageCaption"/>
            </w:pPr>
            <w:r>
              <w:t xml:space="preserve">Table 1: Comparison of Generalized Additive Models for chlorophyll-a for each bay segment using a Gamma and Gaussian (log-link) error distributions. Model fit was assessed using Akaike information criterion</w:t>
            </w:r>
            <w:r>
              <w:t xml:space="preserve"> </w:t>
            </w:r>
            <w:r>
              <w:t xml:space="preserve">(AIC, Akaike, 1974)</w:t>
            </w:r>
            <w:r>
              <w:t xml:space="preserve">, with the lowest AIC value by segment shown in bold. df: degrees of freedom;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080"/>
              <w:gridCol w:w="1080"/>
              <w:gridCol w:w="1080"/>
              <w:gridCol w:w="1080"/>
              <w:gridCol w:w="1080"/>
            </w:tblGrid>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Gamma</w:t>
                  </w:r>
                </w:p>
              </w:tc>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Gaussian (log)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ΔAIC</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2,287.3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2,505.9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2,673.2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1,901.6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148.6</w:t>
                  </w:r>
                </w:p>
              </w:tc>
            </w:tr>
            <w:tr>
              <w:trPr>
                <w:trHeight w:val="37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1,608.6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1,785.8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177.2</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ΔAIC = Gaussian (log) AIC - Gamma AIC</w:t>
                  </w:r>
                </w:p>
              </w:tc>
            </w:tr>
          </w:tbl>
          <w:bookmarkEnd w:id="37"/>
        </w:tc>
      </w:tr>
    </w:tbl>
    <w:tbl>
      <w:tblPr>
        <w:tblStyle w:val="Table"/>
        <w:tblW w:type="pct" w:w="5000"/>
        <w:tblLayout w:type="fixed"/>
        <w:tblLook w:firstRow="0" w:lastRow="0" w:firstColumn="0" w:lastColumn="0" w:noHBand="0" w:noVBand="0" w:val="0000"/>
      </w:tblPr>
      <w:tblGrid>
        <w:gridCol w:w="7920"/>
      </w:tblGrid>
      <w:tr>
        <w:tc>
          <w:tcPr/>
          <w:bookmarkStart w:id="38" w:name="tbl-supgamtab"/>
          <w:p>
            <w:pPr>
              <w:jc w:val="center"/>
            </w:pPr>
            <w:pPr>
              <w:jc w:val="left"/>
              <w:spacing w:before="200"/>
              <w:pStyle w:val="ImageCaption"/>
            </w:pPr>
            <w:r>
              <w:t xml:space="preserve">Table 2: Generalized Additive Model (GAM) summary statistics for chlorophyll-a predictions by bay segment in Tampa Bay (n = 480 for each).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Results for the overall model fit are shown with the Generalized Cross-Validation (GCV) scores in the top rows and deviance explained (Dev. Expl.) in the bottom rows.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91"/>
              <w:gridCol w:w="1323"/>
              <w:gridCol w:w="1341"/>
              <w:gridCol w:w="1079"/>
              <w:gridCol w:w="859"/>
              <w:gridCol w:w="1079"/>
              <w:gridCol w:w="859"/>
            </w:tblGrid>
            <w:tr>
              <w:trPr>
                <w:trHeight w:val="30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 Seasonal Correction</w:t>
                  </w:r>
                </w:p>
              </w:tc>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Seasonal Correction</w:t>
                  </w:r>
                </w:p>
              </w:tc>
            </w:tr>
            <w:tr>
              <w:trPr>
                <w:trHeight w:val="3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Summary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Flexible 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Fixed 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Flexible 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Fixed K</w:t>
                  </w:r>
                </w:p>
              </w:tc>
            </w:tr>
            <w:tr>
              <w:trPr>
                <w:trHeight w:val="29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1161</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1352</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1357</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965</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959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959</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839</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828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828</w:t>
                  </w:r>
                </w:p>
              </w:tc>
            </w:tr>
            <w:tr>
              <w:trPr>
                <w:trHeight w:val="344"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0.70</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0.68</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0.77</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0.53</w:t>
                  </w:r>
                </w:p>
              </w:tc>
            </w:tr>
            <w:tr>
              <w:trPr>
                <w:trHeight w:val="29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0.57</w:t>
                  </w:r>
                </w:p>
              </w:tc>
            </w:tr>
          </w:tbl>
          <w:bookmarkEnd w:id="38"/>
        </w:tc>
      </w:tr>
    </w:tbl>
    <w:p>
      <w:r>
        <w:br w:type="page"/>
      </w:r>
    </w:p>
    <w:tbl>
      <w:tblPr>
        <w:tblStyle w:val="Table"/>
        <w:tblW w:type="pct" w:w="5000"/>
        <w:tblLayout w:type="fixed"/>
        <w:tblLook w:firstRow="0" w:lastRow="0" w:firstColumn="0" w:lastColumn="0" w:noHBand="0" w:noVBand="0" w:val="0000"/>
      </w:tblPr>
      <w:tblGrid>
        <w:gridCol w:w="7920"/>
      </w:tblGrid>
      <w:tr>
        <w:tc>
          <w:tcPr/>
          <w:bookmarkStart w:id="39" w:name="tbl-supconcurvotbtab"/>
          <w:p>
            <w:pPr>
              <w:jc w:val="center"/>
            </w:pPr>
            <w:pPr>
              <w:jc w:val="left"/>
              <w:spacing w:before="200"/>
              <w:pStyle w:val="ImageCaption"/>
            </w:pPr>
            <w:r>
              <w:t xml:space="preserve">Table 3: Concurvity estimates for the</w:t>
            </w:r>
            <w:r>
              <w:t xml:space="preserve"> </w:t>
            </w:r>
            <w:r>
              <w:rPr>
                <w:b/>
                <w:bCs/>
              </w:rPr>
              <w:t xml:space="preserve">Old Tampa Bay</w:t>
            </w:r>
            <w:r>
              <w:t xml:space="preserve"> </w:t>
            </w:r>
            <w:r>
              <w:t xml:space="preserve">Generalized Additive Models. Values range from 0 to 1 and assess the degree of multicollinearity among predictors.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Font size and shading are proportional among cells to emphasize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720"/>
              <w:gridCol w:w="720"/>
              <w:gridCol w:w="720"/>
              <w:gridCol w:w="720"/>
              <w:gridCol w:w="720"/>
              <w:gridCol w:w="720"/>
              <w:gridCol w:w="720"/>
              <w:gridCol w:w="720"/>
              <w:gridCol w:w="720"/>
              <w:gridCol w:w="720"/>
              <w:gridCol w:w="720"/>
              <w:gridCol w:w="72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Seasonal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Correction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D1D1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D1D1D"/>
                    </w:rPr>
                    <w:t xml:space="preserve">0.87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E6E6E"/>
                    </w:rPr>
                    <w:t xml:space="preserve">0.57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92929"/>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26262"/>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26262"/>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D1D1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D1D1D"/>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55555"/>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7575"/>
                    </w:rPr>
                    <w:t xml:space="preserve">0.54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6161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61616"/>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66666"/>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r>
            <w:tr>
              <w:trPr>
                <w:trHeight w:val="360"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C1C1C"/>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26262"/>
                    </w:rPr>
                    <w:t xml:space="preserve">0.63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0.77</w:t>
                  </w:r>
                </w:p>
              </w:tc>
            </w:tr>
            <w:tr>
              <w:trPr>
                <w:trHeight w:val="360"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Yes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0.41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33333"/>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0303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E6E6E"/>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E2E2E"/>
                    </w:rPr>
                    <w:t xml:space="preserve">0.81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66666"/>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7575"/>
                    </w:rPr>
                    <w:t xml:space="preserve">0.54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71717"/>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0.57</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02020"/>
                    </w:rPr>
                    <w:t xml:space="preserve">0.85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7575"/>
                    </w:rPr>
                    <w:t xml:space="preserve">0.54</w:t>
                  </w:r>
                </w:p>
              </w:tc>
            </w:tr>
          </w:tbl>
          <w:bookmarkEnd w:id="39"/>
        </w:tc>
      </w:tr>
    </w:tbl>
    <w:p>
      <w:r>
        <w:br w:type="page"/>
      </w:r>
    </w:p>
    <w:tbl>
      <w:tblPr>
        <w:tblStyle w:val="Table"/>
        <w:tblW w:type="pct" w:w="5000"/>
        <w:tblLayout w:type="fixed"/>
        <w:tblLook w:firstRow="0" w:lastRow="0" w:firstColumn="0" w:lastColumn="0" w:noHBand="0" w:noVBand="0" w:val="0000"/>
      </w:tblPr>
      <w:tblGrid>
        <w:gridCol w:w="7920"/>
      </w:tblGrid>
      <w:tr>
        <w:tc>
          <w:tcPr/>
          <w:bookmarkStart w:id="40" w:name="tbl-supconcurvhbtab"/>
          <w:p>
            <w:pPr>
              <w:jc w:val="center"/>
            </w:pPr>
            <w:pPr>
              <w:jc w:val="left"/>
              <w:spacing w:before="200"/>
              <w:pStyle w:val="ImageCaption"/>
            </w:pPr>
            <w:r>
              <w:t xml:space="preserve">Table 4: Concurvity estimates for the</w:t>
            </w:r>
            <w:r>
              <w:t xml:space="preserve"> </w:t>
            </w:r>
            <w:r>
              <w:rPr>
                <w:b/>
                <w:bCs/>
              </w:rPr>
              <w:t xml:space="preserve">Hillsborough Bay</w:t>
            </w:r>
            <w:r>
              <w:t xml:space="preserve"> </w:t>
            </w:r>
            <w:r>
              <w:t xml:space="preserve">Generalized Additive Models. Values range from 0 to 1 and assess the degree of multicollinearity among predictors.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Font size and shading are proportional among cells to emphasize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720"/>
              <w:gridCol w:w="720"/>
              <w:gridCol w:w="720"/>
              <w:gridCol w:w="720"/>
              <w:gridCol w:w="720"/>
              <w:gridCol w:w="720"/>
              <w:gridCol w:w="720"/>
              <w:gridCol w:w="720"/>
              <w:gridCol w:w="720"/>
              <w:gridCol w:w="720"/>
              <w:gridCol w:w="720"/>
              <w:gridCol w:w="72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Seasonal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Correction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D1D1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D1D1D"/>
                    </w:rPr>
                    <w:t xml:space="preserve">0.88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22222"/>
                    </w:rPr>
                    <w:t xml:space="preserve">0.85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91919"/>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1F1F"/>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E2E2E"/>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23232"/>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91919"/>
                    </w:rPr>
                    <w:t xml:space="preserve">0.89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0.45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D5D5D"/>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C1C1C"/>
                    </w:rPr>
                    <w:t xml:space="preserve">0.88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22222"/>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C1C1C"/>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0202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r>
            <w:tr>
              <w:trPr>
                <w:trHeight w:val="360"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33333"/>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0.91</w:t>
                  </w:r>
                </w:p>
              </w:tc>
            </w:tr>
            <w:tr>
              <w:trPr>
                <w:trHeight w:val="360"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Yes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0.41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0.50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7575"/>
                    </w:rPr>
                    <w:t xml:space="preserve">0.55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0.72</w:t>
                  </w:r>
                </w:p>
              </w:tc>
            </w:tr>
          </w:tbl>
          <w:bookmarkEnd w:id="40"/>
        </w:tc>
      </w:tr>
    </w:tbl>
    <w:p>
      <w:r>
        <w:br w:type="page"/>
      </w:r>
    </w:p>
    <w:tbl>
      <w:tblPr>
        <w:tblStyle w:val="Table"/>
        <w:tblW w:type="pct" w:w="5000"/>
        <w:tblLayout w:type="fixed"/>
        <w:tblLook w:firstRow="0" w:lastRow="0" w:firstColumn="0" w:lastColumn="0" w:noHBand="0" w:noVBand="0" w:val="0000"/>
      </w:tblPr>
      <w:tblGrid>
        <w:gridCol w:w="7920"/>
      </w:tblGrid>
      <w:tr>
        <w:tc>
          <w:tcPr/>
          <w:bookmarkStart w:id="41" w:name="tbl-supconcurvmtbtab"/>
          <w:p>
            <w:pPr>
              <w:jc w:val="center"/>
            </w:pPr>
            <w:pPr>
              <w:jc w:val="left"/>
              <w:spacing w:before="200"/>
              <w:pStyle w:val="ImageCaption"/>
            </w:pPr>
            <w:r>
              <w:t xml:space="preserve">Table 5: Concurvity estimates for the</w:t>
            </w:r>
            <w:r>
              <w:t xml:space="preserve"> </w:t>
            </w:r>
            <w:r>
              <w:rPr>
                <w:b/>
                <w:bCs/>
              </w:rPr>
              <w:t xml:space="preserve">Middle Tampa Bay</w:t>
            </w:r>
            <w:r>
              <w:t xml:space="preserve"> </w:t>
            </w:r>
            <w:r>
              <w:t xml:space="preserve">Generalized Additive Models. Values range from 0 to 1 and assess the degree of multicollinearity among predictors.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Font size and shading are proportional among cells to emphasize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720"/>
              <w:gridCol w:w="720"/>
              <w:gridCol w:w="720"/>
              <w:gridCol w:w="720"/>
              <w:gridCol w:w="720"/>
              <w:gridCol w:w="720"/>
              <w:gridCol w:w="720"/>
              <w:gridCol w:w="720"/>
              <w:gridCol w:w="720"/>
              <w:gridCol w:w="720"/>
              <w:gridCol w:w="720"/>
              <w:gridCol w:w="72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Seasonal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Correction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66666"/>
                    </w:rPr>
                    <w:t xml:space="preserve">0.60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A2A2A"/>
                    </w:rPr>
                    <w:t xml:space="preserve">0.82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22222"/>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23232"/>
                    </w:rPr>
                    <w:t xml:space="preserve">0.80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C1C1C"/>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1F1F"/>
                    </w:rPr>
                    <w:t xml:space="preserve">0.86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D5D5D"/>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1F1F"/>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E2E2E"/>
                    </w:rPr>
                    <w:t xml:space="preserve">0.81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0.76</w:t>
                  </w:r>
                </w:p>
              </w:tc>
            </w:tr>
            <w:tr>
              <w:trPr>
                <w:trHeight w:val="360"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6161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61616"/>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55555"/>
                    </w:rPr>
                    <w:t xml:space="preserve">0.68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03030"/>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0.76</w:t>
                  </w:r>
                </w:p>
              </w:tc>
            </w:tr>
            <w:tr>
              <w:trPr>
                <w:trHeight w:val="360"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Yes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0.39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0.49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87878"/>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D5D5D"/>
                    </w:rPr>
                    <w:t xml:space="preserve">0.64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23232"/>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0.50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87878"/>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87878"/>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0.59</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0.62</w:t>
                  </w:r>
                </w:p>
              </w:tc>
            </w:tr>
          </w:tbl>
          <w:bookmarkEnd w:id="41"/>
        </w:tc>
      </w:tr>
    </w:tbl>
    <w:p>
      <w:r>
        <w:br w:type="page"/>
      </w:r>
    </w:p>
    <w:tbl>
      <w:tblPr>
        <w:tblStyle w:val="Table"/>
        <w:tblW w:type="pct" w:w="5000"/>
        <w:tblLayout w:type="fixed"/>
        <w:tblLook w:firstRow="0" w:lastRow="0" w:firstColumn="0" w:lastColumn="0" w:noHBand="0" w:noVBand="0" w:val="0000"/>
      </w:tblPr>
      <w:tblGrid>
        <w:gridCol w:w="7920"/>
      </w:tblGrid>
      <w:tr>
        <w:tc>
          <w:tcPr/>
          <w:bookmarkStart w:id="42" w:name="tbl-supconcurvltbtab"/>
          <w:p>
            <w:pPr>
              <w:jc w:val="center"/>
            </w:pPr>
            <w:pPr>
              <w:jc w:val="left"/>
              <w:spacing w:before="200"/>
              <w:pStyle w:val="ImageCaption"/>
            </w:pPr>
            <w:r>
              <w:t xml:space="preserve">Table 6: Concurvity estimates for the</w:t>
            </w:r>
            <w:r>
              <w:t xml:space="preserve"> </w:t>
            </w:r>
            <w:r>
              <w:rPr>
                <w:b/>
                <w:bCs/>
              </w:rPr>
              <w:t xml:space="preserve">Lower Tampa Bay</w:t>
            </w:r>
            <w:r>
              <w:t xml:space="preserve"> </w:t>
            </w:r>
            <w:r>
              <w:t xml:space="preserve">Generalized Additive Models. Values range from 0 to 1 and assess the degree of multicollinearity among predictors.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Font size and shading are proportional among cells to emphasize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720"/>
              <w:gridCol w:w="720"/>
              <w:gridCol w:w="720"/>
              <w:gridCol w:w="720"/>
              <w:gridCol w:w="720"/>
              <w:gridCol w:w="720"/>
              <w:gridCol w:w="720"/>
              <w:gridCol w:w="720"/>
              <w:gridCol w:w="720"/>
              <w:gridCol w:w="720"/>
              <w:gridCol w:w="720"/>
              <w:gridCol w:w="72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Seasonal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Correction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22222"/>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0303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C2C2C"/>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55555"/>
                    </w:rPr>
                    <w:t xml:space="preserve">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33333"/>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03030"/>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C2C2C"/>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1F1F"/>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r>
            <w:tr>
              <w:trPr>
                <w:trHeight w:val="360"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D5D5D"/>
                    </w:rPr>
                    <w:t xml:space="preserve">0.62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0.70</w:t>
                  </w:r>
                </w:p>
              </w:tc>
            </w:tr>
            <w:tr>
              <w:trPr>
                <w:trHeight w:val="360"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Yes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0.37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28282"/>
                    </w:rPr>
                    <w:t xml:space="preserve">0.46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0404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0404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0.47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0.46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989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98989"/>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28282"/>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0.65</w:t>
                  </w:r>
                </w:p>
              </w:tc>
            </w:tr>
          </w:tbl>
          <w:bookmarkEnd w:id="42"/>
        </w:tc>
      </w:tr>
    </w:tbl>
    <w:p>
      <w:r>
        <w:br w:type="page"/>
      </w:r>
    </w:p>
    <w:bookmarkEnd w:id="43"/>
    <w:bookmarkStart w:id="47" w:name="references"/>
    <w:p>
      <w:pPr>
        <w:pStyle w:val="Heading2"/>
      </w:pPr>
      <w:r>
        <w:t xml:space="preserve">References</w:t>
      </w:r>
    </w:p>
    <w:bookmarkStart w:id="46" w:name="refs"/>
    <w:bookmarkStart w:id="45" w:name="ref-akaike1974"/>
    <w:p>
      <w:pPr>
        <w:pStyle w:val="Bibliography"/>
      </w:pPr>
      <w:r>
        <w:t xml:space="preserve">Akaike, H. 1974. A new look at the statistical model identification.</w:t>
      </w:r>
      <w:r>
        <w:t xml:space="preserve"> </w:t>
      </w:r>
      <w:r>
        <w:rPr>
          <w:i/>
          <w:iCs/>
        </w:rPr>
        <w:t xml:space="preserve">IEEE</w:t>
      </w:r>
      <w:r>
        <w:rPr>
          <w:i/>
          <w:iCs/>
        </w:rPr>
        <w:t xml:space="preserve"> </w:t>
      </w:r>
      <w:r>
        <w:rPr>
          <w:i/>
          <w:iCs/>
        </w:rPr>
        <w:t xml:space="preserve">Transactions on Automatic Control</w:t>
      </w:r>
      <w:r>
        <w:t xml:space="preserve"> </w:t>
      </w:r>
      <w:r>
        <w:t xml:space="preserve">19. IEEE: 716–723.</w:t>
      </w:r>
      <w:r>
        <w:t xml:space="preserve"> </w:t>
      </w:r>
      <w:hyperlink r:id="rId44">
        <w:r>
          <w:rPr>
            <w:rStyle w:val="Hyperlink"/>
          </w:rPr>
          <w:t xml:space="preserve">https://doi.org/10.1109/TAC.1974.1100705</w:t>
        </w:r>
      </w:hyperlink>
      <w:r>
        <w:t xml:space="preserve">.</w:t>
      </w:r>
    </w:p>
    <w:bookmarkEnd w:id="45"/>
    <w:bookmarkEnd w:id="46"/>
    <w:bookmarkEnd w:id="47"/>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28" Target="media/rId28.png" /><Relationship Type="http://schemas.openxmlformats.org/officeDocument/2006/relationships/hyperlink" Id="rId44" Target="https://doi.org/10.1109/TAC.1974.1100705" TargetMode="External" /><Relationship Type="http://schemas.openxmlformats.org/officeDocument/2006/relationships/hyperlink" Id="rId21" Target="https://orcid.org/0000-0001-5330-302X" TargetMode="External" /><Relationship Type="http://schemas.openxmlformats.org/officeDocument/2006/relationships/hyperlink" Id="rId25" Target="https://orcid.org/0000-0002-1918-3463" TargetMode="External" /><Relationship Type="http://schemas.openxmlformats.org/officeDocument/2006/relationships/hyperlink" Id="rId26" Target="https://orcid.org/0000-0002-3847-6501" TargetMode="External" /><Relationship Type="http://schemas.openxmlformats.org/officeDocument/2006/relationships/hyperlink" Id="rId20" Target="https://orcid.org/0000-0002-4996-0059" TargetMode="External" /><Relationship Type="http://schemas.openxmlformats.org/officeDocument/2006/relationships/hyperlink" Id="rId23" Target="https://orcid.org/0000-0002-6032-0570" TargetMode="External" /><Relationship Type="http://schemas.openxmlformats.org/officeDocument/2006/relationships/hyperlink" Id="rId24" Target="https://orcid.org/0000-0003-0500-5655" TargetMode="External" /><Relationship Type="http://schemas.openxmlformats.org/officeDocument/2006/relationships/hyperlink" Id="rId22" Target="https://orcid.org/0000-0003-3391-1823" TargetMode="External" /><Relationship Type="http://schemas.openxmlformats.org/officeDocument/2006/relationships/hyperlink" Id="rId27"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44" Target="https://doi.org/10.1109/TAC.1974.1100705" TargetMode="External" /><Relationship Type="http://schemas.openxmlformats.org/officeDocument/2006/relationships/hyperlink" Id="rId21" Target="https://orcid.org/0000-0001-5330-302X" TargetMode="External" /><Relationship Type="http://schemas.openxmlformats.org/officeDocument/2006/relationships/hyperlink" Id="rId25" Target="https://orcid.org/0000-0002-1918-3463" TargetMode="External" /><Relationship Type="http://schemas.openxmlformats.org/officeDocument/2006/relationships/hyperlink" Id="rId26" Target="https://orcid.org/0000-0002-3847-6501" TargetMode="External" /><Relationship Type="http://schemas.openxmlformats.org/officeDocument/2006/relationships/hyperlink" Id="rId20" Target="https://orcid.org/0000-0002-4996-0059" TargetMode="External" /><Relationship Type="http://schemas.openxmlformats.org/officeDocument/2006/relationships/hyperlink" Id="rId23" Target="https://orcid.org/0000-0002-6032-0570" TargetMode="External" /><Relationship Type="http://schemas.openxmlformats.org/officeDocument/2006/relationships/hyperlink" Id="rId24" Target="https://orcid.org/0000-0003-0500-5655" TargetMode="External" /><Relationship Type="http://schemas.openxmlformats.org/officeDocument/2006/relationships/hyperlink" Id="rId22" Target="https://orcid.org/0000-0003-3391-1823" TargetMode="External" /><Relationship Type="http://schemas.openxmlformats.org/officeDocument/2006/relationships/hyperlink" Id="rId27"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 Managing the unmanageable: Understanding the competing effects of salinity and nutrient loading on estuarine water quality</dc:title>
  <dc:creator>Marcus W Beck1,✉ (0000-0002-4996-0059), Edward T Sherwood1 (0000-0001-5330-302X), Rebecca R Murphy2 (0000-0003-3391-1823), Kerry Flaherty-Walia1 (0000-0002-6032-0570), Qian Zhang2 (0000-0003-0500-5655), Blake A Simmons1 (0000-0002-1918-3463), and Maya C Burke1 (0000-0002-3847-6501)</dc:creator>
  <cp:keywords/>
  <dcterms:created xsi:type="dcterms:W3CDTF">2026-06-09T20:48:30Z</dcterms:created>
  <dcterms:modified xsi:type="dcterms:W3CDTF">2026-06-09T20:48:30Z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