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Kerry Flaherty-Walia</w:t>
      </w:r>
      <w:r>
        <w:rPr>
          <w:vertAlign w:val="superscript"/>
        </w:rPr>
        <w:t xml:space="preserve">1</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reduced by approximately half of the federally-recognized TMDL to maintain a likelihood in the future that is similar to present. By understanding the effects of largely unmanageable characteristics of the Bay, water quality managers can reassess efforts on limiting factors they can control to account for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 (Clean Water Act). Similar mandates under the European Water Framework Directive define processes for identifying and remediating unacceptable water quality conditions.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(Gerold 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has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dissolved content in surficial waters via groundwater flow</w:t>
      </w:r>
      <w:r>
        <w:t xml:space="preserve"> </w:t>
      </w:r>
      <w:r>
        <w:t xml:space="preserve">(P. F. 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r>
          <m:t>2</m:t>
        </m:r>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G. Morrison and Yates 2011)</w:t>
      </w:r>
      <w:r>
        <w:t xml:space="preserve">, with substantial variation by location. Major inflows enter HB via the Hillsborough and Alafia Rivers, MTB via the Little Manatee river, and LTB via the Manatee River. LTB that exchanges with the Gulf has the shortest residence time of a few days, whereas OTB and HB have the longest. However, HB flushes relatively rapidly compared to OTB due to major freshwater inflows and enhanced baroclinic circulation via the main dredge channel that extends from the mouth of the Bay to upper HB</w:t>
      </w:r>
      <w:r>
        <w:t xml:space="preserve"> </w:t>
      </w:r>
      <w:r>
        <w:t xml:space="preserve">(G. Morrison and Yates 2011)</w:t>
      </w:r>
      <w:r>
        <w:t xml:space="preserve">. More importantly, OTB has three major bridges with substantial causeways that are known impediments to circulation</w:t>
      </w:r>
      <w:r>
        <w:t xml:space="preserve"> </w:t>
      </w:r>
      <w:r>
        <w:t xml:space="preserve">(Luther and Meyers 2022)</w:t>
      </w:r>
      <w:r>
        <w:t xml:space="preserve">.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tertiery treatment, resulting in an overall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inrease in rainfall over the past fifty years has lead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p>
    <w:p>
      <w:pPr>
        <w:pStyle w:val="BodyText"/>
      </w:pPr>
      <w:r>
        <w:t xml:space="preserve">Reporting and management of external nutrient loads to Tampa Bay have been the responsibility of the Tampa Bay Nitrogen Management Consortium (TBNMC) since the early 2000s. These efforts are guided by a Reasonable Assurance Plan whereby compliance assessments and water quality improvement efforts are reported to the Florida Department of Environmental Protection. Regulatory criteria for chlorophyll-a apply to each bay segment, such that exceedances for more than two consecutive years require an assessment of a bay segment’s assimilative capacity. The assimilative capacity for each bay segment is currently defined by a maximum annual nitrogen loading beyond which water quality outcomes detrimental to seagraasses are expected. Similarly, chlorophyll-a thresholds for each bay segment were established to maintain a light environment supportive of seagrass growth. Efforts of the TBNMC to manage external nutrient loads have contributed to the long-term recovery of Tampa Bay. However, current ecology and physical conditions of the Bay compared to past conditions from which regulatory thresholds were developed have been the focus of recent discussions by the TBNMC and have also motivated this current work. Chlorophyll-a and total load thresholds for each bay segment are evaluated for objective three using the GAMs for scenario assessments under expected future changes and management actions.</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permitted entity in the Tampa Bay watershed. Conversely, non-point source loads were estimated from gauged and ungauged portions of the watershed by combining rainfall and flow estimates with event mean concentration data by land use and soil type. Atmospheric deposition was estimated using rainfall and airshed chemical constituent data obtained from the Verna well-field long-term air quality monitoring site. Groundwater loading was estimated from aquifer concentration data combined with potentiometric sub-surface flow data, whereas springs loadings were calculated directly from discharge and concentration data measured at each spring. Finally, material losses were based on a loss factor per unit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did not indicate improved model fit.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r>
          <m:rPr>
            <m:sty m:val="p"/>
          </m:rPr>
          <m:t>​</m:t>
        </m:r>
        <m:d>
          <m:dPr>
            <m:begChr m:val="("/>
            <m:sepChr m:val=""/>
            <m:endChr m:val=")"/>
            <m:grow/>
          </m:dPr>
          <m:e/>
        </m:d>
      </m:oMath>
      <w:r>
        <w:t xml:space="preserve"> </w:t>
      </w:r>
      <w:r>
        <w:t xml:space="preserve">is a thin plate regression spline with k = 40 basis functions,</w:t>
      </w:r>
      <w:r>
        <w:t xml:space="preserve"> </w:t>
      </w:r>
      <m:oMath>
        <m:sSub>
          <m:e>
            <m:r>
              <m:t>f</m:t>
            </m:r>
          </m:e>
          <m:sub>
            <m:r>
              <m:t>2</m:t>
            </m:r>
          </m:sub>
        </m:sSub>
        <m:d>
          <m:dPr>
            <m:begChr m:val="("/>
            <m:sepChr m:val=""/>
            <m:endChr m:val=")"/>
            <m:grow/>
          </m:dPr>
          <m:e/>
        </m:d>
      </m:oMath>
      <w:r>
        <w:t xml:space="preserve"> </w:t>
      </w:r>
      <w:r>
        <w:t xml:space="preserve">is a cyclic cubic regression spline with k = 10 basis functions,</w:t>
      </w:r>
      <w:r>
        <w:t xml:space="preserve"> </w:t>
      </w:r>
      <m:oMath>
        <m:sSub>
          <m:e>
            <m:r>
              <m:t>f</m:t>
            </m:r>
          </m:e>
          <m:sub>
            <m:r>
              <m:t>3</m:t>
            </m:r>
          </m:sub>
        </m:sSub>
        <m:d>
          <m:dPr>
            <m:begChr m:val="("/>
            <m:sepChr m:val=""/>
            <m:endChr m:val=")"/>
            <m:grow/>
          </m:dPr>
          <m:e/>
        </m:d>
      </m:oMath>
      <w:r>
        <w:t xml:space="preserve"> </w:t>
      </w:r>
      <w:r>
        <w:t xml:space="preserve">and</w:t>
      </w:r>
      <w:r>
        <w:t xml:space="preserve"> </w:t>
      </w:r>
      <m:oMath>
        <m:sSub>
          <m:e>
            <m:r>
              <m:t>f</m:t>
            </m:r>
          </m:e>
          <m:sub>
            <m:r>
              <m:t>4</m:t>
            </m:r>
          </m:sub>
        </m:sSub>
        <m:d>
          <m:dPr>
            <m:begChr m:val="("/>
            <m:sepChr m:val=""/>
            <m:endChr m:val=")"/>
            <m:grow/>
          </m:dPr>
          <m:e/>
        </m:d>
      </m:oMath>
      <w:r>
        <w:t xml:space="preserve"> </w:t>
      </w:r>
      <w:r>
        <w:t xml:space="preserve">are thin plate regression splines with k = 10 basis functions, and</w:t>
      </w:r>
      <w:r>
        <w:t xml:space="preserve"> </w:t>
      </w:r>
      <m:oMath>
        <m:sSub>
          <m:e>
            <m:r>
              <m:t>f</m:t>
            </m:r>
          </m:e>
          <m:sub>
            <m:r>
              <m:t>12</m:t>
            </m:r>
          </m:sub>
        </m:sSub>
        <m:d>
          <m:dPr>
            <m:begChr m:val="("/>
            <m:sepChr m:val=""/>
            <m:endChr m:val=")"/>
            <m:grow/>
          </m:dPr>
          <m:e/>
        </m:d>
      </m:oMath>
      <w:r>
        <w:t xml:space="preserve">,</w:t>
      </w:r>
      <w:r>
        <w:t xml:space="preserve"> </w:t>
      </w:r>
      <m:oMath>
        <m:sSub>
          <m:e>
            <m:r>
              <m:t>f</m:t>
            </m:r>
          </m:e>
          <m:sub>
            <m:r>
              <m:t>13</m:t>
            </m:r>
          </m:sub>
        </m:sSub>
        <m:d>
          <m:dPr>
            <m:begChr m:val="("/>
            <m:sepChr m:val=""/>
            <m:endChr m:val=")"/>
            <m:grow/>
          </m:dPr>
          <m:e/>
        </m:d>
      </m:oMath>
      <w:r>
        <w:t xml:space="preserve">,</w:t>
      </w:r>
      <w:r>
        <w:t xml:space="preserve"> </w:t>
      </w:r>
      <m:oMath>
        <m:sSub>
          <m:e>
            <m:r>
              <m:t>f</m:t>
            </m:r>
          </m:e>
          <m:sub>
            <m:r>
              <m:t>14</m:t>
            </m:r>
          </m:sub>
        </m:sSub>
        <m:d>
          <m:dPr>
            <m:begChr m:val="("/>
            <m:sepChr m:val=""/>
            <m:endChr m:val=")"/>
            <m:grow/>
          </m:dPr>
          <m:e/>
        </m:d>
      </m:oMath>
      <w:r>
        <w:t xml:space="preserve">,</w:t>
      </w:r>
      <w:r>
        <w:t xml:space="preserve"> </w:t>
      </w:r>
      <m:oMath>
        <m:sSub>
          <m:e>
            <m:r>
              <m:t>f</m:t>
            </m:r>
          </m:e>
          <m:sub>
            <m:r>
              <m:t>23</m:t>
            </m:r>
          </m:sub>
        </m:sSub>
        <m:d>
          <m:dPr>
            <m:begChr m:val="("/>
            <m:sepChr m:val=""/>
            <m:endChr m:val=")"/>
            <m:grow/>
          </m:dPr>
          <m:e/>
        </m:d>
      </m:oMath>
      <w:r>
        <w:t xml:space="preserve">,</w:t>
      </w:r>
      <w:r>
        <w:t xml:space="preserve"> </w:t>
      </w:r>
      <m:oMath>
        <m:sSub>
          <m:e>
            <m:r>
              <m:t>f</m:t>
            </m:r>
          </m:e>
          <m:sub>
            <m:r>
              <m:t>24</m:t>
            </m:r>
          </m:sub>
        </m:sSub>
        <m:d>
          <m:dPr>
            <m:begChr m:val="("/>
            <m:sepChr m:val=""/>
            <m:endChr m:val=")"/>
            <m:grow/>
          </m:dPr>
          <m:e/>
        </m:d>
      </m:oMath>
      <w:r>
        <w:t xml:space="preserve">, and</w:t>
      </w:r>
      <w:r>
        <w:t xml:space="preserve"> </w:t>
      </w:r>
      <m:oMath>
        <m:sSub>
          <m:e>
            <m:r>
              <m:t>f</m:t>
            </m:r>
          </m:e>
          <m:sub>
            <m:r>
              <m:t>34</m:t>
            </m:r>
          </m:sub>
        </m:sSub>
        <m:d>
          <m:dPr>
            <m:begChr m:val="("/>
            <m:sepChr m:val=""/>
            <m:endChr m:val=")"/>
            <m:grow/>
          </m:dPr>
          <m:e/>
        </m:d>
      </m:oMath>
      <w:r>
        <w:t xml:space="preserve"> </w:t>
      </w:r>
      <w:r>
        <w:t xml:space="preserve">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seasonal periods (annual, JFM, AMJ, JAS, OND)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The second objective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more oligohaline effect, negative being more euhaline effect) and the y-axis showed the loading effects (positive being higher loading effect, negative being lower loading effect).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seasonal periods (annual, JFM, AMJ, JAS, OND)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The third objective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Loading scenarios were assessed under four different conditions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0.42, 0.44, respectively). Mean correlations were similar between bay segments and annual groupings for all other seasons (mean</w:t>
      </w:r>
      <w:r>
        <w:t xml:space="preserve"> </w:t>
      </w:r>
      <m:oMath>
        <m:r>
          <m:t>ρ</m:t>
        </m:r>
      </m:oMath>
      <w:r>
        <w:t xml:space="preserve"> </w:t>
      </w:r>
      <w:r>
        <w:t xml:space="preserve">= 0.61, 0.62, 0.63 for JFM, AMJ, and JAS, respectively). The lowest seasonal correlation was observed for the JFM period for OTB in 2000-2014 (</w:t>
      </w:r>
      <m:oMath>
        <m:r>
          <m:t>ρ</m:t>
        </m:r>
      </m:oMath>
      <w:r>
        <w:t xml:space="preserve"> </w:t>
      </w:r>
      <w:r>
        <w:t xml:space="preserve">= 0.24). The highest seasonal correlation was observed for the OND period for OTB in 2015-2024 (</w:t>
      </w:r>
      <m:oMath>
        <m:r>
          <m:t>ρ</m:t>
        </m:r>
      </m:oMath>
      <w:r>
        <w:t xml:space="preserve"> </w:t>
      </w:r>
      <w:r>
        <w:t xml:space="preserve">= 0.92).</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ad LTB suggests that salinity had a larger influence on chlorophyll-a in the former, whereas loading was not a key driver in both.</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absolute differences in chlorophyll-a for the predictions in</w:t>
      </w:r>
      <w:r>
        <w:t xml:space="preserve"> </w:t>
      </w:r>
      <w:hyperlink w:anchor="fig-prdnrm">
        <w:r>
          <w:rPr>
            <w:rStyle w:val="Hyperlink"/>
          </w:rPr>
          <w:t xml:space="preserve">Figure 4</w:t>
        </w:r>
      </w:hyperlink>
      <w:r>
        <w:t xml:space="preserve"> </w:t>
      </w:r>
      <w:r>
        <w:t xml:space="preserve">to describe the magnitude (but not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and loading had larger influences on chlorophyll-a for OTB and HB, salinity mostly influenced chlorophyll-a in MTB, and neither salinity nor loading had large influences in LTB. Annually, salinity had the largest influence in OTB, HB, and MTB from 1985-1999, whereas loading was most important in OTB and HB from 2015-2024, although the loading effect was smaller compared to the salinity effect in OTB during 2015-2024. By season, salinity effects were most prominent during the June, July, and August (JJA) periods in HB and MTB, whereas the OND period had the largest effect of salinity in OTB. Salinity effects for JJA for HB and MTB and for OND for OTB were largest from 1985-1999. Loading effects by season were most prominent during the JJA period in OTB and HB, with the largest seasonal effects observed during 2015-2024.</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more load-dominated and lower salinity influence on chlorophyll-a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chlorophyll-a was also influenced by more oligohaline conditions.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Similarly, years with higher than normal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(describd below) because thresholds have not been exceeded in recent years. That is, reductions in salinity in HB, MTB, and LTB suggested an increased likelihood although overall likelihoods were minimal (&lt; 10% likelihood over 50 years). One exception is HB when the loading was doubled, such that the likelihood of exceeding the regulatory threshold rose from ~1% at the current load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exceedences were observed from 2015-2024 (five years in this period), the likelihood at present under observed salinity and loading was approximately 42% (</w:t>
      </w:r>
      <w:hyperlink w:anchor="tbl-liktab">
        <w:r>
          <w:rPr>
            <w:rStyle w:val="Hyperlink"/>
          </w:rPr>
          <w:t xml:space="preserve">Table 4</w:t>
        </w:r>
      </w:hyperlink>
      <w:r>
        <w:t xml:space="preserve">). Any changes in salinity and loading had non-trivial effects on the overall likelihood.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based on conditions of the Bay in the 1990s</w:t>
      </w:r>
      <w:r>
        <w:t xml:space="preserve"> </w:t>
      </w:r>
      <w:r>
        <w:t xml:space="preserve">(Janicki and Wade 1996; Janicki et al. 2000)</w:t>
      </w:r>
      <w:r>
        <w:t xml:space="preserve">. It is understood that conditions have changed and the primary objective of this work was to assess the time-varying effects of loading and salinity on water quality in Tampa Bay.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for estuarine restoration, whereas salinity controls typically are not. In anticipation of future salinity conditions, additional load reductions may be needed.</w:t>
      </w:r>
    </w:p>
    <w:p>
      <w:pPr>
        <w:pStyle w:val="BodyText"/>
      </w:pPr>
      <w:r>
        <w:t xml:space="preserve">The simulation results suggested an increased likelihood of exceeding regulatory thresholds with future reductions in salinity. These analyses also underscored the continuing role that nutrient loads have for affecting water quality. In OTB, where regulatory exceedances have occurred in several past years, changing salinity conditions may require further load reductions beyond the federally-established TMDL to maintain water quality in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no actions are taken to mitigate sources. Although total loads across all sources in OTB have been relatively stable since 1985 (with subsantial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addressed, will further increase the likelihood of exceeding regulatory criteria in the future. The simulation models suggest that current total loading should be reduced by at least 50% to achieve a similar likelihood at present of exceeding the regulatory criteria in fifty years to account for the largely unmanageable effects of reduced salinity on chorophyll-a.</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threshold have been observed in recent years. Compliance assessment for the nutrient loadings in each bay segment was established as a loading ratio, where loads are scaled based on hydrologic inputs</w:t>
      </w:r>
      <w:r>
        <w:t xml:space="preserve"> </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exceedances of the chlorophyll-a threshold in OTB and non-attainment of the loading ratio presents a mismatch in compliance assessment.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H. Wang et al. 2026)</w:t>
      </w:r>
      <w:r>
        <w:t xml:space="preserve">.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loading is unimportant in these bay segments. Rather, the results must be interpreted relatively between bay segments such that a general conclusion can be made that loading is more important for driving chlorophyll-a in the upper segments, not that is it wholly unimportant for the lower bay segments. The GAM structure was selected specifically to isolate the effects of key drivers and is a relatively simplistic interpretation compared to a more mechanistic descriptions of factors driving chlorophyll-a. Controlling external nitrogen loads to each bay segment will continue to be a key focus for managements efforts to maintain or improve water quality in Tampa Bay.</w:t>
      </w:r>
    </w:p>
    <w:p>
      <w:pPr>
        <w:pStyle w:val="BodyText"/>
      </w:pPr>
      <w:r>
        <w:t xml:space="preserve">Recognizing what salinity represents as a proxy of causal mechanisms of chlorophyll-a dynamics in each bay segment is critical for the interpretation of the results. Salinity is not independent from loading such that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 as to prevent both from being used as unique predictors in the models (VIFs were sufficiently low). Given the varying importance of either in the models for each bay segment, salinity can be interpreted as having a unique effect on chlorophyll-a independent of loading. The most likely interpretation is that salinity is a proxy for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oligohaline conditions. Rather, periods of low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for scenario assessment.</w:t>
      </w:r>
    </w:p>
    <w:p>
      <w:pPr>
        <w:pStyle w:val="BodyText"/>
      </w:pPr>
      <w:r>
        <w:t xml:space="preserve">Finally, the scenario assessments using simulated results from the GAMs also assumed that current chloropyll standards are and will continue to support a light environment for seagrasses. These chloropyll thresholds, much like the loading thresholds, were developed with data from the 1990s and current conditions suggest analysis is needed to determine if they are still appropriate. Optical models, in situ light measurements, and current seagrass coverage maps cross-referenced with bathymetry need to be leveraged to determine if these thresholds are still sufficient to maintain light environments at the deep edge of seagrass for each bay segment</w:t>
      </w:r>
      <w:r>
        <w:t xml:space="preserve"> </w:t>
      </w:r>
      <w:r>
        <w:t xml:space="preserve">(Johansson 2022)</w:t>
      </w:r>
      <w:r>
        <w:t xml:space="preserve">. Evaluating other water quality factors that attenuate light may also be important, such as color and turbidity</w:t>
      </w:r>
      <w:r>
        <w:t xml:space="preserve"> </w:t>
      </w:r>
      <w:r>
        <w:t xml:space="preserve">(Chen, Hu, and Muller-Karger 2007; Le et al. 2013)</w:t>
      </w:r>
      <w:r>
        <w:t xml:space="preserve">. Although there are no standards to support the light environment other than chlorophyll, evaluating the roles of alternative drivers of light attenuation can help development expectations of times when seagrasses may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seagrass growth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reduced by half of the current TMDL to maintain a sufficiently low likelihood of exceeding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but will also alter physiological response of phytoplankton and nutrient cycling rates</w:t>
      </w:r>
      <w:r>
        <w:t xml:space="preserve"> </w:t>
      </w:r>
      <w:r>
        <w:t xml:space="preserve">(Lassen et al. 2010; Statham 2012)</w:t>
      </w:r>
      <w:r>
        <w:t xml:space="preserve">. Future work should evaluate the role of additional stressors, like temperature, to better guide how Bay management should proceed to protect critical resources.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094514"/>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w:r>
              <w:rPr>
                <w:rStyle w:val="VerbatimChar"/>
              </w:rPr>
              <w:t xml:space="preserve">s()</w:t>
            </w:r>
            <w:r>
              <w:t xml:space="preserve"> </w:t>
            </w:r>
            <w:r>
              <w:t xml:space="preserve">indicates a single spline smooth for the predictor and</w:t>
            </w:r>
            <w:r>
              <w:t xml:space="preserve"> </w:t>
            </w:r>
            <w:r>
              <w:rPr>
                <w:rStyle w:val="VerbatimChar"/>
              </w:rPr>
              <w:t xml:space="preserve">ti()</w:t>
            </w:r>
            <w:r>
              <w:t xml:space="preserve"> </w:t>
            </w:r>
            <w:r>
              <w:t xml:space="preserve">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484848"/>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23232"/>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70707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53535"/>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686868"/>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11111"/>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3B3B3B"/>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46464"/>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59595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71717"/>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65656"/>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B4B4B"/>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92929"/>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0E0E0E"/>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8484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71717"/>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3333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B4B4B"/>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404040"/>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232323"/>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3D3D3D"/>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A1A1A"/>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4141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656565"/>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2E2E2E"/>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A2A2A"/>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969696"/>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69696"/>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616161"/>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25252"/>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0707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00000"/>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919191"/>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absolute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shading and size is proportional to the magnitude of the differences.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29"/>
              <w:gridCol w:w="621"/>
              <w:gridCol w:w="792"/>
              <w:gridCol w:w="548"/>
              <w:gridCol w:w="584"/>
              <w:gridCol w:w="474"/>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A6A6A"/>
                    </w:rPr>
                    <w:t xml:space="preserve">1.15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08080"/>
                    </w:rPr>
                    <w:t xml:space="preserve">1.37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1.90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78787"/>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47474"/>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0.35</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1.04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0.36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727272"/>
                    </w:rPr>
                    <w:t xml:space="preserve">1.82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1.65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5555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17171"/>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27272"/>
                    </w:rPr>
                    <w:t xml:space="preserve">0.39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1.76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595959"/>
                    </w:rPr>
                    <w:t xml:space="preserve">0.72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2.80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000000"/>
                    </w:rPr>
                    <w:t xml:space="preserve">2.10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5.04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F7F7F"/>
                    </w:rPr>
                    <w:t xml:space="preserve">0.27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0.81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C7C7C"/>
                    </w:rPr>
                    <w:t xml:space="preserve">0.34</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16161"/>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A2A2A"/>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C5C5C"/>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292929"/>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292929"/>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373737"/>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1A1A1A"/>
                    </w:rPr>
                    <w:t xml:space="preserve">1.25</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C6C6C"/>
                    </w:rPr>
                    <w:t xml:space="preserve">1.13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464646"/>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D6D6D"/>
                    </w:rPr>
                    <w:t xml:space="preserve">1.98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07070"/>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000000"/>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1.31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2.45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000000"/>
                    </w:rPr>
                    <w:t xml:space="preserve">1.52</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86868"/>
                    </w:rPr>
                    <w:t xml:space="preserve">1.18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E6E6E"/>
                    </w:rPr>
                    <w:t xml:space="preserve">1.91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1.55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0.23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0.19</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58585"/>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97979"/>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838383"/>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E8E8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E8E8E"/>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0.15</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787878"/>
                    </w:rPr>
                    <w:t xml:space="preserve">0.37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A6A6A"/>
                    </w:rPr>
                    <w:t xml:space="preserve">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0.10</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69696"/>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0.86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9191"/>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9393"/>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0909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9494"/>
                    </w:rPr>
                    <w:t xml:space="preserve">0.76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3939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39393"/>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89" w:name="references"/>
    <w:p>
      <w:pPr>
        <w:pStyle w:val="Heading2"/>
      </w:pPr>
      <w:r>
        <w:t xml:space="preserve">References</w:t>
      </w:r>
    </w:p>
    <w:bookmarkStart w:id="188"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6">
        <w:r>
          <w:rPr>
            <w:rStyle w:val="Hyperlink"/>
          </w:rPr>
          <w:t xml:space="preserve">https://doi.org/10.1029/2004GB002229</w:t>
        </w:r>
      </w:hyperlink>
      <w:r>
        <w:t xml:space="preserve">.</w:t>
      </w:r>
    </w:p>
    <w:bookmarkEnd w:id="77"/>
    <w:bookmarkStart w:id="79"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78">
        <w:r>
          <w:rPr>
            <w:rStyle w:val="Hyperlink"/>
          </w:rPr>
          <w:t xml:space="preserve">https://doi.org/10.1016/j.scitotenv.2021.149927</w:t>
        </w:r>
      </w:hyperlink>
      <w:r>
        <w:t xml:space="preserve">.</w:t>
      </w:r>
    </w:p>
    <w:bookmarkEnd w:id="79"/>
    <w:bookmarkStart w:id="81"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0">
        <w:r>
          <w:rPr>
            <w:rStyle w:val="Hyperlink"/>
          </w:rPr>
          <w:t xml:space="preserve">https://doi.org/10.1007/s12237-024-01385-0</w:t>
        </w:r>
      </w:hyperlink>
      <w:r>
        <w:t xml:space="preserve">.</w:t>
      </w:r>
    </w:p>
    <w:bookmarkEnd w:id="81"/>
    <w:bookmarkStart w:id="83"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2">
        <w:r>
          <w:rPr>
            <w:rStyle w:val="Hyperlink"/>
          </w:rPr>
          <w:t xml:space="preserve">https://doi.org/10.1007/s10666-015-9452-8</w:t>
        </w:r>
      </w:hyperlink>
      <w:r>
        <w:t xml:space="preserve">.</w:t>
      </w:r>
    </w:p>
    <w:bookmarkEnd w:id="83"/>
    <w:bookmarkStart w:id="85"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4">
        <w:r>
          <w:rPr>
            <w:rStyle w:val="Hyperlink"/>
          </w:rPr>
          <w:t xml:space="preserve">https://doi.org/10.1111/1752-1688.12489</w:t>
        </w:r>
      </w:hyperlink>
      <w:r>
        <w:t xml:space="preserve">.</w:t>
      </w:r>
    </w:p>
    <w:bookmarkEnd w:id="85"/>
    <w:bookmarkStart w:id="87"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86">
        <w:r>
          <w:rPr>
            <w:rStyle w:val="Hyperlink"/>
          </w:rPr>
          <w:t xml:space="preserve">https://doi.org/10.13031/2013.21742</w:t>
        </w:r>
      </w:hyperlink>
      <w:r>
        <w:t xml:space="preserve">.</w:t>
      </w:r>
    </w:p>
    <w:bookmarkEnd w:id="87"/>
    <w:bookmarkStart w:id="89"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88">
        <w:r>
          <w:rPr>
            <w:rStyle w:val="Hyperlink"/>
          </w:rPr>
          <w:t xml:space="preserve">https://doi.org/10.1021/es011246m</w:t>
        </w:r>
      </w:hyperlink>
      <w:r>
        <w:t xml:space="preserve">.</w:t>
      </w:r>
    </w:p>
    <w:bookmarkEnd w:id="89"/>
    <w:bookmarkStart w:id="90"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0"/>
    <w:bookmarkStart w:id="91"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1"/>
    <w:bookmarkStart w:id="93"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2">
        <w:r>
          <w:rPr>
            <w:rStyle w:val="Hyperlink"/>
          </w:rPr>
          <w:t xml:space="preserve">https://doi.org/10.1016/j.marchem.2006.12.007</w:t>
        </w:r>
      </w:hyperlink>
      <w:r>
        <w:t xml:space="preserve">.</w:t>
      </w:r>
    </w:p>
    <w:bookmarkEnd w:id="93"/>
    <w:bookmarkStart w:id="95"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4">
        <w:r>
          <w:rPr>
            <w:rStyle w:val="Hyperlink"/>
          </w:rPr>
          <w:t xml:space="preserve">https://doi.org/10.1016/j.rse.2006.12.019</w:t>
        </w:r>
      </w:hyperlink>
      <w:r>
        <w:t xml:space="preserve">.</w:t>
      </w:r>
    </w:p>
    <w:bookmarkEnd w:id="95"/>
    <w:bookmarkStart w:id="97"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96">
        <w:r>
          <w:rPr>
            <w:rStyle w:val="Hyperlink"/>
          </w:rPr>
          <w:t xml:space="preserve">https://doi.org/10.3354/meps210223</w:t>
        </w:r>
      </w:hyperlink>
      <w:r>
        <w:t xml:space="preserve">.</w:t>
      </w:r>
    </w:p>
    <w:bookmarkEnd w:id="97"/>
    <w:bookmarkStart w:id="99"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98">
        <w:r>
          <w:rPr>
            <w:rStyle w:val="Hyperlink"/>
          </w:rPr>
          <w:t xml:space="preserve">https://doi.org/10.1007/s10750-004-7102-2</w:t>
        </w:r>
      </w:hyperlink>
      <w:r>
        <w:t xml:space="preserve">.</w:t>
      </w:r>
    </w:p>
    <w:bookmarkEnd w:id="99"/>
    <w:bookmarkStart w:id="100"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0"/>
    <w:bookmarkStart w:id="102"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1">
        <w:r>
          <w:rPr>
            <w:rStyle w:val="Hyperlink"/>
          </w:rPr>
          <w:t xml:space="preserve">https://doi.org/10.1007/s00267-005-0079-4</w:t>
        </w:r>
      </w:hyperlink>
      <w:r>
        <w:t xml:space="preserve">.</w:t>
      </w:r>
    </w:p>
    <w:bookmarkEnd w:id="102"/>
    <w:bookmarkStart w:id="104"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3">
        <w:r>
          <w:rPr>
            <w:rStyle w:val="Hyperlink"/>
          </w:rPr>
          <w:t xml:space="preserve">https://doi.org/10.1016/j.ecss.2014.10.003</w:t>
        </w:r>
      </w:hyperlink>
      <w:r>
        <w:t xml:space="preserve">.</w:t>
      </w:r>
    </w:p>
    <w:bookmarkEnd w:id="104"/>
    <w:bookmarkStart w:id="106"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5">
        <w:r>
          <w:rPr>
            <w:rStyle w:val="Hyperlink"/>
          </w:rPr>
          <w:t xml:space="preserve">https://doi.org/10.2307/1353325</w:t>
        </w:r>
      </w:hyperlink>
      <w:r>
        <w:t xml:space="preserve">.</w:t>
      </w:r>
    </w:p>
    <w:bookmarkEnd w:id="106"/>
    <w:bookmarkStart w:id="108"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07">
        <w:r>
          <w:rPr>
            <w:rStyle w:val="Hyperlink"/>
          </w:rPr>
          <w:t xml:space="preserve">https://doi.org/10.1111/j.1752-1688.2010.00482.x</w:t>
        </w:r>
      </w:hyperlink>
      <w:r>
        <w:t xml:space="preserve">.</w:t>
      </w:r>
    </w:p>
    <w:bookmarkEnd w:id="108"/>
    <w:bookmarkStart w:id="109"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09"/>
    <w:bookmarkStart w:id="111" w:name="ref-tbep0696"/>
    <w:p>
      <w:pPr>
        <w:pStyle w:val="Bibliography"/>
      </w:pPr>
      <w:r>
        <w:t xml:space="preserve">Janicki, A. J., and D. L. Wade. 1996.</w:t>
      </w:r>
      <w:r>
        <w:t xml:space="preserve"> </w:t>
      </w:r>
      <w:hyperlink r:id="rId110">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estuary: An empirically based approach to setting management targets</w:t>
        </w:r>
      </w:hyperlink>
      <w:r>
        <w:t xml:space="preserve">. Technical report 06-96. St. Petersburg, Florida: Tampa Bay Estuary Program.</w:t>
      </w:r>
    </w:p>
    <w:bookmarkEnd w:id="111"/>
    <w:bookmarkStart w:id="113" w:name="ref-tbep0400"/>
    <w:p>
      <w:pPr>
        <w:pStyle w:val="Bibliography"/>
      </w:pPr>
      <w:r>
        <w:t xml:space="preserve">Janicki, A. J., D. L. Wade, and J. R. Pribble. 2000.</w:t>
      </w:r>
      <w:r>
        <w:t xml:space="preserve"> </w:t>
      </w:r>
      <w:hyperlink r:id="rId112">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3"/>
    <w:bookmarkStart w:id="115" w:name="ref-tbep1115"/>
    <w:p>
      <w:pPr>
        <w:pStyle w:val="Bibliography"/>
      </w:pPr>
      <w:r>
        <w:t xml:space="preserve">Janicki Environmental, Inc. 2015.</w:t>
      </w:r>
      <w:r>
        <w:t xml:space="preserve"> </w:t>
      </w:r>
      <w:hyperlink r:id="rId114">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15"/>
    <w:bookmarkStart w:id="117" w:name="ref-tbep0623"/>
    <w:p>
      <w:pPr>
        <w:pStyle w:val="Bibliography"/>
      </w:pPr>
      <w:r>
        <w:t xml:space="preserve">Janicki Environmental, Inc. 2023.</w:t>
      </w:r>
      <w:r>
        <w:t xml:space="preserve"> </w:t>
      </w:r>
      <w:hyperlink r:id="rId116">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06-23. St. Petersburg, Florida: Tampa Bay Estuary Program.</w:t>
      </w:r>
    </w:p>
    <w:bookmarkEnd w:id="117"/>
    <w:bookmarkStart w:id="119" w:name="ref-tbep0622"/>
    <w:p>
      <w:pPr>
        <w:pStyle w:val="Bibliography"/>
      </w:pPr>
      <w:r>
        <w:t xml:space="preserve">Johansson, J. O. R. 2022.</w:t>
      </w:r>
      <w:r>
        <w:t xml:space="preserve"> </w:t>
      </w:r>
      <w:hyperlink r:id="rId118">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19"/>
    <w:bookmarkStart w:id="120"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0"/>
    <w:bookmarkStart w:id="122"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1">
        <w:r>
          <w:rPr>
            <w:rStyle w:val="Hyperlink"/>
          </w:rPr>
          <w:t xml:space="preserve">https://doi.org/10.2307/1351884</w:t>
        </w:r>
      </w:hyperlink>
      <w:r>
        <w:t xml:space="preserve">.</w:t>
      </w:r>
    </w:p>
    <w:bookmarkEnd w:id="122"/>
    <w:bookmarkStart w:id="124"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23">
        <w:r>
          <w:rPr>
            <w:rStyle w:val="Hyperlink"/>
          </w:rPr>
          <w:t xml:space="preserve">https://doi.org/10.1016/j.jembe.2009.10.014</w:t>
        </w:r>
      </w:hyperlink>
      <w:r>
        <w:t xml:space="preserve">.</w:t>
      </w:r>
    </w:p>
    <w:bookmarkEnd w:id="124"/>
    <w:bookmarkStart w:id="126"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25">
        <w:r>
          <w:rPr>
            <w:rStyle w:val="Hyperlink"/>
          </w:rPr>
          <w:t xml:space="preserve">https://doi.org/10.1016/j.ecss.2012.09.017</w:t>
        </w:r>
      </w:hyperlink>
      <w:r>
        <w:t xml:space="preserve">.</w:t>
      </w:r>
    </w:p>
    <w:bookmarkEnd w:id="126"/>
    <w:bookmarkStart w:id="128"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27">
        <w:r>
          <w:rPr>
            <w:rStyle w:val="Hyperlink"/>
          </w:rPr>
          <w:t xml:space="preserve">https://doi.org/10.1016/j.dsr2.2013.12.011</w:t>
        </w:r>
      </w:hyperlink>
      <w:r>
        <w:t xml:space="preserve">.</w:t>
      </w:r>
    </w:p>
    <w:bookmarkEnd w:id="128"/>
    <w:bookmarkStart w:id="130"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29">
        <w:r>
          <w:rPr>
            <w:rStyle w:val="Hyperlink"/>
          </w:rPr>
          <w:t xml:space="preserve">https://doi.org/10.1016/j.cosust.2012.03.002</w:t>
        </w:r>
      </w:hyperlink>
      <w:r>
        <w:t xml:space="preserve">.</w:t>
      </w:r>
    </w:p>
    <w:bookmarkEnd w:id="130"/>
    <w:bookmarkStart w:id="132" w:name="ref-luther2022"/>
    <w:p>
      <w:pPr>
        <w:pStyle w:val="Bibliography"/>
      </w:pPr>
      <w:r>
        <w:t xml:space="preserve">Luther, M. E., and S. D. Meyers. 2022.</w:t>
      </w:r>
      <w:r>
        <w:t xml:space="preserve"> </w:t>
      </w:r>
      <w:hyperlink r:id="rId131">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32"/>
    <w:bookmarkStart w:id="134"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33">
        <w:r>
          <w:rPr>
            <w:rStyle w:val="Hyperlink"/>
          </w:rPr>
          <w:t xml:space="preserve">https://doi.org/10.2112/SI54-000.1</w:t>
        </w:r>
      </w:hyperlink>
      <w:r>
        <w:t xml:space="preserve">.</w:t>
      </w:r>
    </w:p>
    <w:bookmarkEnd w:id="134"/>
    <w:bookmarkStart w:id="136"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35">
        <w:r>
          <w:rPr>
            <w:rStyle w:val="Hyperlink"/>
          </w:rPr>
          <w:t xml:space="preserve">https://doi.org/10.1002/2014JC010342</w:t>
        </w:r>
      </w:hyperlink>
      <w:r>
        <w:t xml:space="preserve">.</w:t>
      </w:r>
    </w:p>
    <w:bookmarkEnd w:id="136"/>
    <w:bookmarkStart w:id="138" w:name="ref-morrison2006"/>
    <w:p>
      <w:pPr>
        <w:pStyle w:val="Bibliography"/>
      </w:pPr>
      <w:r>
        <w:t xml:space="preserve">Morrison, Gerold, E. T. Sherwood, R. Boler, and J. Barron. 2006. Variations in water clarity and chlorophylla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w:t>
      </w:r>
      <w:r>
        <w:t xml:space="preserve">2004.</w:t>
      </w:r>
      <w:r>
        <w:t xml:space="preserve"> </w:t>
      </w:r>
      <w:r>
        <w:rPr>
          <w:i/>
          <w:iCs/>
        </w:rPr>
        <w:t xml:space="preserve">Estuaries and Coasts</w:t>
      </w:r>
      <w:r>
        <w:t xml:space="preserve"> </w:t>
      </w:r>
      <w:r>
        <w:t xml:space="preserve">29: 926–931.</w:t>
      </w:r>
      <w:r>
        <w:t xml:space="preserve"> </w:t>
      </w:r>
      <w:hyperlink r:id="rId137">
        <w:r>
          <w:rPr>
            <w:rStyle w:val="Hyperlink"/>
          </w:rPr>
          <w:t xml:space="preserve">https://doi.org/10.1007/bf02798652</w:t>
        </w:r>
      </w:hyperlink>
      <w:r>
        <w:t xml:space="preserve">.</w:t>
      </w:r>
    </w:p>
    <w:bookmarkEnd w:id="138"/>
    <w:bookmarkStart w:id="139"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39"/>
    <w:bookmarkStart w:id="141"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40">
        <w:r>
          <w:rPr>
            <w:rStyle w:val="Hyperlink"/>
          </w:rPr>
          <w:t xml:space="preserve">https://doi.org/10.1007/s00267-010-9531-1</w:t>
        </w:r>
      </w:hyperlink>
      <w:r>
        <w:t xml:space="preserve">.</w:t>
      </w:r>
    </w:p>
    <w:bookmarkEnd w:id="141"/>
    <w:bookmarkStart w:id="143"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42">
        <w:r>
          <w:rPr>
            <w:rStyle w:val="Hyperlink"/>
          </w:rPr>
          <w:t xml:space="preserve">https://doi.org/10.1021/acs.est.1c05388</w:t>
        </w:r>
      </w:hyperlink>
      <w:r>
        <w:t xml:space="preserve">.</w:t>
      </w:r>
    </w:p>
    <w:bookmarkEnd w:id="143"/>
    <w:bookmarkStart w:id="145"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44">
        <w:r>
          <w:rPr>
            <w:rStyle w:val="Hyperlink"/>
          </w:rPr>
          <w:t xml:space="preserve">https://doi.org/10.1016/j.envsoft.2019.03.027</w:t>
        </w:r>
      </w:hyperlink>
      <w:r>
        <w:t xml:space="preserve">.</w:t>
      </w:r>
    </w:p>
    <w:bookmarkEnd w:id="145"/>
    <w:bookmarkStart w:id="147"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46">
        <w:r>
          <w:rPr>
            <w:rStyle w:val="Hyperlink"/>
          </w:rPr>
          <w:t xml:space="preserve">https://doi.org/10.1080/00785236.1995.10422044</w:t>
        </w:r>
      </w:hyperlink>
      <w:r>
        <w:t xml:space="preserve">.</w:t>
      </w:r>
    </w:p>
    <w:bookmarkEnd w:id="147"/>
    <w:bookmarkStart w:id="149"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48">
        <w:r>
          <w:rPr>
            <w:rStyle w:val="Hyperlink"/>
          </w:rPr>
          <w:t xml:space="preserve">https://doi.org/10.1007/s00267-004-0034-9</w:t>
        </w:r>
      </w:hyperlink>
      <w:r>
        <w:t xml:space="preserve">.</w:t>
      </w:r>
    </w:p>
    <w:bookmarkEnd w:id="149"/>
    <w:bookmarkStart w:id="150"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50"/>
    <w:bookmarkStart w:id="152"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51">
        <w:r>
          <w:rPr>
            <w:rStyle w:val="Hyperlink"/>
          </w:rPr>
          <w:t xml:space="preserve">https://doi.org/10.1016/j.rsma.2015.11.007</w:t>
        </w:r>
      </w:hyperlink>
      <w:r>
        <w:t xml:space="preserve">.</w:t>
      </w:r>
    </w:p>
    <w:bookmarkEnd w:id="152"/>
    <w:bookmarkStart w:id="154"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53">
        <w:r>
          <w:rPr>
            <w:rStyle w:val="Hyperlink"/>
          </w:rPr>
          <w:t xml:space="preserve">https://doi.org/10.7717/peerj.16073</w:t>
        </w:r>
      </w:hyperlink>
      <w:r>
        <w:t xml:space="preserve">.</w:t>
      </w:r>
    </w:p>
    <w:bookmarkEnd w:id="154"/>
    <w:bookmarkStart w:id="156" w:name="ref-sherwood2015"/>
    <w:p>
      <w:pPr>
        <w:pStyle w:val="Bibliography"/>
      </w:pPr>
      <w:r>
        <w:t xml:space="preserve">Sherwood, E. T., H. S. Greening, L. Garcia, K. Kaufman, A. J. Janicki, R. Pribble, B. Cunningham, et al. 2015.</w:t>
      </w:r>
      <w:r>
        <w:t xml:space="preserve"> </w:t>
      </w:r>
      <w:hyperlink r:id="rId155">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56"/>
    <w:bookmarkStart w:id="158"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57">
        <w:r>
          <w:rPr>
            <w:rStyle w:val="Hyperlink"/>
          </w:rPr>
          <w:t xml:space="preserve">https://doi.org/10.1016/j.rsma.2015.05.005</w:t>
        </w:r>
      </w:hyperlink>
      <w:r>
        <w:t xml:space="preserve">.</w:t>
      </w:r>
    </w:p>
    <w:bookmarkEnd w:id="158"/>
    <w:bookmarkStart w:id="160"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59">
        <w:r>
          <w:rPr>
            <w:rStyle w:val="Hyperlink"/>
          </w:rPr>
          <w:t xml:space="preserve">https://doi.org/10.1353/sgo.2017.0026</w:t>
        </w:r>
      </w:hyperlink>
      <w:r>
        <w:t xml:space="preserve">.</w:t>
      </w:r>
    </w:p>
    <w:bookmarkEnd w:id="160"/>
    <w:bookmarkStart w:id="162"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61">
        <w:r>
          <w:rPr>
            <w:rStyle w:val="Hyperlink"/>
          </w:rPr>
          <w:t xml:space="preserve">https://doi.org/10.32614/CRAN.package.gratia</w:t>
        </w:r>
      </w:hyperlink>
      <w:r>
        <w:t xml:space="preserve">.</w:t>
      </w:r>
    </w:p>
    <w:bookmarkEnd w:id="162"/>
    <w:bookmarkStart w:id="164"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63">
        <w:r>
          <w:rPr>
            <w:rStyle w:val="Hyperlink"/>
          </w:rPr>
          <w:t xml:space="preserve">https://doi.org/10.2307/1352982</w:t>
        </w:r>
      </w:hyperlink>
      <w:r>
        <w:t xml:space="preserve">.</w:t>
      </w:r>
    </w:p>
    <w:bookmarkEnd w:id="164"/>
    <w:bookmarkStart w:id="166" w:name="ref-SWFWMD25"/>
    <w:p>
      <w:pPr>
        <w:pStyle w:val="Bibliography"/>
      </w:pPr>
      <w:r>
        <w:t xml:space="preserve">Southwest Florida Water Management District. 2025.</w:t>
      </w:r>
      <w:r>
        <w:t xml:space="preserve"> </w:t>
      </w:r>
      <w:hyperlink r:id="rId165">
        <w:r>
          <w:rPr>
            <w:rStyle w:val="Hyperlink"/>
          </w:rPr>
          <w:t xml:space="preserve">2023 land use land cover shapefile for SWFWMD</w:t>
        </w:r>
      </w:hyperlink>
      <w:r>
        <w:t xml:space="preserve">.</w:t>
      </w:r>
    </w:p>
    <w:bookmarkEnd w:id="166"/>
    <w:bookmarkStart w:id="168"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67">
        <w:r>
          <w:rPr>
            <w:rStyle w:val="Hyperlink"/>
          </w:rPr>
          <w:t xml:space="preserve">https://doi.org/10.1016/j.scitotenv.2011.09.088</w:t>
        </w:r>
      </w:hyperlink>
      <w:r>
        <w:t xml:space="preserve">.</w:t>
      </w:r>
    </w:p>
    <w:bookmarkEnd w:id="168"/>
    <w:bookmarkStart w:id="170" w:name="ref-tbep0310"/>
    <w:p>
      <w:pPr>
        <w:pStyle w:val="Bibliography"/>
      </w:pPr>
      <w:r>
        <w:t xml:space="preserve">Tampa Bay Nitrogen Management Consortium. 2010.</w:t>
      </w:r>
      <w:r>
        <w:t xml:space="preserve"> </w:t>
      </w:r>
      <w:hyperlink r:id="rId169">
        <w:r>
          <w:rPr>
            <w:rStyle w:val="Hyperlink"/>
            <w:i/>
            <w:iCs/>
          </w:rPr>
          <w:t xml:space="preserve">2009 reasonable assurance addendum: Allocation and assessment report</w:t>
        </w:r>
      </w:hyperlink>
      <w:r>
        <w:t xml:space="preserve">. Technical report 03-10. St. Petersburg, Florida: Tampa Bay Estuary Program.</w:t>
      </w:r>
    </w:p>
    <w:bookmarkEnd w:id="170"/>
    <w:bookmarkStart w:id="172"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71">
        <w:r>
          <w:rPr>
            <w:rStyle w:val="Hyperlink"/>
          </w:rPr>
          <w:t xml:space="preserve">https://doi.org/10.1111/1752-1688.70070</w:t>
        </w:r>
      </w:hyperlink>
      <w:r>
        <w:t xml:space="preserve">.</w:t>
      </w:r>
    </w:p>
    <w:bookmarkEnd w:id="172"/>
    <w:bookmarkStart w:id="174"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73">
        <w:r>
          <w:rPr>
            <w:rStyle w:val="Hyperlink"/>
          </w:rPr>
          <w:t xml:space="preserve">https://doi.org/10.1007/978-0-387-21706-2</w:t>
        </w:r>
      </w:hyperlink>
      <w:r>
        <w:t xml:space="preserve">.</w:t>
      </w:r>
    </w:p>
    <w:bookmarkEnd w:id="174"/>
    <w:bookmarkStart w:id="176"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75">
        <w:r>
          <w:rPr>
            <w:rStyle w:val="Hyperlink"/>
          </w:rPr>
          <w:t xml:space="preserve">https://doi.org/10.1016/j.jhydrol.2025.134851</w:t>
        </w:r>
      </w:hyperlink>
      <w:r>
        <w:t xml:space="preserve">.</w:t>
      </w:r>
    </w:p>
    <w:bookmarkEnd w:id="176"/>
    <w:bookmarkStart w:id="178"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77">
        <w:r>
          <w:rPr>
            <w:rStyle w:val="Hyperlink"/>
          </w:rPr>
          <w:t xml:space="preserve">https://doi.org/10.1006/ecss.1999.0490</w:t>
        </w:r>
      </w:hyperlink>
      <w:r>
        <w:t xml:space="preserve">.</w:t>
      </w:r>
    </w:p>
    <w:bookmarkEnd w:id="178"/>
    <w:bookmarkStart w:id="180"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79">
        <w:r>
          <w:rPr>
            <w:rStyle w:val="Hyperlink"/>
          </w:rPr>
          <w:t xml:space="preserve">https://doi.org/10.1111/j.1467-9868.2010.00749.x</w:t>
        </w:r>
      </w:hyperlink>
      <w:r>
        <w:t xml:space="preserve">.</w:t>
      </w:r>
    </w:p>
    <w:bookmarkEnd w:id="180"/>
    <w:bookmarkStart w:id="181"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81"/>
    <w:bookmarkStart w:id="183"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82">
        <w:r>
          <w:rPr>
            <w:rStyle w:val="Hyperlink"/>
          </w:rPr>
          <w:t xml:space="preserve">https://doi.org/10.1061/(ASCE)0733-9496(2003)129:4(295)</w:t>
        </w:r>
      </w:hyperlink>
      <w:r>
        <w:t xml:space="preserve">.</w:t>
      </w:r>
    </w:p>
    <w:bookmarkEnd w:id="183"/>
    <w:bookmarkStart w:id="185" w:name="ref-tbep0511"/>
    <w:p>
      <w:pPr>
        <w:pStyle w:val="Bibliography"/>
      </w:pPr>
      <w:r>
        <w:t xml:space="preserve">Yates, K., H. Greening, and G. Morrison. 2011.</w:t>
      </w:r>
      <w:r>
        <w:t xml:space="preserve"> </w:t>
      </w:r>
      <w:hyperlink r:id="rId184">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85"/>
    <w:bookmarkStart w:id="187" w:name="ref-tbep0494"/>
    <w:p>
      <w:pPr>
        <w:pStyle w:val="Bibliography"/>
      </w:pPr>
      <w:r>
        <w:t xml:space="preserve">Zarbock, H. W., A. J. Janicki, D. L. Wade, and D. G. Heimbuch. 1994.</w:t>
      </w:r>
      <w:r>
        <w:t xml:space="preserve"> </w:t>
      </w:r>
      <w:hyperlink r:id="rId186">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87"/>
    <w:bookmarkEnd w:id="188"/>
    <w:bookmarkEnd w:id="189"/>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84" Target="http://pubs.usgs.gov/circ/1348/" TargetMode="External" /><Relationship Type="http://schemas.openxmlformats.org/officeDocument/2006/relationships/hyperlink" Id="rId135" Target="https://doi.org/10.1002/2014JC010342" TargetMode="External" /><Relationship Type="http://schemas.openxmlformats.org/officeDocument/2006/relationships/hyperlink" Id="rId177" Target="https://doi.org/10.1006/ecss.1999.0490" TargetMode="External" /><Relationship Type="http://schemas.openxmlformats.org/officeDocument/2006/relationships/hyperlink" Id="rId173" Target="https://doi.org/10.1007/978-0-387-21706-2" TargetMode="External" /><Relationship Type="http://schemas.openxmlformats.org/officeDocument/2006/relationships/hyperlink" Id="rId137" Target="https://doi.org/10.1007/bf02798652" TargetMode="External" /><Relationship Type="http://schemas.openxmlformats.org/officeDocument/2006/relationships/hyperlink" Id="rId148" Target="https://doi.org/10.1007/s00267-004-0034-9" TargetMode="External" /><Relationship Type="http://schemas.openxmlformats.org/officeDocument/2006/relationships/hyperlink" Id="rId101" Target="https://doi.org/10.1007/s00267-005-0079-4" TargetMode="External" /><Relationship Type="http://schemas.openxmlformats.org/officeDocument/2006/relationships/hyperlink" Id="rId140" Target="https://doi.org/10.1007/s00267-010-9531-1" TargetMode="External" /><Relationship Type="http://schemas.openxmlformats.org/officeDocument/2006/relationships/hyperlink" Id="rId82" Target="https://doi.org/10.1007/s10666-015-9452-8" TargetMode="External" /><Relationship Type="http://schemas.openxmlformats.org/officeDocument/2006/relationships/hyperlink" Id="rId98" Target="https://doi.org/10.1007/s10750-004-7102-2" TargetMode="External" /><Relationship Type="http://schemas.openxmlformats.org/officeDocument/2006/relationships/hyperlink" Id="rId80" Target="https://doi.org/10.1007/s12237-024-01385-0" TargetMode="External" /><Relationship Type="http://schemas.openxmlformats.org/officeDocument/2006/relationships/hyperlink" Id="rId129" Target="https://doi.org/10.1016/j.cosust.2012.03.002" TargetMode="External" /><Relationship Type="http://schemas.openxmlformats.org/officeDocument/2006/relationships/hyperlink" Id="rId127" Target="https://doi.org/10.1016/j.dsr2.2013.12.011" TargetMode="External" /><Relationship Type="http://schemas.openxmlformats.org/officeDocument/2006/relationships/hyperlink" Id="rId125" Target="https://doi.org/10.1016/j.ecss.2012.09.017" TargetMode="External" /><Relationship Type="http://schemas.openxmlformats.org/officeDocument/2006/relationships/hyperlink" Id="rId103" Target="https://doi.org/10.1016/j.ecss.2014.10.003" TargetMode="External" /><Relationship Type="http://schemas.openxmlformats.org/officeDocument/2006/relationships/hyperlink" Id="rId144" Target="https://doi.org/10.1016/j.envsoft.2019.03.027" TargetMode="External" /><Relationship Type="http://schemas.openxmlformats.org/officeDocument/2006/relationships/hyperlink" Id="rId123" Target="https://doi.org/10.1016/j.jembe.2009.10.014" TargetMode="External" /><Relationship Type="http://schemas.openxmlformats.org/officeDocument/2006/relationships/hyperlink" Id="rId175" Target="https://doi.org/10.1016/j.jhydrol.2025.134851" TargetMode="External" /><Relationship Type="http://schemas.openxmlformats.org/officeDocument/2006/relationships/hyperlink" Id="rId92" Target="https://doi.org/10.1016/j.marchem.2006.12.007" TargetMode="External" /><Relationship Type="http://schemas.openxmlformats.org/officeDocument/2006/relationships/hyperlink" Id="rId94" Target="https://doi.org/10.1016/j.rse.2006.12.019" TargetMode="External" /><Relationship Type="http://schemas.openxmlformats.org/officeDocument/2006/relationships/hyperlink" Id="rId157" Target="https://doi.org/10.1016/j.rsma.2015.05.005" TargetMode="External" /><Relationship Type="http://schemas.openxmlformats.org/officeDocument/2006/relationships/hyperlink" Id="rId151" Target="https://doi.org/10.1016/j.rsma.2015.11.007" TargetMode="External" /><Relationship Type="http://schemas.openxmlformats.org/officeDocument/2006/relationships/hyperlink" Id="rId167" Target="https://doi.org/10.1016/j.scitotenv.2011.09.088" TargetMode="External" /><Relationship Type="http://schemas.openxmlformats.org/officeDocument/2006/relationships/hyperlink" Id="rId78" Target="https://doi.org/10.1016/j.scitotenv.2021.149927" TargetMode="External" /><Relationship Type="http://schemas.openxmlformats.org/officeDocument/2006/relationships/hyperlink" Id="rId142" Target="https://doi.org/10.1021/acs.est.1c05388" TargetMode="External" /><Relationship Type="http://schemas.openxmlformats.org/officeDocument/2006/relationships/hyperlink" Id="rId88" Target="https://doi.org/10.1021/es011246m" TargetMode="External" /><Relationship Type="http://schemas.openxmlformats.org/officeDocument/2006/relationships/hyperlink" Id="rId76" Target="https://doi.org/10.1029/2004GB002229" TargetMode="External" /><Relationship Type="http://schemas.openxmlformats.org/officeDocument/2006/relationships/hyperlink" Id="rId182" Target="https://doi.org/10.1061/(ASCE)0733-9496(2003)129:4(295)" TargetMode="External" /><Relationship Type="http://schemas.openxmlformats.org/officeDocument/2006/relationships/hyperlink" Id="rId146" Target="https://doi.org/10.1080/00785236.1995.10422044" TargetMode="External" /><Relationship Type="http://schemas.openxmlformats.org/officeDocument/2006/relationships/hyperlink" Id="rId84" Target="https://doi.org/10.1111/1752-1688.12489" TargetMode="External" /><Relationship Type="http://schemas.openxmlformats.org/officeDocument/2006/relationships/hyperlink" Id="rId171" Target="https://doi.org/10.1111/1752-1688.70070" TargetMode="External" /><Relationship Type="http://schemas.openxmlformats.org/officeDocument/2006/relationships/hyperlink" Id="rId179" Target="https://doi.org/10.1111/j.1467-9868.2010.00749.x" TargetMode="External" /><Relationship Type="http://schemas.openxmlformats.org/officeDocument/2006/relationships/hyperlink" Id="rId107" Target="https://doi.org/10.1111/j.1752-1688.2010.00482.x" TargetMode="External" /><Relationship Type="http://schemas.openxmlformats.org/officeDocument/2006/relationships/hyperlink" Id="rId86" Target="https://doi.org/10.13031/2013.21742" TargetMode="External" /><Relationship Type="http://schemas.openxmlformats.org/officeDocument/2006/relationships/hyperlink" Id="rId159" Target="https://doi.org/10.1353/sgo.2017.0026" TargetMode="External" /><Relationship Type="http://schemas.openxmlformats.org/officeDocument/2006/relationships/hyperlink" Id="rId133" Target="https://doi.org/10.2112/SI54-000.1" TargetMode="External" /><Relationship Type="http://schemas.openxmlformats.org/officeDocument/2006/relationships/hyperlink" Id="rId121" Target="https://doi.org/10.2307/1351884" TargetMode="External" /><Relationship Type="http://schemas.openxmlformats.org/officeDocument/2006/relationships/hyperlink" Id="rId163" Target="https://doi.org/10.2307/1352982" TargetMode="External" /><Relationship Type="http://schemas.openxmlformats.org/officeDocument/2006/relationships/hyperlink" Id="rId105" Target="https://doi.org/10.2307/1353325" TargetMode="External" /><Relationship Type="http://schemas.openxmlformats.org/officeDocument/2006/relationships/hyperlink" Id="rId161" Target="https://doi.org/10.32614/CRAN.package.gratia" TargetMode="External" /><Relationship Type="http://schemas.openxmlformats.org/officeDocument/2006/relationships/hyperlink" Id="rId96" Target="https://doi.org/10.3354/meps210223" TargetMode="External" /><Relationship Type="http://schemas.openxmlformats.org/officeDocument/2006/relationships/hyperlink" Id="rId153" Target="https://doi.org/10.7717/peerj.16073" TargetMode="External" /><Relationship Type="http://schemas.openxmlformats.org/officeDocument/2006/relationships/hyperlink" Id="rId114" Target="https://drive.google.com/drive/folders/1-vIRAsuZQmQEXZk-0FwqsjhSex0GDu7-?usp=sharing" TargetMode="External" /><Relationship Type="http://schemas.openxmlformats.org/officeDocument/2006/relationships/hyperlink" Id="rId131" Target="https://drive.google.com/file/d/1-1Jq9vly5EvVwEp698brlBucXjSMDbNn/view?usp=sharing" TargetMode="External" /><Relationship Type="http://schemas.openxmlformats.org/officeDocument/2006/relationships/hyperlink" Id="rId169" Target="https://drive.google.com/file/d/10IjJAfcGFf007a5VdPXAUtUi4dx-cmsA/view?usp=drivesdk" TargetMode="External" /><Relationship Type="http://schemas.openxmlformats.org/officeDocument/2006/relationships/hyperlink" Id="rId155" Target="https://drive.google.com/file/d/1BCviGfLykVX-p1tA3b0306deP3pKMagr/view?usp=drivesdk" TargetMode="External" /><Relationship Type="http://schemas.openxmlformats.org/officeDocument/2006/relationships/hyperlink" Id="rId116" Target="https://drive.google.com/file/d/1KARuSC5fGx05MuT1wiOQFWNXysBokkQl/view?usp=share_link" TargetMode="External" /><Relationship Type="http://schemas.openxmlformats.org/officeDocument/2006/relationships/hyperlink" Id="rId112" Target="https://drive.google.com/file/d/1XMULU8w4syWcSv_ciOUOhnC_G4xt6GIF/view?usp=drivesdk" TargetMode="External" /><Relationship Type="http://schemas.openxmlformats.org/officeDocument/2006/relationships/hyperlink" Id="rId110" Target="https://drive.google.com/file/d/1kZkvuprvsMyN9nPS5PHYvXHyo1KQxKTr/view?usp=drivesdk" TargetMode="External" /><Relationship Type="http://schemas.openxmlformats.org/officeDocument/2006/relationships/hyperlink" Id="rId118" Target="https://drive.google.com/file/d/1qaM852mkVkRyjwU8yZjlmZqMy1ROpcZi/view?usp=sharing" TargetMode="External" /><Relationship Type="http://schemas.openxmlformats.org/officeDocument/2006/relationships/hyperlink" Id="rId186"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65"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Kerry Flaherty-Walia1, Blake A Simmons1, Maya C Burke1, and Edward T Sherwood1</dc:creator>
  <cp:keywords/>
  <dcterms:created xsi:type="dcterms:W3CDTF">2026-02-11T20:46:55Z</dcterms:created>
  <dcterms:modified xsi:type="dcterms:W3CDTF">2026-02-11T20:46:55Z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