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averaged across bottom, mid, and surface depth measurements at each station.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specific blocks of time in the observed period of record for each bay segment, e.g., 2010 to present.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30" w:name="results"/>
    <w:p>
      <w:pPr>
        <w:pStyle w:val="Heading2"/>
      </w:pPr>
      <w:r>
        <w:t xml:space="preserve">3 Results</w:t>
      </w:r>
    </w:p>
    <w:bookmarkStart w:id="27"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1</w:t>
        </w:r>
      </w:hyperlink>
      <w:r>
        <w:t xml:space="preserve">,</w:t>
      </w:r>
      <w:r>
        <w:t xml:space="preserve"> </w:t>
      </w:r>
      <w:hyperlink w:anchor="tbl-gamtab">
        <w:r>
          <w:rPr>
            <w:rStyle w:val="Hyperlink"/>
          </w:rPr>
          <w:t xml:space="preserve">Table 1</w:t>
        </w:r>
      </w:hyperlink>
      <w:r>
        <w:t xml:space="preserve">). All bay segments had overall explained deviance of at least 70%, whereas LTB had the lowest at 60%. Model predictions over time captured the seasonality of chlorophyll and substantial variation in the seasonality was observed between years. The long-term decreases in chlorophyll were notable in the upper bay segments, i.e., purples lines generally higher than the green and yellow lines for OTB and HB (</w:t>
      </w:r>
      <w:hyperlink w:anchor="fig-obsprd">
        <w:r>
          <w:rPr>
            <w:rStyle w:val="Hyperlink"/>
          </w:rPr>
          <w:t xml:space="preserve">Figure 1</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with another predictor.</w:t>
      </w:r>
    </w:p>
    <w:p>
      <w:pPr>
        <w:pStyle w:val="BodyText"/>
      </w:pPr>
      <w:r>
        <w:t xml:space="preserve">Differences in correlations between observed and predicted chlorophyll were also observed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w:t>
      </w:r>
      <m:oMath>
        <m:r>
          <m:t>ρ</m:t>
        </m:r>
      </m:oMath>
      <w:r>
        <w:t xml:space="preserve"> </w:t>
      </w:r>
      <w:r>
        <w:t xml:space="preserve">= 0.90) for OTB, whereas the lowest was observed for 2000 to 2014 (</w:t>
      </w:r>
      <m:oMath>
        <m:r>
          <m:t>ρ</m:t>
        </m:r>
      </m:oMath>
      <w:r>
        <w:t xml:space="preserve"> </w:t>
      </w:r>
      <w:r>
        <w:t xml:space="preserve">= 0.73) for LTB. By season, the October, November, December (OND) period generally had higher correlations across annual groupings and bay segments, with the exception of OND for the 2000 - 2014 and 2015 - 2024 annual groupings for LTB (</w:t>
      </w:r>
      <m:oMath>
        <m:r>
          <m:t>ρ</m:t>
        </m:r>
      </m:oMath>
      <w:r>
        <w:t xml:space="preserve"> </w:t>
      </w:r>
      <w:r>
        <w:t xml:space="preserve">= 0.43, 0.40,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7"/>
    <w:bookmarkStart w:id="28"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2</w:t>
        </w:r>
      </w:hyperlink>
      <w:r>
        <w:t xml:space="preserve">. For each bay segment, the plots were evaluated based on differences between the predictions (black points), normalized results (solid red lines), and normalized results at mean loading (dashed blue lines). All bay segments except LTB had normalized results (salinity and salinity at mean loading) that differed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similar normalized results. This result suggested that loading had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2</w:t>
        </w:r>
      </w:hyperlink>
      <w:r>
        <w:t xml:space="preserve"> </w:t>
      </w:r>
      <w:r>
        <w:t xml:space="preserve">were further assessed by the relative differences in the predictions, salinity-normalized results, and salinity-normalized results at mean loading by annual groupings and seasons</w:t>
      </w:r>
      <w:r>
        <w:t xml:space="preserve"> </w:t>
      </w:r>
      <w:hyperlink w:anchor="tbl-prdnrmtab">
        <w:r>
          <w:rPr>
            <w:rStyle w:val="Hyperlink"/>
          </w:rPr>
          <w:t xml:space="preserve">Table 3</w:t>
        </w:r>
      </w:hyperlink>
      <w:r>
        <w:t xml:space="preserve">. The results are expressed as mean absolute differences in chlorophyll for the three types of predictions in</w:t>
      </w:r>
      <w:r>
        <w:t xml:space="preserve"> </w:t>
      </w:r>
      <w:hyperlink w:anchor="fig-prdnrm">
        <w:r>
          <w:rPr>
            <w:rStyle w:val="Hyperlink"/>
          </w:rPr>
          <w:t xml:space="preserve">Figure 2</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 the table, respectively. As described above, salinity and loading had larger influences on chlorophyll-a for OTB and HB, salinity mostly influenced chlorophyll in MTB, ane neither salinity nor loading had large influences in LTB. Annually, salinity had the largest influence in all OTB, HB, and MTB from 1985-1999, whereas loading was most important in OTB and HB from 2015-2024, although the loading effect was smaller in OTB during 2015-2024 compared to salinity. By season, salinity effects were most prominent during the June, July, and August (JJA) periods in HB and MTB, whereas the OND period had the largest effect of salinity in OTB. Salnity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w:t>
      </w:r>
      <w:r>
        <w:t xml:space="preserve"> </w:t>
      </w:r>
      <w:hyperlink w:anchor="fig-salvload">
        <w:r>
          <w:rPr>
            <w:rStyle w:val="Hyperlink"/>
          </w:rPr>
          <w:t xml:space="preserve">Figure 3</w:t>
        </w:r>
      </w:hyperlink>
      <w:r>
        <w:t xml:space="preserve">. Differences in scale for each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alvload">
        <w:r>
          <w:rPr>
            <w:rStyle w:val="Hyperlink"/>
          </w:rPr>
          <w:t xml:space="preserve">Figure 3</w:t>
        </w:r>
      </w:hyperlink>
      <w:r>
        <w:t xml:space="preserve">b). The annual groupings for 2015-2024 also showed a shift towards the right on the x-axis suggesting loads were also influenced by more oligohaline conditions, although the effects were less than the loading effects. Although general trends by annual groupings were shown by the mean effects in</w:t>
      </w:r>
      <w:r>
        <w:t xml:space="preserve"> </w:t>
      </w:r>
      <w:hyperlink w:anchor="fig-salvload">
        <w:r>
          <w:rPr>
            <w:rStyle w:val="Hyperlink"/>
          </w:rPr>
          <w:t xml:space="preserve">Figure 3</w:t>
        </w:r>
      </w:hyperlink>
      <w:r>
        <w:t xml:space="preserve">b, substantial inter-annual variability was shown for some years (</w:t>
      </w:r>
      <w:hyperlink w:anchor="fig-salvload">
        <w:r>
          <w:rPr>
            <w:rStyle w:val="Hyperlink"/>
          </w:rPr>
          <w:t xml:space="preserve">Figure 3</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8"/>
    <w:bookmarkStart w:id="29" w:name="X14f6928a225a3ff958e23c9722a7666d8f7bace"/>
    <w:p>
      <w:pPr>
        <w:pStyle w:val="Heading3"/>
      </w:pPr>
      <w:r>
        <w:t xml:space="preserve">3.3 Likelihood of Exceeding Regulatory Criteria</w:t>
      </w:r>
    </w:p>
    <w:p>
      <w:pPr>
        <w:pStyle w:val="FirstParagraph"/>
      </w:pPr>
      <w:r>
        <w:t xml:space="preserve">Scenario assessments using projected salinity changes and different loading conditions suggested OTB is most vulnerable to exceeding regulatory criteria in the future. As an example for conditions in the 2017 to 2021 time period,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5</w:t>
        </w:r>
      </w:hyperlink>
      <w:r>
        <w:t xml:space="preserve">). The left column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Summaries of the simulation results for all 10,000 simulations by year, salinity condition, and loading scenario also confirmed that OTB is must vulnerable to exceeding the regulatory criteria in the future (</w:t>
      </w:r>
      <w:hyperlink w:anchor="fig-simex">
        <w:r>
          <w:rPr>
            <w:rStyle w:val="Hyperlink"/>
          </w:rPr>
          <w:t xml:space="preserve">Figure 4</w:t>
        </w:r>
      </w:hyperlink>
      <w:r>
        <w:t xml:space="preserve">).</w:t>
      </w:r>
    </w:p>
    <w:p>
      <w:pPr>
        <w:pStyle w:val="BodyText"/>
      </w:pPr>
      <w:hyperlink w:anchor="tbl-liktab">
        <w:r>
          <w:rPr>
            <w:rStyle w:val="Hyperlink"/>
          </w:rPr>
          <w:t xml:space="preserve">Table 4</w:t>
        </w:r>
      </w:hyperlink>
    </w:p>
    <w:bookmarkEnd w:id="29"/>
    <w:bookmarkEnd w:id="30"/>
    <w:bookmarkStart w:id="31" w:name="discussion"/>
    <w:p>
      <w:pPr>
        <w:pStyle w:val="Heading2"/>
      </w:pPr>
      <w:r>
        <w:t xml:space="preserve">4 Discussion</w:t>
      </w:r>
    </w:p>
    <w:p>
      <w:pPr>
        <w:pStyle w:val="FirstParagraph"/>
      </w:pPr>
      <w:r>
        <w:t xml:space="preserve">The models suggested varying effects of loading and salinity by bay segment. Overall, the model predictions compared to salinity-normalized and salinity-normalized results at mean loading suggested that chlorophyll in 1) OTB and HB was influenced by both salinity and loading, 2) MTB was influenced primarily by salinity, and 3) LTB was influenced by neither. Although the results are interpreted as the unique effects of both, one or the other, or neither on chlorophyll-a, it is important to note that external loadings will always influence chlorophyll-a. Specifically, loading was suggested as having less of an influence on chlorophyll-a in MTB and LTB, but that does not suggest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it is relatively simplistic interpreation compared to a more mechanistic descriptiosn of factors driving chlorophyll-a. Controlling external nitrogen loads to each bay segment will continue to be a key focus for managements efforts to maintain or improve water quality in Tampa Bay.</w:t>
      </w:r>
    </w:p>
    <w:p>
      <w:pPr>
        <w:pStyle w:val="BodyText"/>
      </w:pPr>
      <w:r>
        <w:t xml:space="preserve">What does salinity indicate? It is not independent from loading, although it was not excessively correlated to prevents it’s use in the models. To some extent, the two are confounded, but they provide sufficiently distinct signals in the time series to make conclusions about their individual effets and hypotheses as to which factor influences salinity that could explain variation in chlorophyll.</w:t>
      </w:r>
    </w:p>
    <w:p>
      <w:pPr>
        <w:pStyle w:val="BodyText"/>
      </w:pPr>
      <w:r>
        <w:t xml:space="preserve">Why was this particular GAM structure chosen, e.g., decimal time and doy as opposed to decimal time with large k? It also allows for a more specific description of the seasonal effect, either on its own as an individual smoother or as an interaction with other predictors. For example, the model structure allows for a clear description of an expected change in chlrophyll by time, season, and salinity</w:t>
      </w:r>
      <w:r>
        <w:t xml:space="preserve"> </w:t>
      </w:r>
      <w:hyperlink w:anchor="fig-gridplo">
        <w:r>
          <w:rPr>
            <w:rStyle w:val="Hyperlink"/>
          </w:rPr>
          <w:t xml:space="preserve">Figure 6</w:t>
        </w:r>
      </w:hyperlink>
      <w:r>
        <w:t xml:space="preserve">. Moreover, these graphical descriptions can provide an expection of when regulatory thresholds may be likely to be exceeded, as shown by the gray contour lines. Most resource managers lack sufficient quantative tools to aid in understanding how external factors largely out of their control could affect the likelihood of exceeding regulatory thresholds. These tools can help support proactive management interventions when future conditions are expected to increase the chance being out of compliance. Although mechanistic models have been used for decades to support these ends, simple quantitative tools like GAMs are more easily adapted to support management. GAMs are easily modified for different model structures to asssess the roles of different drivers and are more easily interrogated with different scenarios to assess how conditions may change in the future.</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31"/>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 w:name="fig-obsprd"/>
          <w:p>
            <w:pPr>
              <w:pStyle w:val="Compact"/>
              <w:jc w:val="center"/>
            </w:pPr>
            <w:r>
              <w:drawing>
                <wp:inline>
                  <wp:extent cx="5943600" cy="6686549"/>
                  <wp:effectExtent b="0" l="0" r="0" t="0"/>
                  <wp:docPr descr="" title="" id="33" name="Picture"/>
                  <a:graphic>
                    <a:graphicData uri="http://schemas.openxmlformats.org/drawingml/2006/picture">
                      <pic:pic>
                        <pic:nvPicPr>
                          <pic:cNvPr descr="figs/obsprd.png" id="34" name="Picture"/>
                          <pic:cNvPicPr>
                            <a:picLocks noChangeArrowheads="1" noChangeAspect="1"/>
                          </pic:cNvPicPr>
                        </pic:nvPicPr>
                        <pic:blipFill>
                          <a:blip r:embed="rId3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prdnrm"/>
          <w:p>
            <w:pPr>
              <w:pStyle w:val="Compact"/>
              <w:jc w:val="center"/>
            </w:pPr>
            <w:r>
              <w:drawing>
                <wp:inline>
                  <wp:extent cx="5943600" cy="4245428"/>
                  <wp:effectExtent b="0" l="0" r="0" t="0"/>
                  <wp:docPr descr="" title="" id="37" name="Picture"/>
                  <a:graphic>
                    <a:graphicData uri="http://schemas.openxmlformats.org/drawingml/2006/picture">
                      <pic:pic>
                        <pic:nvPicPr>
                          <pic:cNvPr descr="figs/prdnrm.png" id="38" name="Picture"/>
                          <pic:cNvPicPr>
                            <a:picLocks noChangeArrowheads="1" noChangeAspect="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vload"/>
          <w:p>
            <w:pPr>
              <w:pStyle w:val="Compact"/>
              <w:jc w:val="center"/>
            </w:pPr>
            <w:r>
              <w:drawing>
                <wp:inline>
                  <wp:extent cx="5943600" cy="7528559"/>
                  <wp:effectExtent b="0" l="0" r="0" t="0"/>
                  <wp:docPr descr="" title="" id="41" name="Picture"/>
                  <a:graphic>
                    <a:graphicData uri="http://schemas.openxmlformats.org/drawingml/2006/picture">
                      <pic:pic>
                        <pic:nvPicPr>
                          <pic:cNvPr descr="figs/salvload.png" id="42" name="Picture"/>
                          <pic:cNvPicPr>
                            <a:picLocks noChangeArrowheads="1" noChangeAspect="1"/>
                          </pic:cNvPicPr>
                        </pic:nvPicPr>
                        <pic:blipFill>
                          <a:blip r:embed="rId40"/>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simex"/>
          <w:p>
            <w:pPr>
              <w:pStyle w:val="Compact"/>
              <w:jc w:val="center"/>
            </w:pPr>
            <w:r>
              <w:drawing>
                <wp:inline>
                  <wp:extent cx="5504749" cy="6422207"/>
                  <wp:effectExtent b="0" l="0" r="0" t="0"/>
                  <wp:docPr descr="" title="" id="45" name="Picture"/>
                  <a:graphic>
                    <a:graphicData uri="http://schemas.openxmlformats.org/drawingml/2006/picture">
                      <pic:pic>
                        <pic:nvPicPr>
                          <pic:cNvPr descr="figs/simex.png" id="46" name="Picture"/>
                          <pic:cNvPicPr>
                            <a:picLocks noChangeArrowheads="1" noChangeAspect="1"/>
                          </pic:cNvPicPr>
                        </pic:nvPicPr>
                        <pic:blipFill>
                          <a:blip r:embed="rId44"/>
                          <a:stretch>
                            <a:fillRect/>
                          </a:stretch>
                        </pic:blipFill>
                        <pic:spPr bwMode="auto">
                          <a:xfrm>
                            <a:off x="0" y="0"/>
                            <a:ext cx="5504749" cy="6422207"/>
                          </a:xfrm>
                          <a:prstGeom prst="rect">
                            <a:avLst/>
                          </a:prstGeom>
                          <a:noFill/>
                          <a:ln w="9525">
                            <a:noFill/>
                            <a:headEnd/>
                            <a:tailEnd/>
                          </a:ln>
                        </pic:spPr>
                      </pic:pic>
                    </a:graphicData>
                  </a:graphic>
                </wp:inline>
              </w:drawing>
            </w:r>
          </w:p>
          <w:p>
            <w:pPr>
              <w:jc w:val="center"/>
            </w:pPr>
            <w:pPr>
              <w:jc w:val="left"/>
              <w:spacing w:before="200"/>
              <w:pStyle w:val="ImageCaption"/>
            </w:pPr>
            <w:r>
              <w:t xml:space="preserve">Fig. 4: Example of 100 simulations by scenario for chlorophyll-a in Old Tampa Bay for the period 2017 to 2021. The left column shows results for the first year where salinity is set at observed and the right column shows results for expected salinity fifty years from present. Nitrogen load values were set to the actual observed load (top row), half the TMDL (second row), the TMDL (third row), and double the TMDL (bottom row). Mean chlorophyll across the simulations are shown by the black loess smooth, whereas actual mean annual chlorophyll is shown by the blue line. The regulatory threshold is shown by the horizontal red line.</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simplo"/>
          <w:p>
            <w:pPr>
              <w:pStyle w:val="Compact"/>
              <w:jc w:val="center"/>
            </w:pPr>
            <w:r>
              <w:drawing>
                <wp:inline>
                  <wp:extent cx="5943600" cy="5943600"/>
                  <wp:effectExtent b="0" l="0" r="0" t="0"/>
                  <wp:docPr descr="" title="" id="49" name="Picture"/>
                  <a:graphic>
                    <a:graphicData uri="http://schemas.openxmlformats.org/drawingml/2006/picture">
                      <pic:pic>
                        <pic:nvPicPr>
                          <pic:cNvPr descr="figs/simplo.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gridplo"/>
          <w:p>
            <w:pPr>
              <w:pStyle w:val="Compact"/>
              <w:jc w:val="center"/>
            </w:pPr>
            <w:r>
              <w:drawing>
                <wp:inline>
                  <wp:extent cx="5943600" cy="4754880"/>
                  <wp:effectExtent b="0" l="0" r="0" t="0"/>
                  <wp:docPr descr="" title="" id="53" name="Picture"/>
                  <a:graphic>
                    <a:graphicData uri="http://schemas.openxmlformats.org/drawingml/2006/picture">
                      <pic:pic>
                        <pic:nvPicPr>
                          <pic:cNvPr descr="figs/gridplo.png" id="54" name="Picture"/>
                          <pic:cNvPicPr>
                            <a:picLocks noChangeArrowheads="1" noChangeAspect="1"/>
                          </pic:cNvPicPr>
                        </pic:nvPicPr>
                        <pic:blipFill>
                          <a:blip r:embed="rId5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6: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55"/>
        </w:tc>
      </w:tr>
    </w:tbl>
    <w:p>
      <w:r>
        <w:br w:type="page"/>
      </w:r>
    </w:p>
    <w:bookmarkEnd w:id="56"/>
    <w:bookmarkStart w:id="6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0.011</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0.379</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0.197</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0.072</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0.388</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0.275</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0.294</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0.089</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0.018</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0.651</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0.042</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A5A5A"/>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52525"/>
                    </w:rPr>
                    <w:t xml:space="preserve">0.79</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26262"/>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E3E3E"/>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66666"/>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24242"/>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0303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B3B3B"/>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91919"/>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32323"/>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47474"/>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C7C7C"/>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26262"/>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0.41</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1.03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0.63</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15151"/>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25252"/>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B4B4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94949"/>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44444"/>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1.54</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46464"/>
                    </w:rPr>
                    <w:t xml:space="preserve">1.27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0.82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2.08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45454"/>
                    </w:rPr>
                    <w:t xml:space="preserve">1.66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86868"/>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6E6E6E"/>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1.87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0.27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0.15</w:t>
                  </w:r>
                </w:p>
              </w:tc>
            </w:tr>
          </w:tbl>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60"/>
        </w:tc>
      </w:tr>
    </w:tbl>
    <w:p>
      <w:r>
        <w:br w:type="page"/>
      </w:r>
    </w:p>
    <w:bookmarkEnd w:id="61"/>
    <w:bookmarkStart w:id="6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2">
        <w:r>
          <w:rPr>
            <w:rStyle w:val="Hyperlink"/>
          </w:rPr>
          <w:t xml:space="preserve">https://github.com/tbep-tech/chlhydro-manu</w:t>
        </w:r>
      </w:hyperlink>
      <w:r>
        <w:t xml:space="preserve">.</w:t>
      </w:r>
    </w:p>
    <w:bookmarkEnd w:id="63"/>
    <w:bookmarkStart w:id="6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4"/>
    <w:bookmarkStart w:id="68" w:name="statements-and-declarations"/>
    <w:p>
      <w:pPr>
        <w:pStyle w:val="Heading2"/>
      </w:pPr>
      <w:r>
        <w:t xml:space="preserve">Statements and Declarations</w:t>
      </w:r>
    </w:p>
    <w:bookmarkStart w:id="65"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5"/>
    <w:bookmarkStart w:id="6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6"/>
    <w:bookmarkStart w:id="6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7"/>
    <w:bookmarkEnd w:id="68"/>
    <w:bookmarkStart w:id="104" w:name="references"/>
    <w:p>
      <w:pPr>
        <w:pStyle w:val="Heading2"/>
      </w:pPr>
      <w:r>
        <w:t xml:space="preserve">References</w:t>
      </w:r>
    </w:p>
    <w:bookmarkStart w:id="103" w:name="refs"/>
    <w:bookmarkStart w:id="70"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9">
        <w:r>
          <w:rPr>
            <w:rStyle w:val="Hyperlink"/>
          </w:rPr>
          <w:t xml:space="preserve">https://doi.org/10.1007/s12237-024-01385-0</w:t>
        </w:r>
      </w:hyperlink>
      <w:r>
        <w:t xml:space="preserve">.</w:t>
      </w:r>
    </w:p>
    <w:bookmarkEnd w:id="70"/>
    <w:bookmarkStart w:id="7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71">
        <w:r>
          <w:rPr>
            <w:rStyle w:val="Hyperlink"/>
          </w:rPr>
          <w:t xml:space="preserve">https://doi.org/10.1111/1752-1688.12489</w:t>
        </w:r>
      </w:hyperlink>
      <w:r>
        <w:t xml:space="preserve">.</w:t>
      </w:r>
    </w:p>
    <w:bookmarkEnd w:id="72"/>
    <w:bookmarkStart w:id="73"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3"/>
    <w:bookmarkStart w:id="74"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4"/>
    <w:bookmarkStart w:id="76" w:name="ref-tbep0696"/>
    <w:p>
      <w:pPr>
        <w:pStyle w:val="Bibliography"/>
      </w:pPr>
      <w:r>
        <w:t xml:space="preserve">Janicki, A. J., and D. L. Wade. 1996.</w:t>
      </w:r>
      <w:r>
        <w:t xml:space="preserve"> </w:t>
      </w:r>
      <w:hyperlink r:id="rId75">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6"/>
    <w:bookmarkStart w:id="78" w:name="ref-tbep0400"/>
    <w:p>
      <w:pPr>
        <w:pStyle w:val="Bibliography"/>
      </w:pPr>
      <w:r>
        <w:t xml:space="preserve">Janicki, A. J., D. Wade, and J. R. Pribble. 2000.</w:t>
      </w:r>
      <w:r>
        <w:t xml:space="preserve"> </w:t>
      </w:r>
      <w:hyperlink r:id="rId77">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8"/>
    <w:bookmarkStart w:id="80" w:name="ref-tbep1115"/>
    <w:p>
      <w:pPr>
        <w:pStyle w:val="Bibliography"/>
      </w:pPr>
      <w:r>
        <w:t xml:space="preserve">Janicki Environmental, Inc. 2015.</w:t>
      </w:r>
      <w:r>
        <w:t xml:space="preserve"> </w:t>
      </w:r>
      <w:hyperlink r:id="rId79">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80"/>
    <w:bookmarkStart w:id="82" w:name="ref-tbep0623"/>
    <w:p>
      <w:pPr>
        <w:pStyle w:val="Bibliography"/>
      </w:pPr>
      <w:r>
        <w:t xml:space="preserve">Janicki Environmental, Inc. 2023.</w:t>
      </w:r>
      <w:r>
        <w:t xml:space="preserve"> </w:t>
      </w:r>
      <w:hyperlink r:id="rId81">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82"/>
    <w:bookmarkStart w:id="84" w:name="ref-luther2022"/>
    <w:p>
      <w:pPr>
        <w:pStyle w:val="Bibliography"/>
      </w:pPr>
      <w:r>
        <w:t xml:space="preserve">Luther, M. E., and S. D. Meyers. 2022.</w:t>
      </w:r>
      <w:r>
        <w:t xml:space="preserve"> </w:t>
      </w:r>
      <w:hyperlink r:id="rId83">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4"/>
    <w:bookmarkStart w:id="8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5"/>
    <w:bookmarkStart w:id="87"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6">
        <w:r>
          <w:rPr>
            <w:rStyle w:val="Hyperlink"/>
          </w:rPr>
          <w:t xml:space="preserve">https://doi.org/10.1016/j.envsoft.2019.03.027</w:t>
        </w:r>
      </w:hyperlink>
      <w:r>
        <w:t xml:space="preserve">.</w:t>
      </w:r>
    </w:p>
    <w:bookmarkEnd w:id="87"/>
    <w:bookmarkStart w:id="89"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8">
        <w:r>
          <w:rPr>
            <w:rStyle w:val="Hyperlink"/>
          </w:rPr>
          <w:t xml:space="preserve">https://doi.org/10.32614/CRAN.package.gratia</w:t>
        </w:r>
      </w:hyperlink>
      <w:r>
        <w:t xml:space="preserve">.</w:t>
      </w:r>
    </w:p>
    <w:bookmarkEnd w:id="89"/>
    <w:bookmarkStart w:id="91" w:name="ref-SWFWMD25"/>
    <w:p>
      <w:pPr>
        <w:pStyle w:val="Bibliography"/>
      </w:pPr>
      <w:r>
        <w:t xml:space="preserve">Southwest Florida Water Management District. 2025.</w:t>
      </w:r>
      <w:r>
        <w:t xml:space="preserve"> </w:t>
      </w:r>
      <w:hyperlink r:id="rId90">
        <w:r>
          <w:rPr>
            <w:rStyle w:val="Hyperlink"/>
          </w:rPr>
          <w:t xml:space="preserve">2023 land use land cover shapefile for SWFWMD</w:t>
        </w:r>
      </w:hyperlink>
      <w:r>
        <w:t xml:space="preserve">.</w:t>
      </w:r>
    </w:p>
    <w:bookmarkEnd w:id="91"/>
    <w:bookmarkStart w:id="93" w:name="ref-tbep0310"/>
    <w:p>
      <w:pPr>
        <w:pStyle w:val="Bibliography"/>
      </w:pPr>
      <w:r>
        <w:t xml:space="preserve">Tampa Bay Nitrogen Management Consortium. 2010.</w:t>
      </w:r>
      <w:r>
        <w:t xml:space="preserve"> </w:t>
      </w:r>
      <w:hyperlink r:id="rId92">
        <w:r>
          <w:rPr>
            <w:rStyle w:val="Hyperlink"/>
            <w:i/>
            <w:iCs/>
          </w:rPr>
          <w:t xml:space="preserve">2009 reasonable assurance addendum: Allocation and assessment report</w:t>
        </w:r>
      </w:hyperlink>
      <w:r>
        <w:t xml:space="preserve">. Technical report 03-10. St. Petersburg, Florida: Tampa Bay Estuary Program.</w:t>
      </w:r>
    </w:p>
    <w:bookmarkEnd w:id="93"/>
    <w:bookmarkStart w:id="95"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4">
        <w:r>
          <w:rPr>
            <w:rStyle w:val="Hyperlink"/>
          </w:rPr>
          <w:t xml:space="preserve">https://doi.org/10.1111/1752-1688.70070</w:t>
        </w:r>
      </w:hyperlink>
      <w:r>
        <w:t xml:space="preserve">.</w:t>
      </w:r>
    </w:p>
    <w:bookmarkEnd w:id="95"/>
    <w:bookmarkStart w:id="97"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6">
        <w:r>
          <w:rPr>
            <w:rStyle w:val="Hyperlink"/>
          </w:rPr>
          <w:t xml:space="preserve">https://doi.org/10.1007/978-0-387-21706-2</w:t>
        </w:r>
      </w:hyperlink>
      <w:r>
        <w:t xml:space="preserve">.</w:t>
      </w:r>
    </w:p>
    <w:bookmarkEnd w:id="97"/>
    <w:bookmarkStart w:id="9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8">
        <w:r>
          <w:rPr>
            <w:rStyle w:val="Hyperlink"/>
          </w:rPr>
          <w:t xml:space="preserve">https://doi.org/10.1111/j.1467-9868.2010.00749.x</w:t>
        </w:r>
      </w:hyperlink>
      <w:r>
        <w:t xml:space="preserve">.</w:t>
      </w:r>
    </w:p>
    <w:bookmarkEnd w:id="99"/>
    <w:bookmarkStart w:id="10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00"/>
    <w:bookmarkStart w:id="102" w:name="ref-tbep0494"/>
    <w:p>
      <w:pPr>
        <w:pStyle w:val="Bibliography"/>
      </w:pPr>
      <w:r>
        <w:t xml:space="preserve">Zarbock, H. W., A. J. Janicki, D. L. Wade, and D. G. Heimbuch. 1994.</w:t>
      </w:r>
      <w:r>
        <w:t xml:space="preserve"> </w:t>
      </w:r>
      <w:hyperlink r:id="rId101">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02"/>
    <w:bookmarkEnd w:id="103"/>
    <w:bookmarkEnd w:id="104"/>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7/978-0-387-21706-2" TargetMode="External" /><Relationship Type="http://schemas.openxmlformats.org/officeDocument/2006/relationships/hyperlink" Id="rId69" Target="https://doi.org/10.1007/s12237-024-01385-0" TargetMode="External" /><Relationship Type="http://schemas.openxmlformats.org/officeDocument/2006/relationships/hyperlink" Id="rId86" Target="https://doi.org/10.1016/j.envsoft.2019.03.027" TargetMode="External" /><Relationship Type="http://schemas.openxmlformats.org/officeDocument/2006/relationships/hyperlink" Id="rId71" Target="https://doi.org/10.1111/1752-1688.12489" TargetMode="External" /><Relationship Type="http://schemas.openxmlformats.org/officeDocument/2006/relationships/hyperlink" Id="rId94" Target="https://doi.org/10.1111/1752-1688.70070" TargetMode="External" /><Relationship Type="http://schemas.openxmlformats.org/officeDocument/2006/relationships/hyperlink" Id="rId98" Target="https://doi.org/10.1111/j.1467-9868.2010.00749.x" TargetMode="External" /><Relationship Type="http://schemas.openxmlformats.org/officeDocument/2006/relationships/hyperlink" Id="rId88" Target="https://doi.org/10.32614/CRAN.package.gratia" TargetMode="External" /><Relationship Type="http://schemas.openxmlformats.org/officeDocument/2006/relationships/hyperlink" Id="rId79" Target="https://drive.google.com/drive/folders/1-vIRAsuZQmQEXZk-0FwqsjhSex0GDu7-?usp=sharing" TargetMode="External" /><Relationship Type="http://schemas.openxmlformats.org/officeDocument/2006/relationships/hyperlink" Id="rId83" Target="https://drive.google.com/file/d/1-1Jq9vly5EvVwEp698brlBucXjSMDbNn/view?usp=sharing" TargetMode="External" /><Relationship Type="http://schemas.openxmlformats.org/officeDocument/2006/relationships/hyperlink" Id="rId92" Target="https://drive.google.com/file/d/10IjJAfcGFf007a5VdPXAUtUi4dx-cmsA/view?usp=drivesdk" TargetMode="External" /><Relationship Type="http://schemas.openxmlformats.org/officeDocument/2006/relationships/hyperlink" Id="rId81" Target="https://drive.google.com/file/d/1KARuSC5fGx05MuT1wiOQFWNXysBokkQl/view?usp=share_link" TargetMode="External" /><Relationship Type="http://schemas.openxmlformats.org/officeDocument/2006/relationships/hyperlink" Id="rId77" Target="https://drive.google.com/file/d/1XMULU8w4syWcSv_ciOUOhnC_G4xt6GIF/view?usp=drivesdk" TargetMode="External" /><Relationship Type="http://schemas.openxmlformats.org/officeDocument/2006/relationships/hyperlink" Id="rId75" Target="https://drive.google.com/file/d/1kZkvuprvsMyN9nPS5PHYvXHyo1KQxKTr/view?usp=drivesdk" TargetMode="External" /><Relationship Type="http://schemas.openxmlformats.org/officeDocument/2006/relationships/hyperlink" Id="rId101" Target="https://drive.google.com/file/d/1vNl3kvRmxQ7VW-2VYbykB__e_ESGSoVz/view?usp=drivesdk" TargetMode="External" /><Relationship Type="http://schemas.openxmlformats.org/officeDocument/2006/relationships/hyperlink" Id="rId62" Target="https://github.com/tbep-tech/chlhydro-manu" TargetMode="External" /><Relationship Type="http://schemas.openxmlformats.org/officeDocument/2006/relationships/hyperlink" Id="rId90"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Maya C Burke1, and Edward T Sherwood1</dc:creator>
  <cp:keywords/>
  <dcterms:created xsi:type="dcterms:W3CDTF">2026-01-26T22:27:47Z</dcterms:created>
  <dcterms:modified xsi:type="dcterms:W3CDTF">2026-01-26T22:27:47Z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