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0.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
          <w:iCs/>
        </w:rPr>
        <w:t xml:space="preserve">We sincerely thank the reviewers for providing useful comments on our manuscript. We greatly appreciate the time and effort invested in reviewing our work. We have carefully considered each comment and have revised the manuscript accordingly. Please see the responses below. Line numbers in responses refer to the revised manuscript and those from reviewers are from the original manuscript.</w:t>
      </w:r>
    </w:p>
    <w:bookmarkStart w:id="23" w:name="reviewer-1"/>
    <w:p>
      <w:pPr>
        <w:pStyle w:val="Heading3"/>
      </w:pPr>
      <w:r>
        <w:t xml:space="preserve">Reviewer #1:</w:t>
      </w:r>
    </w:p>
    <w:p>
      <w:pPr>
        <w:pStyle w:val="FirstParagraph"/>
      </w:pPr>
      <w:r>
        <w:t xml:space="preserve">1. Ln 180: It seems like it would be more relevant to the analysis of chlorophyll-a to analyze surface salinity, rather than averaging across all depths. Additional rationale should be given to justify this choice. Does interpretation of model output change if surface salinity rather than depth-averaged salinity is used? By including bottom salinity, is there greater aliasing of tidal variability in the monthly salinity data? Or is this accounted for during the cruise surveys (e.g., sampling at similar tidal stage across all cruises)?</w:t>
      </w:r>
    </w:p>
    <w:p>
      <w:pPr>
        <w:pStyle w:val="BodyText"/>
      </w:pPr>
      <w:r>
        <w:rPr>
          <w:i/>
          <w:iCs/>
        </w:rPr>
        <w:t xml:space="preserve">This is a valid comment and one that we considered during early analyses of the data. Importantly, the results presented in the current manuscript were actually derived using surface salinity. The text description of averaging by depth was mistakenly included from an earlier draft and we have corrected the text to indicate that only surface salinity was used. Regardless, results obtained using surface salinity vs depth-averaged were very similar and did not make a large difference for model performance. Further, chlorophyll-a samples have historically been collected at mid-depth at each site, and salinity stratification is considered relatively minor in the shallow, partially to well-mixed estuary</w:t>
      </w:r>
      <w:r>
        <w:rPr>
          <w:i/>
          <w:iCs/>
        </w:rPr>
        <w:t xml:space="preserve"> </w:t>
      </w:r>
      <w:r>
        <w:rPr>
          <w:i/>
          <w:iCs/>
        </w:rPr>
        <w:t xml:space="preserve">(Chen et al., 2019)</w:t>
      </w:r>
      <w:r>
        <w:rPr>
          <w:i/>
          <w:iCs/>
        </w:rPr>
        <w:t xml:space="preserve">. Deviance explained of the GAMs for each bay segment were the same using surface or depth-averaged, the exception being LTB where deviance explained was 0.61 using surface values and 0.59 using depth-averaged. Thus, although surface salinity resulted in a marginal improvement in model fit for LTB, the overall conclusions remain unchanged.</w:t>
      </w:r>
    </w:p>
    <w:p>
      <w:pPr>
        <w:pStyle w:val="BodyText"/>
      </w:pPr>
      <w:r>
        <w:rPr>
          <w:i/>
          <w:iCs/>
        </w:rPr>
        <w:t xml:space="preserve">The following was added for additional context:</w:t>
      </w:r>
    </w:p>
    <w:p>
      <w:pPr>
        <w:pStyle w:val="BodyText"/>
      </w:pPr>
      <w:r>
        <w:rPr>
          <w:i/>
          <w:iCs/>
        </w:rPr>
        <w:t xml:space="preserve">Lines 146-148:</w:t>
      </w:r>
      <w:r>
        <w:rPr>
          <w:i/>
          <w:iCs/>
        </w:rPr>
        <w:t xml:space="preserve"> </w:t>
      </w:r>
      <w:r>
        <w:rPr>
          <w:i/>
          <w:iCs/>
        </w:rPr>
        <w:t xml:space="preserve">“The water column is partially to well-mixed and does not exhibit strong stratification</w:t>
      </w:r>
      <w:r>
        <w:rPr>
          <w:i/>
          <w:iCs/>
        </w:rPr>
        <w:t xml:space="preserve"> </w:t>
      </w:r>
      <w:r>
        <w:rPr>
          <w:i/>
          <w:iCs/>
        </w:rPr>
        <w:t xml:space="preserve">(Chen et al., 2019)</w:t>
      </w:r>
      <w:r>
        <w:rPr>
          <w:i/>
          <w:iCs/>
        </w:rPr>
        <w:t xml:space="preserve">.”</w:t>
      </w:r>
    </w:p>
    <w:p>
      <w:pPr>
        <w:pStyle w:val="BodyText"/>
      </w:pPr>
      <w:r>
        <w:rPr>
          <w:i/>
          <w:iCs/>
        </w:rPr>
        <w:t xml:space="preserve">Lines 183-190:</w:t>
      </w:r>
      <w:r>
        <w:rPr>
          <w:i/>
          <w:iCs/>
        </w:rPr>
        <w:t xml:space="preserve"> </w:t>
      </w:r>
      <w:r>
        <w:rPr>
          <w:i/>
          <w:iCs/>
        </w:rPr>
        <w:t xml:space="preserve">“Surface chlorophyll-a and salinity observations at each station were averaged by month for each bay segment (annual averages by bay segment are shown in Figure2a, b). Salinity is measured at surface, mid, and bottom depths at each station, whereas only surface salinity was used for analysis given similar sampling depth as chlorophyll-a. Further, initial analyses using depth-averaged salinity produced models with nearly identical performance when compared to those using surface salinity. These similarities were not unexpected given that the majority of Tampa Bay is shallow, well-mixed, and typically does not stratify, as noted in the prior section.”</w:t>
      </w:r>
    </w:p>
    <w:p>
      <w:pPr>
        <w:pStyle w:val="BodyText"/>
      </w:pPr>
      <w:r>
        <w:t xml:space="preserve">2. For the</w:t>
      </w:r>
      <w:r>
        <w:t xml:space="preserve"> </w:t>
      </w:r>
      <w:r>
        <w:t xml:space="preserve">“futures”</w:t>
      </w:r>
      <w:r>
        <w:t xml:space="preserve"> </w:t>
      </w:r>
      <w:r>
        <w:t xml:space="preserve">scenario, linear regression is used to empirically estimate future salinity. However, for the loading, it’s more of a sensitivity analysis approach, where the TMDL threshold is either halved or doubled. What is the justification for the choice of loading scenarios, rather than assuming long-term observed trends in loading will continue over the next 50 years? This is obviously unlikely if the decrease in load was due to one-time WWTP upgrades, but I think the choice still warrants further explanation as halving the load specified in the TMDL may also be an equally unlikely scenario depending on source, available BMPs, etc…</w:t>
      </w:r>
    </w:p>
    <w:p>
      <w:pPr>
        <w:pStyle w:val="BodyText"/>
      </w:pPr>
      <w:r>
        <w:rPr>
          <w:i/>
          <w:iCs/>
        </w:rPr>
        <w:t xml:space="preserve">Yes, we agree that the derivation of future loading scenarios doesn’t align conceptually with our future scenarios for salinity. Our target audience for this paper, beyond the typical academic readers, is resource managers and we thought it useful to present the loading scenarios in this general, more coarse context, rather than projected trends (or lack of, see below). The primary objective was to evaluate the potential consequences of management action (or inaction) under changing environmental baselines, particularly in OTB, where current loading remains above the regulatory threshold.</w:t>
      </w:r>
    </w:p>
    <w:p>
      <w:pPr>
        <w:pStyle w:val="BodyText"/>
      </w:pPr>
      <w:r>
        <w:rPr>
          <w:i/>
          <w:iCs/>
        </w:rPr>
        <w:t xml:space="preserve">We also agree that the gross percentage changes (i.e., half TMDL, twice TMDL) may not represent realistic scenarios for the reasons the reviewer mentions. However, we believe these scenarios provide useful upper and lower bounds that help illustrate how substantial changes in nutrient loadings may affect the likelihoods of exceeding thresholds relative to changing salinities. In reality, nutrient loading has remained relatively stable during the contemporary period evaluated (2012-2024), despite interannual variability. This observation reinforces the possibility that maintaining current loading levels may not be sufficient to protect water quality in the future. The figure below shows current loading trends. None of the individual regressions are significant and we’ve added a supplemental table with these results (Table S8).</w:t>
      </w:r>
    </w:p>
    <w:p>
      <w:pPr>
        <w:pStyle w:val="BodyText"/>
      </w:pPr>
      <w:r>
        <w:drawing>
          <wp:inline>
            <wp:extent cx="5943600" cy="4245428"/>
            <wp:effectExtent b="0" l="0" r="0" t="0"/>
            <wp:docPr descr="" title="" id="21" name="Picture"/>
            <a:graphic>
              <a:graphicData uri="http://schemas.openxmlformats.org/drawingml/2006/picture">
                <pic:pic>
                  <pic:nvPicPr>
                    <pic:cNvPr descr="../figs/loadtrends.png" id="22" name="Picture"/>
                    <pic:cNvPicPr>
                      <a:picLocks noChangeArrowheads="1" noChangeAspect="1"/>
                    </pic:cNvPicPr>
                  </pic:nvPicPr>
                  <pic:blipFill>
                    <a:blip r:embed="rId20"/>
                    <a:stretch>
                      <a:fillRect/>
                    </a:stretch>
                  </pic:blipFill>
                  <pic:spPr bwMode="auto">
                    <a:xfrm>
                      <a:off x="0" y="0"/>
                      <a:ext cx="5943600" cy="4245428"/>
                    </a:xfrm>
                    <a:prstGeom prst="rect">
                      <a:avLst/>
                    </a:prstGeom>
                    <a:noFill/>
                    <a:ln w="9525">
                      <a:noFill/>
                      <a:headEnd/>
                      <a:tailEnd/>
                    </a:ln>
                  </pic:spPr>
                </pic:pic>
              </a:graphicData>
            </a:graphic>
          </wp:inline>
        </w:drawing>
      </w:r>
    </w:p>
    <w:p>
      <w:pPr>
        <w:pStyle w:val="BodyText"/>
      </w:pPr>
      <w:r>
        <w:rPr>
          <w:i/>
          <w:iCs/>
        </w:rPr>
        <w:t xml:space="preserve">It’s also worth pointing out that we used long-term salinity trends for the entire period of record (1975 to present) to develop the projections for future salinity. Loading for the same period (1985, when estimates begin) also show a long-term decrease. However, understanding recent loading trends (e.g., 2012 to present) is more relevant in a management context given the time frames within which nutrient reduction interventions may influence water quality, whereas the long-term reduction in salinity is consistent and cannot be easily modified with conventional management approaches. Thus, our justification for why we are using a contemporary period to evaluate loading changes and why we are retaining our original loading scenarios is strictly to present results to resource managers and permit holders under changing baselines.</w:t>
      </w:r>
    </w:p>
    <w:p>
      <w:pPr>
        <w:pStyle w:val="BodyText"/>
      </w:pPr>
      <w:r>
        <w:rPr>
          <w:i/>
          <w:iCs/>
        </w:rPr>
        <w:t xml:space="preserve">In brief, we have added the following text to our description of the simulation scenarios (lines 368-375):</w:t>
      </w:r>
      <w:r>
        <w:rPr>
          <w:i/>
          <w:iCs/>
        </w:rPr>
        <w:t xml:space="preserve"> </w:t>
      </w:r>
      <w:r>
        <w:rPr>
          <w:i/>
          <w:iCs/>
        </w:rPr>
        <w:t xml:space="preserve">“Although long-term reductions in loading have been observed over several decades, evaluating upper and lower bounds of potential loads relative to the TMDL threshold for each bay segment provides a more contextualized assessment. While we recognize this does not represent a realistic scenario where loading is consistent fifty years into the future, the effects of gradual salinity changes can be more readily evaluated for fixed constants of loading. Moreover, loadings have been relatively consistent since 2012 (the simulation period, Table S8) and emphasizing that the status quo may not remain protective in the future is also a worthwhile assessment.”</w:t>
      </w:r>
    </w:p>
    <w:p>
      <w:pPr>
        <w:pStyle w:val="BodyText"/>
      </w:pPr>
      <w:r>
        <w:t xml:space="preserve">3. Section 3.2: the value added by the salinity-normalized and salinity-normalized at mean loading is not immediately obvious. For example, lines 379 - 380 state</w:t>
      </w:r>
      <w:r>
        <w:t xml:space="preserve"> </w:t>
      </w:r>
      <w:r>
        <w:t xml:space="preserve">“suggesting that salinity and/or loading were key drivers of chlorophyll-a that varied over time”</w:t>
      </w:r>
      <w:r>
        <w:t xml:space="preserve">. Isn’t that already previously inferred from Table 1 and the fact that salinity and interactions between loading and other variables uniquely explain deviance observed in chlorophyll-a? MTB and LTB did not have significant interactions between loading and other variables (Table 1), whereas HB and OTB did, and these are the segments where,</w:t>
      </w:r>
      <w:r>
        <w:t xml:space="preserve"> </w:t>
      </w:r>
      <w:r>
        <w:t xml:space="preserve">“salinity-normalized results were similar to those at mean loading. This suggested that loading had more unique effects on chlorophyll-a in OTB and HB, whereas a loading effect could not be distinguished from salinity for MTB and LTB”</w:t>
      </w:r>
      <w:r>
        <w:t xml:space="preserve"> </w:t>
      </w:r>
      <w:r>
        <w:t xml:space="preserve">(lines 383 - 386). The methodological description (section 2.3) and figures for the salinity-normalized results are a bit convoluted, while seemingly redundant of the findings of the original GAM. I think the motivation was to apply a WRTDS-like approach (Beck &amp; Hagy, 2015) within a GAM framework but I’m not convinced that it enhances the findings of the paper.</w:t>
      </w:r>
    </w:p>
    <w:p>
      <w:pPr>
        <w:pStyle w:val="BodyText"/>
      </w:pPr>
      <w:r>
        <w:rPr>
          <w:i/>
          <w:iCs/>
        </w:rPr>
        <w:t xml:space="preserve">We appreciate this perspective. Our rationale for including the normalization analyses was that understanding the independent effects of salinity and loading is a necessary prerequisite for evaluating their potential impacts under future conditions. In other words, objective 2 was necessary before we could pursue objective 3. We agree that there is some overlap between the information provided by the conventional GAM summaries and the normalized analyses. However, the two approaches provide complementary insights. Conventional GAM results (Table 1, newly added supplemental figures S2 and S3) only demonstrate that an association exists and how that unique association can be parsed out from the smoothers. Our results in section 3.2 provide a more nuanced interpretation by disaggregating the effects over time. For example, Figure S3 provides some indication of how loading or salinity effects vary by time (e.g., second and fourth columns showing the bivariate smooths for salinity vs decimal time and loading vs decimal time, respectively). However, these effects plots do not provide a collective assessment in that the individual smoothers for salinity and loading must also be considered. Figures 4-6 therefore provide a temporal interpretation that cannot be readily obtained from conventional GAM effects plots alone.</w:t>
      </w:r>
    </w:p>
    <w:p>
      <w:pPr>
        <w:pStyle w:val="BodyText"/>
      </w:pPr>
      <w:r>
        <w:rPr>
          <w:i/>
          <w:iCs/>
        </w:rPr>
        <w:t xml:space="preserve">To help clarify this distinction, we have added the following text (lines 299-305):</w:t>
      </w:r>
      <w:r>
        <w:rPr>
          <w:i/>
          <w:iCs/>
        </w:rPr>
        <w:t xml:space="preserve"> </w:t>
      </w:r>
      <w:r>
        <w:rPr>
          <w:i/>
          <w:iCs/>
        </w:rPr>
        <w:t xml:space="preserve">“Although the effects of salinity and loading can be inferred from conventional GAM summaries, either by evaluating tabular model output or from effects plots, they do not provide a holistic interpretation that can be obtained from the normalized results. By utilizing the model predictions that consider the effects of all modeled parameters and normalizing the output as described above, the unique effects of salinity and loading can be more clearly evaluated, especially over time. This approach is essentially a GAM-equivalent to the normalization from other methods</w:t>
      </w:r>
      <w:r>
        <w:rPr>
          <w:i/>
          <w:iCs/>
        </w:rPr>
        <w:t xml:space="preserve"> </w:t>
      </w:r>
      <w:r>
        <w:rPr>
          <w:i/>
          <w:iCs/>
        </w:rPr>
        <w:t xml:space="preserve">(e.g., WRTDS, Hirsch et al., 2010; Beck &amp; Hagy, 2015)</w:t>
      </w:r>
      <w:r>
        <w:rPr>
          <w:i/>
          <w:iCs/>
        </w:rPr>
        <w:t xml:space="preserve">.”</w:t>
      </w:r>
    </w:p>
    <w:p>
      <w:pPr>
        <w:pStyle w:val="BodyText"/>
      </w:pPr>
      <w:r>
        <w:rPr>
          <w:i/>
          <w:iCs/>
        </w:rPr>
        <w:t xml:space="preserve">Figure S1 also demonstrates the normalization process described in the methods. We have added an inset to panel (c) that provides further clarification on how the normalized results are estimated, with a new note in the text indicating as such (line 321).</w:t>
      </w:r>
    </w:p>
    <w:p>
      <w:pPr>
        <w:pStyle w:val="BodyText"/>
      </w:pPr>
      <w:r>
        <w:t xml:space="preserve">4. Discussion: The relevance of the results regarding future changes in chlorophyll-a are limited by the fact that the authors didn’t consider changes in temperature, which often has a first order effect on algal dynamics. If the salinity-normalized results were removed from the paper, it would allow for the concurrent effects of temperature and salinity to be modeled and discussed, which would strengthen the results/discussion regarding projected changes in chlorophyll-a.</w:t>
      </w:r>
    </w:p>
    <w:p>
      <w:pPr>
        <w:pStyle w:val="BodyText"/>
      </w:pPr>
      <w:r>
        <w:rPr>
          <w:i/>
          <w:iCs/>
        </w:rPr>
        <w:t xml:space="preserve">We agree that temperature is an important driver of phytoplankton dynamics and that its inclusion could improve future projections of chlorophyll-a. This limitation was previously acknowledged in the Discussion (i.e., lines 639-642) and has now been highlighted more explicitly in both the Introduction and Discussion. Our decision to focus on salinity was motivated by longstanding management concerns regarding circulation dynamics and residence times in Old Tampa Bay, which have been linked to historical regulatory exceedances. Salinity serves as a useful proxy for these hydrodynamic influences and therefore provided a direct means of evaluating their relationship with chlorophyll-a. Future studies that jointly evaluate salinity, temperature, and nutrient loading would provide a more comprehensive assessment of how multiple climate-related stressors may influence chlorophyll-a dynamics and regulatory attainment.</w:t>
      </w:r>
    </w:p>
    <w:p>
      <w:pPr>
        <w:pStyle w:val="BodyText"/>
      </w:pPr>
      <w:r>
        <w:rPr>
          <w:i/>
          <w:iCs/>
        </w:rPr>
        <w:t xml:space="preserve">The following was added in the final paragraph of the introduction (lines 134-138):</w:t>
      </w:r>
      <w:r>
        <w:rPr>
          <w:i/>
          <w:iCs/>
        </w:rPr>
        <w:t xml:space="preserve"> </w:t>
      </w:r>
      <w:r>
        <w:rPr>
          <w:i/>
          <w:iCs/>
        </w:rPr>
        <w:t xml:space="preserve">“We focus primarily on salinity and not additional climate change stressors (i.e., temperature) given that Old Tampa Bay (northwest segment) has circulation dynamics that contributed to regulatory exceedances</w:t>
      </w:r>
      <w:r>
        <w:rPr>
          <w:i/>
          <w:iCs/>
        </w:rPr>
        <w:t xml:space="preserve"> </w:t>
      </w:r>
      <w:r>
        <w:rPr>
          <w:i/>
          <w:iCs/>
        </w:rPr>
        <w:t xml:space="preserve">(Sherwood et al., 2015; Luther &amp; Meyers, 2022)</w:t>
      </w:r>
      <w:r>
        <w:rPr>
          <w:i/>
          <w:iCs/>
        </w:rPr>
        <w:t xml:space="preserve"> </w:t>
      </w:r>
      <w:r>
        <w:rPr>
          <w:i/>
          <w:iCs/>
        </w:rPr>
        <w:t xml:space="preserve">and salinity can serve as a proxy to better understand these effects. Future analysis of temperature effects could be beneficial.”</w:t>
      </w:r>
    </w:p>
    <w:p>
      <w:pPr>
        <w:pStyle w:val="BodyText"/>
      </w:pPr>
      <w:r>
        <w:t xml:space="preserve">Specific Comments</w:t>
      </w:r>
    </w:p>
    <w:p>
      <w:pPr>
        <w:pStyle w:val="BodyText"/>
      </w:pPr>
      <w:r>
        <w:t xml:space="preserve">1. Ln 55: missing period before</w:t>
      </w:r>
      <w:r>
        <w:t xml:space="preserve"> </w:t>
      </w:r>
      <w:r>
        <w:t xml:space="preserve">“similarly”</w:t>
      </w:r>
    </w:p>
    <w:p>
      <w:pPr>
        <w:pStyle w:val="BodyText"/>
      </w:pPr>
      <w:r>
        <w:rPr>
          <w:i/>
          <w:iCs/>
        </w:rPr>
        <w:t xml:space="preserve">Added.</w:t>
      </w:r>
    </w:p>
    <w:p>
      <w:pPr>
        <w:pStyle w:val="BodyText"/>
      </w:pPr>
      <w:r>
        <w:t xml:space="preserve">2. Ln 117: for conciseness consider changing to</w:t>
      </w:r>
      <w:r>
        <w:t xml:space="preserve"> </w:t>
      </w:r>
      <w:r>
        <w:t xml:space="preserve">“freshwater inflows and circulation”</w:t>
      </w:r>
      <w:r>
        <w:t xml:space="preserve">.</w:t>
      </w:r>
    </w:p>
    <w:p>
      <w:pPr>
        <w:pStyle w:val="BodyText"/>
      </w:pPr>
      <w:r>
        <w:rPr>
          <w:i/>
          <w:iCs/>
        </w:rPr>
        <w:t xml:space="preserve">Changed.</w:t>
      </w:r>
    </w:p>
    <w:p>
      <w:pPr>
        <w:pStyle w:val="BodyText"/>
      </w:pPr>
      <w:r>
        <w:t xml:space="preserve">3. Ln 141: Consider adding bathymetry data to Figure 1 (if available) to accompany description</w:t>
      </w:r>
    </w:p>
    <w:p>
      <w:pPr>
        <w:pStyle w:val="BodyText"/>
      </w:pPr>
      <w:r>
        <w:rPr>
          <w:i/>
          <w:iCs/>
        </w:rPr>
        <w:t xml:space="preserve">Bathymetry was added to the figure, in addition to some legend items to make the elements more readable.</w:t>
      </w:r>
    </w:p>
    <w:p>
      <w:pPr>
        <w:pStyle w:val="BodyText"/>
      </w:pPr>
      <w:r>
        <w:t xml:space="preserve">4. Ln 149: Add reference to Figure 2.</w:t>
      </w:r>
    </w:p>
    <w:p>
      <w:pPr>
        <w:pStyle w:val="BodyText"/>
      </w:pPr>
      <w:r>
        <w:rPr>
          <w:i/>
          <w:iCs/>
        </w:rPr>
        <w:t xml:space="preserve">The loading data in Figure 2 begins in 1985 and does not provide a comparison to those from the 1970s</w:t>
      </w:r>
      <w:r>
        <w:rPr>
          <w:i/>
          <w:iCs/>
        </w:rPr>
        <w:t xml:space="preserve"> </w:t>
      </w:r>
      <w:r>
        <w:rPr>
          <w:i/>
          <w:iCs/>
        </w:rPr>
        <w:t xml:space="preserve">“worst-case”</w:t>
      </w:r>
      <w:r>
        <w:rPr>
          <w:i/>
          <w:iCs/>
        </w:rPr>
        <w:t xml:space="preserve"> </w:t>
      </w:r>
      <w:r>
        <w:rPr>
          <w:i/>
          <w:iCs/>
        </w:rPr>
        <w:t xml:space="preserve">scenario. We have added a citation to the historical document from which those estimates were obtained and the current for comparison</w:t>
      </w:r>
      <w:r>
        <w:rPr>
          <w:i/>
          <w:iCs/>
        </w:rPr>
        <w:t xml:space="preserve"> </w:t>
      </w:r>
      <w:r>
        <w:rPr>
          <w:i/>
          <w:iCs/>
        </w:rPr>
        <w:t xml:space="preserve">(Zarbock et al., 1994; Janicki et al., 2023)</w:t>
      </w:r>
      <w:r>
        <w:rPr>
          <w:i/>
          <w:iCs/>
        </w:rPr>
        <w:t xml:space="preserve"> </w:t>
      </w:r>
      <w:r>
        <w:rPr>
          <w:i/>
          <w:iCs/>
        </w:rPr>
        <w:t xml:space="preserve">(line 171).</w:t>
      </w:r>
    </w:p>
    <w:p>
      <w:pPr>
        <w:pStyle w:val="BodyText"/>
      </w:pPr>
      <w:r>
        <w:t xml:space="preserve">5. Consider moving the last paragraph in methods (ln 158 - 175) to the introduction.</w:t>
      </w:r>
    </w:p>
    <w:p>
      <w:pPr>
        <w:pStyle w:val="BodyText"/>
      </w:pPr>
      <w:r>
        <w:rPr>
          <w:i/>
          <w:iCs/>
        </w:rPr>
        <w:t xml:space="preserve">This paragraph was moved to the second to last paragraph of the introduction (lines 107-123).</w:t>
      </w:r>
    </w:p>
    <w:p>
      <w:pPr>
        <w:pStyle w:val="BodyText"/>
      </w:pPr>
      <w:r>
        <w:t xml:space="preserve">6. Ln 213- 215: Add a citation to show this is a previously documented approach for dealing with long-term change as well as seasonal variability in the time component.</w:t>
      </w:r>
    </w:p>
    <w:p>
      <w:pPr>
        <w:pStyle w:val="BodyText"/>
      </w:pPr>
      <w:r>
        <w:rPr>
          <w:i/>
          <w:iCs/>
        </w:rPr>
        <w:t xml:space="preserve">A citation to</w:t>
      </w:r>
      <w:r>
        <w:rPr>
          <w:i/>
          <w:iCs/>
        </w:rPr>
        <w:t xml:space="preserve"> </w:t>
      </w:r>
      <w:r>
        <w:rPr>
          <w:i/>
          <w:iCs/>
        </w:rPr>
        <w:t xml:space="preserve">Murphy et al. (2019)</w:t>
      </w:r>
      <w:r>
        <w:rPr>
          <w:i/>
          <w:iCs/>
        </w:rPr>
        <w:t xml:space="preserve"> </w:t>
      </w:r>
      <w:r>
        <w:rPr>
          <w:i/>
          <w:iCs/>
        </w:rPr>
        <w:t xml:space="preserve">was added since this was the origin of the concept (line 222).</w:t>
      </w:r>
    </w:p>
    <w:p>
      <w:pPr>
        <w:pStyle w:val="BodyText"/>
      </w:pPr>
      <w:r>
        <w:t xml:space="preserve">7. Ln 227 - 229: the justification for assuming a gamma distribution should be elaborated further</w:t>
      </w:r>
    </w:p>
    <w:p>
      <w:pPr>
        <w:pStyle w:val="BodyText"/>
      </w:pPr>
      <w:r>
        <w:rPr>
          <w:i/>
          <w:iCs/>
        </w:rPr>
        <w:t xml:space="preserve">Text was added about justification for the distribution and a table showing a comparison of Gaussian/log-link with the existing Gamma models was included in supplement (Table S2).</w:t>
      </w:r>
    </w:p>
    <w:p>
      <w:pPr>
        <w:pStyle w:val="BodyText"/>
      </w:pPr>
      <w:r>
        <w:rPr>
          <w:i/>
          <w:iCs/>
        </w:rPr>
        <w:t xml:space="preserve">Lines 242-244:</w:t>
      </w:r>
      <w:r>
        <w:rPr>
          <w:i/>
          <w:iCs/>
        </w:rPr>
        <w:t xml:space="preserve"> </w:t>
      </w:r>
      <w:r>
        <w:rPr>
          <w:i/>
          <w:iCs/>
        </w:rPr>
        <w:t xml:space="preserve">“Models using a Gaussian distribution with a log-link function were also evaluated, although using a Gamma distribution was superior when compared with AIC</w:t>
      </w:r>
      <w:r>
        <w:rPr>
          <w:i/>
          <w:iCs/>
        </w:rPr>
        <w:t xml:space="preserve"> </w:t>
      </w:r>
      <w:r>
        <w:rPr>
          <w:i/>
          <w:iCs/>
        </w:rPr>
        <w:t xml:space="preserve">(Table S2, Akaike, 1974)</w:t>
      </w:r>
      <w:r>
        <w:rPr>
          <w:i/>
          <w:iCs/>
        </w:rPr>
        <w:t xml:space="preserve">.”</w:t>
      </w:r>
    </w:p>
    <w:p>
      <w:pPr>
        <w:pStyle w:val="BodyText"/>
      </w:pPr>
      <w:r>
        <w:t xml:space="preserve">8. Ln 269: minimum and maximum observed over what time-period?</w:t>
      </w:r>
    </w:p>
    <w:p>
      <w:pPr>
        <w:pStyle w:val="BodyText"/>
      </w:pPr>
      <w:r>
        <w:rPr>
          <w:i/>
          <w:iCs/>
        </w:rPr>
        <w:t xml:space="preserve">Text was modified to</w:t>
      </w:r>
      <w:r>
        <w:rPr>
          <w:i/>
          <w:iCs/>
        </w:rPr>
        <w:t xml:space="preserve"> </w:t>
      </w:r>
      <w:r>
        <w:rPr>
          <w:i/>
          <w:iCs/>
        </w:rPr>
        <w:t xml:space="preserve">“minimum and maximum observed over the period of record for each bay segment, 1985-2024”</w:t>
      </w:r>
      <w:r>
        <w:rPr>
          <w:i/>
          <w:iCs/>
        </w:rPr>
        <w:t xml:space="preserve"> </w:t>
      </w:r>
      <w:r>
        <w:rPr>
          <w:i/>
          <w:iCs/>
        </w:rPr>
        <w:t xml:space="preserve">(lines 285-286).</w:t>
      </w:r>
    </w:p>
    <w:p>
      <w:pPr>
        <w:pStyle w:val="BodyText"/>
      </w:pPr>
      <w:r>
        <w:t xml:space="preserve">9. Ln 274: over what time period was the mean loading computed?</w:t>
      </w:r>
    </w:p>
    <w:p>
      <w:pPr>
        <w:pStyle w:val="BodyText"/>
      </w:pPr>
      <w:r>
        <w:rPr>
          <w:i/>
          <w:iCs/>
        </w:rPr>
        <w:t xml:space="preserve">This was also the mean loading for the period of record for each bay segment, similar to salinity. Text was modified similarly as the previous response (lines 293-294).</w:t>
      </w:r>
    </w:p>
    <w:p>
      <w:pPr>
        <w:pStyle w:val="BodyText"/>
      </w:pPr>
      <w:r>
        <w:t xml:space="preserve">10. Ln 322: Are the chlorophyll-a thresholds defined in FDEP’s water quality standards? It would be helpful to clarify where these numbers come from. Citing Figure 2, which shows the relevant regulatory criteria would likely be sufficient.</w:t>
      </w:r>
    </w:p>
    <w:p>
      <w:pPr>
        <w:pStyle w:val="BodyText"/>
      </w:pPr>
      <w:r>
        <w:rPr>
          <w:i/>
          <w:iCs/>
        </w:rPr>
        <w:t xml:space="preserve">Yes, the chlorophyll-a thresholds are FDEP standards under the bay’s Reasonable Assurance Plan and §62-302.532, Florida Administrative Code. A citation to Figure 2 was included and</w:t>
      </w:r>
      <w:r>
        <w:rPr>
          <w:i/>
          <w:iCs/>
        </w:rPr>
        <w:t xml:space="preserve"> </w:t>
      </w:r>
      <w:r>
        <w:rPr>
          <w:i/>
          <w:iCs/>
        </w:rPr>
        <w:t xml:space="preserve">“regulatory”</w:t>
      </w:r>
      <w:r>
        <w:rPr>
          <w:i/>
          <w:iCs/>
        </w:rPr>
        <w:t xml:space="preserve"> </w:t>
      </w:r>
      <w:r>
        <w:rPr>
          <w:i/>
          <w:iCs/>
        </w:rPr>
        <w:t xml:space="preserve">was added as a text qualifier for the chlorophyll-a thresholds (lines 347-351).</w:t>
      </w:r>
    </w:p>
    <w:p>
      <w:pPr>
        <w:pStyle w:val="BodyText"/>
      </w:pPr>
      <w:r>
        <w:t xml:space="preserve">11. Ln 349: Is the lower percent explained in LTB due to aliasing of tidal variability in salinity data since the data was depth-averaged?</w:t>
      </w:r>
    </w:p>
    <w:p>
      <w:pPr>
        <w:pStyle w:val="BodyText"/>
      </w:pPr>
      <w:r>
        <w:rPr>
          <w:i/>
          <w:iCs/>
        </w:rPr>
        <w:t xml:space="preserve">Please see our response to the first general comment.</w:t>
      </w:r>
    </w:p>
    <w:p>
      <w:pPr>
        <w:pStyle w:val="BodyText"/>
      </w:pPr>
      <w:r>
        <w:t xml:space="preserve">12. Ln 353 - 356: I believe this is determined by the p-value, which should be clarified in the text.</w:t>
      </w:r>
    </w:p>
    <w:p>
      <w:pPr>
        <w:pStyle w:val="BodyText"/>
      </w:pPr>
      <w:r>
        <w:rPr>
          <w:i/>
          <w:iCs/>
        </w:rPr>
        <w:t xml:space="preserve">Yes, this is correct, although we note that the journal discourages general statements about p-values. We revised the sentence to include more detail about these main effects (lines 385-389):</w:t>
      </w:r>
      <w:r>
        <w:rPr>
          <w:i/>
          <w:iCs/>
        </w:rPr>
        <w:t xml:space="preserve"> </w:t>
      </w:r>
      <w:r>
        <w:rPr>
          <w:i/>
          <w:iCs/>
        </w:rPr>
        <w:t xml:space="preserve">“All bay segments had individual smoothers for decimal time, day of year, and salinity that explained a unique portion of the variance in chlorophyll-a (Table 1), although the defined relationships varied from linear (estimated degrees of freedom, edf = 1; e.g., decimal time for OTB, salinity for OTB and HB) to highly non-linear (edf &gt;&gt; 1; day of year for all bay segments).”</w:t>
      </w:r>
    </w:p>
    <w:p>
      <w:pPr>
        <w:pStyle w:val="BodyText"/>
      </w:pPr>
      <w:r>
        <w:t xml:space="preserve">13. Ln 365 - 367: Is this because the water column is less stratified? Or because there is less episodic variation in the load, which decreases the likelihood of aliasing higher frequency variability due to storms? In general, some of the trends in model-data agreement across segments are not particularly surprising given the model setup.</w:t>
      </w:r>
    </w:p>
    <w:p>
      <w:pPr>
        <w:pStyle w:val="BodyText"/>
      </w:pPr>
      <w:r>
        <w:rPr>
          <w:i/>
          <w:iCs/>
        </w:rPr>
        <w:t xml:space="preserve">Since stratification does not occur regularly in Tampa Bay, the decreased fit in the wet season is likely due to higher variability in chlorophyll-a and additional factors beyond those included in the model that could influence primary productivity. Conversely, it is very possible that chlorophyll-a during the dry season is captured more fully by the time variables in the model (decimal time, day of year) as other parameters have less influence outside of the growing season. We agree, though, that these results are not particularly surprising, but it is worth explaining times when the models performed better or worse to help the reader understand factors that could influence chlorophyll-a dynamics.</w:t>
      </w:r>
    </w:p>
    <w:p>
      <w:pPr>
        <w:pStyle w:val="BodyText"/>
      </w:pPr>
      <w:r>
        <w:t xml:space="preserve">14. Figure 5: Consider showing the effect plots for the original GAM instead of the salinity-normalized analysis.</w:t>
      </w:r>
    </w:p>
    <w:p>
      <w:pPr>
        <w:pStyle w:val="BodyText"/>
      </w:pPr>
      <w:r>
        <w:rPr>
          <w:i/>
          <w:iCs/>
        </w:rPr>
        <w:t xml:space="preserve">We retain figure 5 because it is central to the second objective of the paper to identify how these models can be used to disambiguate the individual effects of salinity and loading, particularly over time as in the current figures (effects plots from standard GAM output show the effects across the ranges of the parameters, not time). However, we have included conventional GAM effects plots for each model in the supplement to help the reader better visualize the smoothers and their interactions (Figures S2 and S3).</w:t>
      </w:r>
    </w:p>
    <w:p>
      <w:pPr>
        <w:pStyle w:val="BodyText"/>
      </w:pPr>
      <w:r>
        <w:t xml:space="preserve">15. Figure 6: Consider making the x- and y-axis scales the same for the different segments because the e.g., stronger loading effect in OTB/HB isn’t immediately obvious. Also, are the lines necessary since the points are color-coded? You could instead use a color gradient to represent year as in Figure 3. This would lessen the need to have year labels, which should be described in the caption if included.</w:t>
      </w:r>
    </w:p>
    <w:p>
      <w:pPr>
        <w:pStyle w:val="BodyText"/>
      </w:pPr>
      <w:r>
        <w:rPr>
          <w:i/>
          <w:iCs/>
        </w:rPr>
        <w:t xml:space="preserve">For subfigure (a), we retain the separate scaling because we feel it is important to help visualize differences between years within each bay segment. However, we have removed the path connection between years to help declutter the plots. For subfigure (b), the axes are now fixed to better emphasize scale comparisons between sub-segments. The caption was updated to describe this rationale (line 657):</w:t>
      </w:r>
      <w:r>
        <w:rPr>
          <w:i/>
          <w:iCs/>
        </w:rPr>
        <w:t xml:space="preserve"> </w:t>
      </w:r>
      <w:r>
        <w:rPr>
          <w:i/>
          <w:iCs/>
        </w:rPr>
        <w:t xml:space="preserve">“The axis scales are not fixed in (a) to better visualize inter-annual changes within each bay segment, whereas the scales are fixed in (b) to emphasize differences in the magnitude of the drivers between bay segments.”</w:t>
      </w:r>
      <w:r>
        <w:rPr>
          <w:i/>
          <w:iCs/>
        </w:rPr>
        <w:t xml:space="preserve">. Regarding color, we feel that using these broad annual groupings helps visually discriminate temporal shifts in drivers of chlorophyll-a (salinity v loading) and the categories align with other comparisons throughout the manuscript (i.e., tables 2 and 3, simulation time period), so they are retained as is.</w:t>
      </w:r>
    </w:p>
    <w:p>
      <w:pPr>
        <w:pStyle w:val="BodyText"/>
      </w:pPr>
      <w:r>
        <w:t xml:space="preserve">16. Ln 554-55: Is high salinity attributable to high tidal exchange given the monthly data doesn’t resolve tidal variability? Or is it that the salinity is higher during the dry season? (this explanation seems more consistent with the sentences that follow).</w:t>
      </w:r>
    </w:p>
    <w:p>
      <w:pPr>
        <w:pStyle w:val="BodyText"/>
      </w:pPr>
      <w:r>
        <w:rPr>
          <w:i/>
          <w:iCs/>
        </w:rPr>
        <w:t xml:space="preserve">Yes, this sentence is a little misleading given those that follow. We removed the part about tidal exchange and just shortened the sentence to</w:t>
      </w:r>
      <w:r>
        <w:rPr>
          <w:i/>
          <w:iCs/>
        </w:rPr>
        <w:t xml:space="preserve"> </w:t>
      </w:r>
      <w:r>
        <w:rPr>
          <w:i/>
          <w:iCs/>
        </w:rPr>
        <w:t xml:space="preserve">“The opposite could be true during periods of high salinity (…”</w:t>
      </w:r>
      <w:r>
        <w:rPr>
          <w:i/>
          <w:iCs/>
        </w:rPr>
        <w:t xml:space="preserve"> </w:t>
      </w:r>
      <w:r>
        <w:rPr>
          <w:i/>
          <w:iCs/>
        </w:rPr>
        <w:t xml:space="preserve">(line 588). As is the premise of this paragraph, the specific causal mechanism for which salinity serves as a proxy cannot be known without additional data. Our interpretation in this paragraph elucidates some potential reasons to allow the reader to make a more informed assessment as to how multiple factors influence phytoplankton growth. Salinity is simply a rough measure for these drivers, as stated throughout.</w:t>
      </w:r>
    </w:p>
    <w:bookmarkEnd w:id="23"/>
    <w:bookmarkStart w:id="24" w:name="reviewer-2"/>
    <w:p>
      <w:pPr>
        <w:pStyle w:val="Heading3"/>
      </w:pPr>
      <w:r>
        <w:t xml:space="preserve">Reviewer #2:</w:t>
      </w:r>
    </w:p>
    <w:p>
      <w:pPr>
        <w:pStyle w:val="FirstParagraph"/>
      </w:pPr>
      <w:r>
        <w:t xml:space="preserve">The authors build a Generalized Additive Models (GAMs) to model chlorophyll-a as a function of time, salinity, nutrient load and their derivative to understand historical relationship as well as project future potential management actions that may be needed in Old Tampa Bay, Florida, USA.</w:t>
      </w:r>
    </w:p>
    <w:p>
      <w:pPr>
        <w:pStyle w:val="BodyText"/>
      </w:pPr>
      <w:r>
        <w:t xml:space="preserve">The paper has a clear objective, analysis and conclusion to support the findings. My main concern is the lack of Exploratory Data Analysis (EDA) to not only justify the model but provide readers with potential transferability contribution to other areas of the world. Even leaving out other variables that may explain chlorophyll-a, there was no justification as to the form of preselected variables. On Line 220- 222, the authors say,</w:t>
      </w:r>
      <w:r>
        <w:t xml:space="preserve"> </w:t>
      </w:r>
      <w:r>
        <w:t xml:space="preserve">“no efforts were made for carriable section since the same model structure for describing drivers and scenario testing between bay segments was desired (objective 2 and (3)”</w:t>
      </w:r>
      <w:r>
        <w:t xml:space="preserve">. There is an issue in this statement, because it implies that as long as one is interested in potential differences (between historical and some future time of a variable), how one came up with the model has less influence. In addition, the justification to say what is done is what is mentioned in the objective seems difficult reasoning to follow. Yes, it is important to address what is promised in the objective, but if the objective needs to be relaxed to put EDA in the work, I would suggest it should be.</w:t>
      </w:r>
    </w:p>
    <w:p>
      <w:pPr>
        <w:pStyle w:val="BodyText"/>
      </w:pPr>
      <w:r>
        <w:rPr>
          <w:i/>
          <w:iCs/>
        </w:rPr>
        <w:t xml:space="preserve">Thank you for these comments. In response to comments from the first reviewer, we have provided justification or further explanation for our decisions on which variables were chosen, including salinity rather than other chlorophyll-a drivers (i.e., temperature) and surface salinity rather than depth-averaged. We also provide justification for the Gamma distribution for model errors. Additional supplementary figures further provide better descriptions of the model output, specifically Figures S2 and S3, which show the effects plots for the individual and bivariate smoothers. These additions improve transparency of the model output to allow the reader to better contextualize the results.</w:t>
      </w:r>
    </w:p>
    <w:p>
      <w:pPr>
        <w:pStyle w:val="BodyText"/>
      </w:pPr>
      <w:r>
        <w:rPr>
          <w:i/>
          <w:iCs/>
        </w:rPr>
        <w:t xml:space="preserve">However, we agree that these additions do not directly address the reviewer’s concerns regarding EDA, variable selection, or model structure. The reviewer rightfully points out that we did not sufficiently justify the chosen form of the model. However, in the Introduction, we introduce nutrient loads and hydrodynamics as the two major forces influencing eutrophication in an estuary (Lines 70-88). Therefore, nitrogen and salinity were selected as proxies for these forces. In addition, our initial analyses did indeed evaluate different forms of the predictors, particularly in how loadings were evaluated (as lags or not) and if model fit could be improved by attempting to remove seasonality or the effects of one predictor within another (i.e., taking the residuals of a fit of loading against salinity to remove the effects of the latter from the former). We also evaluated if constraining the number of knots in the decimal time smoother allowed the variation in chlorophyll to be better explained by the other smoothers. The results of these exploratory analyses were included in supplemental tables. Model fit was not improved using different derivations of the input parameters and smoothing constraints. Our chosen model, therefore, represents the results of this initial exploratory analysis as described in section 2.2.</w:t>
      </w:r>
    </w:p>
    <w:p>
      <w:pPr>
        <w:pStyle w:val="BodyText"/>
      </w:pPr>
      <w:r>
        <w:rPr>
          <w:i/>
          <w:iCs/>
        </w:rPr>
        <w:t xml:space="preserve">What we did not evaluate in our initial exploratory analyses was whether including all variables and smoothers is appropriate. GAM methods in mgcv provide tools for doing so and we provide some new comparisons to further justify our model form. The same models were fit using the option</w:t>
      </w:r>
      <w:r>
        <w:rPr>
          <w:i/>
          <w:iCs/>
        </w:rPr>
        <w:t xml:space="preserve"> </w:t>
      </w:r>
      <w:r>
        <w:rPr>
          <w:rStyle w:val="VerbatimChar"/>
          <w:i/>
          <w:iCs/>
        </w:rPr>
        <w:t xml:space="preserve">select = T</w:t>
      </w:r>
      <w:r>
        <w:rPr>
          <w:i/>
          <w:iCs/>
        </w:rPr>
        <w:t xml:space="preserve">. From the</w:t>
      </w:r>
      <w:r>
        <w:rPr>
          <w:i/>
          <w:iCs/>
        </w:rPr>
        <w:t xml:space="preserve"> </w:t>
      </w:r>
      <w:r>
        <w:rPr>
          <w:rStyle w:val="VerbatimChar"/>
          <w:i/>
          <w:iCs/>
        </w:rPr>
        <w:t xml:space="preserve">gam()</w:t>
      </w:r>
      <w:r>
        <w:rPr>
          <w:i/>
          <w:iCs/>
        </w:rPr>
        <w:t xml:space="preserve"> </w:t>
      </w:r>
      <w:r>
        <w:rPr>
          <w:i/>
          <w:iCs/>
        </w:rPr>
        <w:t xml:space="preserve">function documentation:</w:t>
      </w:r>
      <w:r>
        <w:rPr>
          <w:i/>
          <w:iCs/>
        </w:rPr>
        <w:t xml:space="preserve"> </w:t>
      </w:r>
      <w:r>
        <w:rPr>
          <w:i/>
          <w:iCs/>
        </w:rPr>
        <w:t xml:space="preserve">“If this is TRUE then gam can add an extra penalty to each term so that it can be penalized to zero. This means that the smoothing parameter estimation that is part of fitting can completely remove terms from the model.”</w:t>
      </w:r>
      <w:r>
        <w:rPr>
          <w:i/>
          <w:iCs/>
        </w:rPr>
        <w:t xml:space="preserve"> </w:t>
      </w:r>
      <w:r>
        <w:rPr>
          <w:i/>
          <w:iCs/>
        </w:rPr>
        <w:t xml:space="preserve">This is similar to parameter selection and allows us to evaluate if the model can be improved by removing any of the smoothers. The results comparing the full model with those using</w:t>
      </w:r>
      <w:r>
        <w:rPr>
          <w:i/>
          <w:iCs/>
        </w:rPr>
        <w:t xml:space="preserve"> </w:t>
      </w:r>
      <w:r>
        <w:rPr>
          <w:rStyle w:val="VerbatimChar"/>
          <w:i/>
          <w:iCs/>
        </w:rPr>
        <w:t xml:space="preserve">select = T</w:t>
      </w:r>
      <w:r>
        <w:rPr>
          <w:i/>
          <w:iCs/>
        </w:rPr>
        <w:t xml:space="preserve"> </w:t>
      </w:r>
      <w:r>
        <w:rPr>
          <w:i/>
          <w:iCs/>
        </w:rPr>
        <w:t xml:space="preserve">are included in supplemental Table S1. The differences are minor when comparing the full models with those using select, with the largest delta AIC being less than 3. Functionally, our full models are nearly identical to those where parameter and smoother influences are allowed to be removed if they have negligible effects. Further, using</w:t>
      </w:r>
      <w:r>
        <w:rPr>
          <w:i/>
          <w:iCs/>
        </w:rPr>
        <w:t xml:space="preserve"> </w:t>
      </w:r>
      <w:r>
        <w:rPr>
          <w:rStyle w:val="VerbatimChar"/>
          <w:i/>
          <w:iCs/>
        </w:rPr>
        <w:t xml:space="preserve">method = "REML"</w:t>
      </w:r>
      <w:r>
        <w:rPr>
          <w:i/>
          <w:iCs/>
        </w:rPr>
        <w:t xml:space="preserve">, as in the original models, is also similar to variable selection by penalizing</w:t>
      </w:r>
      <w:r>
        <w:rPr>
          <w:i/>
          <w:iCs/>
        </w:rPr>
        <w:t xml:space="preserve"> </w:t>
      </w:r>
      <w:r>
        <w:rPr>
          <w:i/>
          <w:iCs/>
        </w:rPr>
        <w:t xml:space="preserve">“wiggliness”</w:t>
      </w:r>
      <w:r>
        <w:rPr>
          <w:i/>
          <w:iCs/>
        </w:rPr>
        <w:t xml:space="preserve"> </w:t>
      </w:r>
      <w:r>
        <w:rPr>
          <w:i/>
          <w:iCs/>
        </w:rPr>
        <w:t xml:space="preserve">or unnecessary terms, so we believe our existing approach and this new comparison supports use of our full models.</w:t>
      </w:r>
    </w:p>
    <w:p>
      <w:pPr>
        <w:pStyle w:val="BodyText"/>
      </w:pPr>
      <w:r>
        <w:rPr>
          <w:i/>
          <w:iCs/>
        </w:rPr>
        <w:t xml:space="preserve">The following was added to the methods to further justify the existing models:</w:t>
      </w:r>
    </w:p>
    <w:p>
      <w:pPr>
        <w:pStyle w:val="BodyText"/>
      </w:pPr>
      <w:r>
        <w:rPr>
          <w:i/>
          <w:iCs/>
        </w:rPr>
        <w:t xml:space="preserve">Lines 228-232:</w:t>
      </w:r>
      <w:r>
        <w:rPr>
          <w:i/>
          <w:iCs/>
        </w:rPr>
        <w:t xml:space="preserve"> </w:t>
      </w:r>
      <w:r>
        <w:rPr>
          <w:i/>
          <w:iCs/>
        </w:rPr>
        <w:t xml:space="preserve">“Model structure was evaluated using the select option from the mgcv R package</w:t>
      </w:r>
      <w:r>
        <w:rPr>
          <w:i/>
          <w:iCs/>
        </w:rPr>
        <w:t xml:space="preserve"> </w:t>
      </w:r>
      <w:r>
        <w:rPr>
          <w:i/>
          <w:iCs/>
        </w:rPr>
        <w:t xml:space="preserve">(Wood, 2017)</w:t>
      </w:r>
      <w:r>
        <w:rPr>
          <w:i/>
          <w:iCs/>
        </w:rPr>
        <w:t xml:space="preserve">, which allows the influence of individual smoothers to be removed by penalizing them to zero if they have negligible effects. Comparisons of the full models with those using the select option showed minimal differences</w:t>
      </w:r>
      <w:r>
        <w:rPr>
          <w:i/>
          <w:iCs/>
        </w:rPr>
        <w:t xml:space="preserve"> </w:t>
      </w:r>
      <w:r>
        <w:rPr>
          <w:i/>
          <w:iCs/>
        </w:rPr>
        <w:t xml:space="preserve">(Table S1, using differences in Akaike information criterion or AIC,</w:t>
      </w:r>
      <w:r>
        <w:rPr>
          <w:i/>
          <w:iCs/>
        </w:rPr>
        <w:t xml:space="preserve"> </w:t>
      </w:r>
      <m:oMath>
        <m:r>
          <m:t>Δ</m:t>
        </m:r>
      </m:oMath>
      <w:r>
        <w:rPr>
          <w:i/>
          <w:iCs/>
        </w:rPr>
        <w:t xml:space="preserve">AIC &lt; 3 for all models, Akaike, 1974)</w:t>
      </w:r>
      <w:r>
        <w:rPr>
          <w:i/>
          <w:iCs/>
        </w:rPr>
        <w:t xml:space="preserve"> </w:t>
      </w:r>
      <w:r>
        <w:rPr>
          <w:i/>
          <w:iCs/>
        </w:rPr>
        <w:t xml:space="preserve">and the full models are used throughout.”</w:t>
      </w:r>
    </w:p>
    <w:p>
      <w:pPr>
        <w:pStyle w:val="BodyText"/>
      </w:pPr>
      <w:r>
        <w:rPr>
          <w:i/>
          <w:iCs/>
        </w:rPr>
        <w:t xml:space="preserve">Additional description of the REML method was also included:</w:t>
      </w:r>
    </w:p>
    <w:p>
      <w:pPr>
        <w:pStyle w:val="BodyText"/>
      </w:pPr>
      <w:r>
        <w:rPr>
          <w:i/>
          <w:iCs/>
        </w:rPr>
        <w:t xml:space="preserve">Lines 250-253:</w:t>
      </w:r>
      <w:r>
        <w:rPr>
          <w:i/>
          <w:iCs/>
        </w:rPr>
        <w:t xml:space="preserve"> </w:t>
      </w:r>
      <w:r>
        <w:rPr>
          <w:i/>
          <w:iCs/>
        </w:rPr>
        <w:t xml:space="preserve">“Smoothing parameters were estimated using restricted maximum likelihood using the</w:t>
      </w:r>
      <w:r>
        <w:rPr>
          <w:i/>
          <w:iCs/>
        </w:rPr>
        <w:t xml:space="preserve"> </w:t>
      </w:r>
      <w:r>
        <w:rPr>
          <w:rStyle w:val="VerbatimChar"/>
          <w:i/>
          <w:iCs/>
        </w:rPr>
        <w:t xml:space="preserve">gam()</w:t>
      </w:r>
      <w:r>
        <w:rPr>
          <w:i/>
          <w:iCs/>
        </w:rPr>
        <w:t xml:space="preserve"> </w:t>
      </w:r>
      <w:r>
        <w:rPr>
          <w:i/>
          <w:iCs/>
        </w:rPr>
        <w:t xml:space="preserve">function from mgcv</w:t>
      </w:r>
      <w:r>
        <w:rPr>
          <w:i/>
          <w:iCs/>
        </w:rPr>
        <w:t xml:space="preserve"> </w:t>
      </w:r>
      <w:r>
        <w:rPr>
          <w:i/>
          <w:iCs/>
        </w:rPr>
        <w:t xml:space="preserve">(Wood, 2017)</w:t>
      </w:r>
      <w:r>
        <w:rPr>
          <w:i/>
          <w:iCs/>
        </w:rPr>
        <w:t xml:space="preserve">, which can further impose constraints by penalizing</w:t>
      </w:r>
      <w:r>
        <w:rPr>
          <w:i/>
          <w:iCs/>
        </w:rPr>
        <w:t xml:space="preserve"> </w:t>
      </w:r>
      <w:r>
        <w:rPr>
          <w:i/>
          <w:iCs/>
        </w:rPr>
        <w:t xml:space="preserve">‘wiggliness’</w:t>
      </w:r>
      <w:r>
        <w:rPr>
          <w:i/>
          <w:iCs/>
        </w:rPr>
        <w:t xml:space="preserve"> </w:t>
      </w:r>
      <w:r>
        <w:rPr>
          <w:i/>
          <w:iCs/>
        </w:rPr>
        <w:t xml:space="preserve">for smoothers that minimally influence the results</w:t>
      </w:r>
      <w:r>
        <w:rPr>
          <w:i/>
          <w:iCs/>
        </w:rPr>
        <w:t xml:space="preserve"> </w:t>
      </w:r>
      <w:r>
        <w:rPr>
          <w:i/>
          <w:iCs/>
        </w:rPr>
        <w:t xml:space="preserve">(Wood, 2011)</w:t>
      </w:r>
      <w:r>
        <w:rPr>
          <w:i/>
          <w:iCs/>
        </w:rPr>
        <w:t xml:space="preserve">.”</w:t>
      </w:r>
    </w:p>
    <w:p>
      <w:pPr>
        <w:pStyle w:val="BodyText"/>
      </w:pPr>
      <w:r>
        <w:t xml:space="preserve">Other minor comments are 1) Given the lack of documented EDA, I am not sure about the value of two-time variables. Both are basically taking care of seasonality. The same is true with interaction terms. What are the justifications for those terms? 2) Line 68 to 70 says</w:t>
      </w:r>
      <w:r>
        <w:t xml:space="preserve"> </w:t>
      </w:r>
      <w:r>
        <w:t xml:space="preserve">“This study is an explicit follow-up to Beck et al. (2024) by providing a quantitative assessment of the relative risk of exceeding regulatory standards under future climate change.”</w:t>
      </w:r>
      <w:r>
        <w:t xml:space="preserve"> </w:t>
      </w:r>
      <w:r>
        <w:t xml:space="preserve">I did not see any analysis support for this statement. Please include supporting material or remove it.</w:t>
      </w:r>
    </w:p>
    <w:p>
      <w:pPr>
        <w:pStyle w:val="BodyText"/>
      </w:pPr>
      <w:r>
        <w:rPr>
          <w:i/>
          <w:iCs/>
        </w:rPr>
        <w:t xml:space="preserve">For your first point, we believe the additional content described above on comparing the full models to those using the select option addresses this concern. Use of these two terms to describe time also has precedent in</w:t>
      </w:r>
      <w:r>
        <w:rPr>
          <w:i/>
          <w:iCs/>
        </w:rPr>
        <w:t xml:space="preserve"> </w:t>
      </w:r>
      <w:r>
        <w:rPr>
          <w:i/>
          <w:iCs/>
        </w:rPr>
        <w:t xml:space="preserve">Murphy et al. (2019)</w:t>
      </w:r>
      <w:r>
        <w:rPr>
          <w:i/>
          <w:iCs/>
        </w:rPr>
        <w:t xml:space="preserve"> </w:t>
      </w:r>
      <w:r>
        <w:rPr>
          <w:i/>
          <w:iCs/>
        </w:rPr>
        <w:t xml:space="preserve">(a citation was added to line 222 to make this connection). The interactions of the other parameters with the different time variables were also considered important given what we suspect about changing ecological baselines in Tampa Bay, e.g., loading effects may vary over time either through changes long-term or seasonally. The addition of Figure S3 helps visualize these modeled interactions.</w:t>
      </w:r>
    </w:p>
    <w:p>
      <w:pPr>
        <w:pStyle w:val="BodyText"/>
      </w:pPr>
      <w:r>
        <w:rPr>
          <w:i/>
          <w:iCs/>
        </w:rPr>
        <w:t xml:space="preserve">For your second point, we have removed the statement. Although this work was motivated by</w:t>
      </w:r>
      <w:r>
        <w:rPr>
          <w:i/>
          <w:iCs/>
        </w:rPr>
        <w:t xml:space="preserve"> </w:t>
      </w:r>
      <w:r>
        <w:rPr>
          <w:i/>
          <w:iCs/>
        </w:rPr>
        <w:t xml:space="preserve">Beck et al. (2024)</w:t>
      </w:r>
      <w:r>
        <w:rPr>
          <w:i/>
          <w:iCs/>
        </w:rPr>
        <w:t xml:space="preserve">, stating it as</w:t>
      </w:r>
      <w:r>
        <w:rPr>
          <w:i/>
          <w:iCs/>
        </w:rPr>
        <w:t xml:space="preserve"> </w:t>
      </w:r>
      <w:r>
        <w:rPr>
          <w:i/>
          <w:iCs/>
        </w:rPr>
        <w:t xml:space="preserve">“an explicit follow-up”</w:t>
      </w:r>
      <w:r>
        <w:rPr>
          <w:i/>
          <w:iCs/>
        </w:rPr>
        <w:t xml:space="preserve"> </w:t>
      </w:r>
      <w:r>
        <w:rPr>
          <w:i/>
          <w:iCs/>
        </w:rPr>
        <w:t xml:space="preserve">is a little heavy-handed. The sentence was simplified as</w:t>
      </w:r>
      <w:r>
        <w:rPr>
          <w:i/>
          <w:iCs/>
        </w:rPr>
        <w:t xml:space="preserve"> </w:t>
      </w:r>
      <w:r>
        <w:rPr>
          <w:i/>
          <w:iCs/>
        </w:rPr>
        <w:t xml:space="preserve">“This study provides a quantitative assessment of the relative risk of exceeding regulatory standards under future climate change”</w:t>
      </w:r>
      <w:r>
        <w:rPr>
          <w:i/>
          <w:iCs/>
        </w:rPr>
        <w:t xml:space="preserve"> </w:t>
      </w:r>
      <w:r>
        <w:rPr>
          <w:i/>
          <w:iCs/>
        </w:rPr>
        <w:t xml:space="preserve">(lines 68-69).</w:t>
      </w:r>
    </w:p>
    <w:p>
      <w:pPr>
        <w:pStyle w:val="BodyText"/>
      </w:pPr>
      <w:r>
        <w:t xml:space="preserve">Overall, this is a great study and could be improved by adding some form of EDA that readers can take away from this study.</w:t>
      </w:r>
    </w:p>
    <w:p>
      <w:pPr>
        <w:pStyle w:val="BodyText"/>
      </w:pPr>
      <w:r>
        <w:rPr>
          <w:i/>
          <w:iCs/>
        </w:rPr>
        <w:t xml:space="preserve">Thank you, we hope our revisions have addressed your comments.</w:t>
      </w:r>
    </w:p>
    <w:bookmarkEnd w:id="24"/>
    <w:bookmarkStart w:id="48" w:name="references"/>
    <w:p>
      <w:pPr>
        <w:pStyle w:val="Heading2"/>
      </w:pPr>
      <w:r>
        <w:t xml:space="preserve">References</w:t>
      </w:r>
    </w:p>
    <w:bookmarkStart w:id="47" w:name="refs"/>
    <w:bookmarkStart w:id="26" w:name="ref-akaike1974"/>
    <w:p>
      <w:pPr>
        <w:pStyle w:val="Bibliography"/>
      </w:pPr>
      <w:r>
        <w:t xml:space="preserve">Akaike, H. 1974. A new look at the statistical model identification.</w:t>
      </w:r>
      <w:r>
        <w:t xml:space="preserve"> </w:t>
      </w:r>
      <w:r>
        <w:rPr>
          <w:i/>
          <w:iCs/>
        </w:rPr>
        <w:t xml:space="preserve">IEEE</w:t>
      </w:r>
      <w:r>
        <w:rPr>
          <w:i/>
          <w:iCs/>
        </w:rPr>
        <w:t xml:space="preserve"> </w:t>
      </w:r>
      <w:r>
        <w:rPr>
          <w:i/>
          <w:iCs/>
        </w:rPr>
        <w:t xml:space="preserve">Transactions on Automatic Control</w:t>
      </w:r>
      <w:r>
        <w:t xml:space="preserve"> </w:t>
      </w:r>
      <w:r>
        <w:t xml:space="preserve">19. IEEE: 716–723.</w:t>
      </w:r>
      <w:r>
        <w:t xml:space="preserve"> </w:t>
      </w:r>
      <w:hyperlink r:id="rId25">
        <w:r>
          <w:rPr>
            <w:rStyle w:val="Hyperlink"/>
          </w:rPr>
          <w:t xml:space="preserve">https://doi.org/10.1109/TAC.1974.1100705</w:t>
        </w:r>
      </w:hyperlink>
      <w:r>
        <w:t xml:space="preserve">.</w:t>
      </w:r>
    </w:p>
    <w:bookmarkEnd w:id="26"/>
    <w:bookmarkStart w:id="28" w:name="ref-beck2024"/>
    <w:p>
      <w:pPr>
        <w:pStyle w:val="Bibliography"/>
      </w:pPr>
      <w:r>
        <w:t xml:space="preserve">Beck, M. W., K. Flaherty-Walia, S. Scolaro, M. C. Burke, B. T. Furman, D. J. Karlen, C. Pratt, C. J. Anastasiou, and E. T. Sherwood. 2024. Hot and fresh: Evidence of climate-related suboptimal water conditions for seagrass in a large</w:t>
      </w:r>
      <w:r>
        <w:t xml:space="preserve"> </w:t>
      </w:r>
      <w:r>
        <w:t xml:space="preserve">G</w:t>
      </w:r>
      <w:r>
        <w:t xml:space="preserve">ulf coast estuary.</w:t>
      </w:r>
      <w:r>
        <w:t xml:space="preserve"> </w:t>
      </w:r>
      <w:r>
        <w:rPr>
          <w:i/>
          <w:iCs/>
        </w:rPr>
        <w:t xml:space="preserve">Estuaries and Coasts</w:t>
      </w:r>
      <w:r>
        <w:t xml:space="preserve"> </w:t>
      </w:r>
      <w:r>
        <w:t xml:space="preserve">47. Springer: 1475–1497.</w:t>
      </w:r>
      <w:r>
        <w:t xml:space="preserve"> </w:t>
      </w:r>
      <w:hyperlink r:id="rId27">
        <w:r>
          <w:rPr>
            <w:rStyle w:val="Hyperlink"/>
          </w:rPr>
          <w:t xml:space="preserve">https://doi.org/10.1007/s12237-024-01385-0</w:t>
        </w:r>
      </w:hyperlink>
      <w:r>
        <w:t xml:space="preserve">.</w:t>
      </w:r>
    </w:p>
    <w:bookmarkEnd w:id="28"/>
    <w:bookmarkStart w:id="30" w:name="ref-beck2015"/>
    <w:p>
      <w:pPr>
        <w:pStyle w:val="Bibliography"/>
      </w:pPr>
      <w:r>
        <w:t xml:space="preserve">Beck, M. W., and J. D. Hagy. 2015. Adaptation of a weighted regression approach to evaluate water quality trends in an estuary.</w:t>
      </w:r>
      <w:r>
        <w:t xml:space="preserve"> </w:t>
      </w:r>
      <w:r>
        <w:rPr>
          <w:i/>
          <w:iCs/>
        </w:rPr>
        <w:t xml:space="preserve">Environmental Modeling &amp; Assessment</w:t>
      </w:r>
      <w:r>
        <w:t xml:space="preserve"> </w:t>
      </w:r>
      <w:r>
        <w:t xml:space="preserve">20. Springer: 637–655.</w:t>
      </w:r>
      <w:r>
        <w:t xml:space="preserve"> </w:t>
      </w:r>
      <w:hyperlink r:id="rId29">
        <w:r>
          <w:rPr>
            <w:rStyle w:val="Hyperlink"/>
          </w:rPr>
          <w:t xml:space="preserve">https://doi.org/10.1007/s10666-015-9452-8</w:t>
        </w:r>
      </w:hyperlink>
      <w:r>
        <w:t xml:space="preserve">.</w:t>
      </w:r>
    </w:p>
    <w:bookmarkEnd w:id="30"/>
    <w:bookmarkStart w:id="32" w:name="ref-chen2019"/>
    <w:p>
      <w:pPr>
        <w:pStyle w:val="Bibliography"/>
      </w:pPr>
      <w:r>
        <w:t xml:space="preserve">Chen, J., R. H. Weisberg, Y. Liu, L. Zheng, and J. Zhu. 2019. On the momentum balance of</w:t>
      </w:r>
      <w:r>
        <w:t xml:space="preserve"> </w:t>
      </w:r>
      <w:r>
        <w:t xml:space="preserve">T</w:t>
      </w:r>
      <w:r>
        <w:t xml:space="preserve">ampa</w:t>
      </w:r>
      <w:r>
        <w:t xml:space="preserve"> </w:t>
      </w:r>
      <w:r>
        <w:t xml:space="preserve">B</w:t>
      </w:r>
      <w:r>
        <w:t xml:space="preserve">ay.</w:t>
      </w:r>
      <w:r>
        <w:t xml:space="preserve"> </w:t>
      </w:r>
      <w:r>
        <w:rPr>
          <w:i/>
          <w:iCs/>
        </w:rPr>
        <w:t xml:space="preserve">Journal of Geophysical Research: Oceans</w:t>
      </w:r>
      <w:r>
        <w:t xml:space="preserve"> </w:t>
      </w:r>
      <w:r>
        <w:t xml:space="preserve">124: 4492–4510.</w:t>
      </w:r>
      <w:r>
        <w:t xml:space="preserve"> </w:t>
      </w:r>
      <w:hyperlink r:id="rId31">
        <w:r>
          <w:rPr>
            <w:rStyle w:val="Hyperlink"/>
          </w:rPr>
          <w:t xml:space="preserve">https://doi.org/10.1029/2018JC014890</w:t>
        </w:r>
      </w:hyperlink>
      <w:r>
        <w:t xml:space="preserve">.</w:t>
      </w:r>
    </w:p>
    <w:bookmarkEnd w:id="32"/>
    <w:bookmarkStart w:id="34" w:name="ref-hirsch2010"/>
    <w:p>
      <w:pPr>
        <w:pStyle w:val="Bibliography"/>
      </w:pPr>
      <w:r>
        <w:t xml:space="preserve">Hirsch, R. M., D. L. Moyer, and S. A. Archfield. 2010. Weighted regressions on time, discharge, and season (</w:t>
      </w:r>
      <w:r>
        <w:t xml:space="preserve">WRTDS</w:t>
      </w:r>
      <w:r>
        <w:t xml:space="preserve">), with an application to</w:t>
      </w:r>
      <w:r>
        <w:t xml:space="preserve"> </w:t>
      </w:r>
      <w:r>
        <w:t xml:space="preserve">C</w:t>
      </w:r>
      <w:r>
        <w:t xml:space="preserve">hesapeake</w:t>
      </w:r>
      <w:r>
        <w:t xml:space="preserve"> </w:t>
      </w:r>
      <w:r>
        <w:t xml:space="preserve">B</w:t>
      </w:r>
      <w:r>
        <w:t xml:space="preserve">ay river inputs 1.</w:t>
      </w:r>
      <w:r>
        <w:t xml:space="preserve"> </w:t>
      </w:r>
      <w:r>
        <w:rPr>
          <w:i/>
          <w:iCs/>
        </w:rPr>
        <w:t xml:space="preserve">JAWRA Journal of the American Water Resources Association</w:t>
      </w:r>
      <w:r>
        <w:t xml:space="preserve"> </w:t>
      </w:r>
      <w:r>
        <w:t xml:space="preserve">46. Wiley Online Library: 857–880.</w:t>
      </w:r>
      <w:r>
        <w:t xml:space="preserve"> </w:t>
      </w:r>
      <w:hyperlink r:id="rId33">
        <w:r>
          <w:rPr>
            <w:rStyle w:val="Hyperlink"/>
          </w:rPr>
          <w:t xml:space="preserve">https://doi.org/10.1111/j.1752-1688.2010.00482.x</w:t>
        </w:r>
      </w:hyperlink>
      <w:r>
        <w:t xml:space="preserve">.</w:t>
      </w:r>
    </w:p>
    <w:bookmarkEnd w:id="34"/>
    <w:bookmarkStart w:id="35" w:name="ref-janicki23"/>
    <w:p>
      <w:pPr>
        <w:pStyle w:val="Bibliography"/>
      </w:pPr>
      <w:r>
        <w:t xml:space="preserve">Janicki, A. J., J. R. Pribble, H. Zarbock, and D. Wade. 2023. A look back at long-term trends in nitrogen loading to</w:t>
      </w:r>
      <w:r>
        <w:t xml:space="preserve"> </w:t>
      </w:r>
      <w:r>
        <w:t xml:space="preserve">T</w:t>
      </w:r>
      <w:r>
        <w:t xml:space="preserve">ampa</w:t>
      </w:r>
      <w:r>
        <w:t xml:space="preserve"> </w:t>
      </w:r>
      <w:r>
        <w:t xml:space="preserve">B</w:t>
      </w:r>
      <w:r>
        <w:t xml:space="preserve">ay.</w:t>
      </w:r>
      <w:r>
        <w:t xml:space="preserve"> </w:t>
      </w:r>
      <w:r>
        <w:rPr>
          <w:i/>
          <w:iCs/>
        </w:rPr>
        <w:t xml:space="preserve">Florida Scientist</w:t>
      </w:r>
      <w:r>
        <w:t xml:space="preserve"> </w:t>
      </w:r>
      <w:r>
        <w:t xml:space="preserve">86: 255–263.</w:t>
      </w:r>
    </w:p>
    <w:bookmarkEnd w:id="35"/>
    <w:bookmarkStart w:id="37" w:name="ref-luther2022"/>
    <w:p>
      <w:pPr>
        <w:pStyle w:val="Bibliography"/>
      </w:pPr>
      <w:r>
        <w:t xml:space="preserve">Luther, M. E., and S. D. Meyers. 2022.</w:t>
      </w:r>
      <w:r>
        <w:t xml:space="preserve"> </w:t>
      </w:r>
      <w:hyperlink r:id="rId36">
        <w:r>
          <w:rPr>
            <w:rStyle w:val="Hyperlink"/>
            <w:i/>
            <w:iCs/>
          </w:rPr>
          <w:t xml:space="preserve">Designing a genetic algorithm for the selection of causeway cut-throughs in</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Planning and prototyping</w:t>
        </w:r>
      </w:hyperlink>
      <w:r>
        <w:t xml:space="preserve">. 08-22. St. Petersburg, Florida: Tampa Bay Estuary Program.</w:t>
      </w:r>
    </w:p>
    <w:bookmarkEnd w:id="37"/>
    <w:bookmarkStart w:id="39" w:name="ref-murphy19"/>
    <w:p>
      <w:pPr>
        <w:pStyle w:val="Bibliography"/>
      </w:pPr>
      <w:r>
        <w:t xml:space="preserve">Murphy, R. R., E. Perry, J. Harcum, and J. Keisman. 2019. A generalized additive model approach to evaluating water quality:</w:t>
      </w:r>
      <w:r>
        <w:t xml:space="preserve"> </w:t>
      </w:r>
      <w:r>
        <w:t xml:space="preserve">C</w:t>
      </w:r>
      <w:r>
        <w:t xml:space="preserve">hesapeake</w:t>
      </w:r>
      <w:r>
        <w:t xml:space="preserve"> </w:t>
      </w:r>
      <w:r>
        <w:t xml:space="preserve">B</w:t>
      </w:r>
      <w:r>
        <w:t xml:space="preserve">ay case study.</w:t>
      </w:r>
      <w:r>
        <w:t xml:space="preserve"> </w:t>
      </w:r>
      <w:r>
        <w:rPr>
          <w:i/>
          <w:iCs/>
        </w:rPr>
        <w:t xml:space="preserve">Environmental modelling &amp; software</w:t>
      </w:r>
      <w:r>
        <w:t xml:space="preserve"> </w:t>
      </w:r>
      <w:r>
        <w:t xml:space="preserve">118. Elsevier: 1–13.</w:t>
      </w:r>
      <w:r>
        <w:t xml:space="preserve"> </w:t>
      </w:r>
      <w:hyperlink r:id="rId38">
        <w:r>
          <w:rPr>
            <w:rStyle w:val="Hyperlink"/>
          </w:rPr>
          <w:t xml:space="preserve">https://doi.org/10.1016/j.envsoft.2019.03.027</w:t>
        </w:r>
      </w:hyperlink>
      <w:r>
        <w:t xml:space="preserve">.</w:t>
      </w:r>
    </w:p>
    <w:bookmarkEnd w:id="39"/>
    <w:bookmarkStart w:id="41" w:name="ref-sherwood2015"/>
    <w:p>
      <w:pPr>
        <w:pStyle w:val="Bibliography"/>
      </w:pPr>
      <w:r>
        <w:t xml:space="preserve">Sherwood, E. T., H. S. Greening, L. Garcia, K. Kaufman, A. J. Janicki, R. Pribble, B. Cunningham, et al. 2015.</w:t>
      </w:r>
      <w:r>
        <w:t xml:space="preserve"> </w:t>
      </w:r>
      <w:hyperlink r:id="rId40">
        <w:r>
          <w:rPr>
            <w:rStyle w:val="Hyperlink"/>
            <w:i/>
            <w:iCs/>
          </w:rPr>
          <w:t xml:space="preserve">Development of an integrated ecosystem model to determine effectiveness of potential watershed management projects on improving</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10-15. St. Petersburg, Florida: Tampa Bay Estuary Program.</w:t>
      </w:r>
    </w:p>
    <w:bookmarkEnd w:id="41"/>
    <w:bookmarkStart w:id="43" w:name="ref-wood11"/>
    <w:p>
      <w:pPr>
        <w:pStyle w:val="Bibliography"/>
      </w:pPr>
      <w:r>
        <w:t xml:space="preserve">Wood, S. N. 2011. Fast stable restricted maximum likelihood and marginal likelihood estimation of semiparametric generalized linear models.</w:t>
      </w:r>
      <w:r>
        <w:t xml:space="preserve"> </w:t>
      </w:r>
      <w:r>
        <w:rPr>
          <w:i/>
          <w:iCs/>
        </w:rPr>
        <w:t xml:space="preserve">Journal of the Royal Statistical Society (B)</w:t>
      </w:r>
      <w:r>
        <w:t xml:space="preserve"> </w:t>
      </w:r>
      <w:r>
        <w:t xml:space="preserve">73: 3–36.</w:t>
      </w:r>
      <w:r>
        <w:t xml:space="preserve"> </w:t>
      </w:r>
      <w:hyperlink r:id="rId42">
        <w:r>
          <w:rPr>
            <w:rStyle w:val="Hyperlink"/>
          </w:rPr>
          <w:t xml:space="preserve">https://doi.org/10.1111/j.1467-9868.2010.00749.x</w:t>
        </w:r>
      </w:hyperlink>
      <w:r>
        <w:t xml:space="preserve">.</w:t>
      </w:r>
    </w:p>
    <w:bookmarkEnd w:id="43"/>
    <w:bookmarkStart w:id="44" w:name="ref-wood17"/>
    <w:p>
      <w:pPr>
        <w:pStyle w:val="Bibliography"/>
      </w:pPr>
      <w:r>
        <w:t xml:space="preserve">Wood, S. N. 2017.</w:t>
      </w:r>
      <w:r>
        <w:t xml:space="preserve"> </w:t>
      </w:r>
      <w:r>
        <w:rPr>
          <w:i/>
          <w:iCs/>
        </w:rPr>
        <w:t xml:space="preserve">Generalized</w:t>
      </w:r>
      <w:r>
        <w:rPr>
          <w:i/>
          <w:iCs/>
        </w:rPr>
        <w:t xml:space="preserve"> </w:t>
      </w:r>
      <w:r>
        <w:rPr>
          <w:i/>
          <w:iCs/>
        </w:rPr>
        <w:t xml:space="preserve">A</w:t>
      </w:r>
      <w:r>
        <w:rPr>
          <w:i/>
          <w:iCs/>
        </w:rPr>
        <w:t xml:space="preserve">dditive</w:t>
      </w:r>
      <w:r>
        <w:rPr>
          <w:i/>
          <w:iCs/>
        </w:rPr>
        <w:t xml:space="preserve"> </w:t>
      </w:r>
      <w:r>
        <w:rPr>
          <w:i/>
          <w:iCs/>
        </w:rPr>
        <w:t xml:space="preserve">M</w:t>
      </w:r>
      <w:r>
        <w:rPr>
          <w:i/>
          <w:iCs/>
        </w:rPr>
        <w:t xml:space="preserve">odels: An introduction with</w:t>
      </w:r>
      <w:r>
        <w:rPr>
          <w:i/>
          <w:iCs/>
        </w:rPr>
        <w:t xml:space="preserve"> </w:t>
      </w:r>
      <w:r>
        <w:rPr>
          <w:i/>
          <w:iCs/>
        </w:rPr>
        <w:t xml:space="preserve">R</w:t>
      </w:r>
      <w:r>
        <w:t xml:space="preserve">. 2nd ed. Chapman; Hall/CRC.</w:t>
      </w:r>
    </w:p>
    <w:bookmarkEnd w:id="44"/>
    <w:bookmarkStart w:id="46" w:name="ref-tbep0494"/>
    <w:p>
      <w:pPr>
        <w:pStyle w:val="Bibliography"/>
      </w:pPr>
      <w:r>
        <w:t xml:space="preserve">Zarbock, H. W., A. J. Janicki, D. L. Wade, and D. G. Heimbuch. 1994.</w:t>
      </w:r>
      <w:r>
        <w:t xml:space="preserve"> </w:t>
      </w:r>
      <w:hyperlink r:id="rId45">
        <w:r>
          <w:rPr>
            <w:rStyle w:val="Hyperlink"/>
            <w:i/>
            <w:iCs/>
          </w:rPr>
          <w:t xml:space="preserve">Estimates of total nitrogen, total phosphorus, and total suspended solids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hyperlink>
      <w:r>
        <w:t xml:space="preserve">. Technical report 04-94. St. Petersburg, Florida: Tampa Bay Estuary Program.</w:t>
      </w:r>
    </w:p>
    <w:bookmarkEnd w:id="46"/>
    <w:bookmarkEnd w:id="47"/>
    <w:bookmarkEnd w:id="48"/>
    <w:sectPr w:rsidR="00537D25" w:rsidRPr="00D40009" w:rsidSect="00BF16EC">
      <w:footerReference r:id="rId9" w:type="default"/>
      <w:pgSz w:h="15840" w:w="12240"/>
      <w:pgMar w:bottom="1440" w:footer="720" w:gutter="0" w:header="720" w:left="1440" w:right="1440" w:top="144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EA184E00"/>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D40C8C6E"/>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DDCC6FEE"/>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ACA85E36"/>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EB244DD0"/>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716154767" w:numId="1">
    <w:abstractNumId w:val="1"/>
  </w:num>
  <w:num w16cid:durableId="734427407" w:numId="2">
    <w:abstractNumId w:val="0"/>
  </w:num>
  <w:num w16cid:durableId="573782877" w:numId="3">
    <w:abstractNumId w:val="11"/>
  </w:num>
  <w:num w16cid:durableId="1928533377" w:numId="4">
    <w:abstractNumId w:val="9"/>
  </w:num>
  <w:num w16cid:durableId="941301551" w:numId="5">
    <w:abstractNumId w:val="8"/>
  </w:num>
  <w:num w16cid:durableId="184952932" w:numId="6">
    <w:abstractNumId w:val="7"/>
  </w:num>
  <w:num w16cid:durableId="958487772" w:numId="7">
    <w:abstractNumId w:val="6"/>
  </w:num>
  <w:num w16cid:durableId="95753852" w:numId="8">
    <w:abstractNumId w:val="10"/>
  </w:num>
  <w:num w16cid:durableId="1849518749" w:numId="9">
    <w:abstractNumId w:val="5"/>
  </w:num>
  <w:num w16cid:durableId="1637177958" w:numId="10">
    <w:abstractNumId w:val="4"/>
  </w:num>
  <w:num w16cid:durableId="1650477053" w:numId="11">
    <w:abstractNumId w:val="3"/>
  </w:num>
  <w:num w16cid:durableId="2134715495" w:numId="12">
    <w:abstractNumId w:val="2"/>
  </w:num>
  <w:num w16cid:durableId="404647980" w:numId="13">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3C73CD"/>
    <w:rsid w:val="00473C8F"/>
    <w:rsid w:val="004A1A0C"/>
    <w:rsid w:val="004E29B3"/>
    <w:rsid w:val="005135B9"/>
    <w:rsid w:val="00537D25"/>
    <w:rsid w:val="00590D07"/>
    <w:rsid w:val="00612AF7"/>
    <w:rsid w:val="006E0FFF"/>
    <w:rsid w:val="0073059C"/>
    <w:rsid w:val="007747C2"/>
    <w:rsid w:val="00784D58"/>
    <w:rsid w:val="008D6863"/>
    <w:rsid w:val="008E7A52"/>
    <w:rsid w:val="009A4565"/>
    <w:rsid w:val="00B4354F"/>
    <w:rsid w:val="00B86B75"/>
    <w:rsid w:val="00BA6E48"/>
    <w:rsid w:val="00BC48D5"/>
    <w:rsid w:val="00BD3235"/>
    <w:rsid w:val="00BF16EC"/>
    <w:rsid w:val="00C06FC4"/>
    <w:rsid w:val="00C242C7"/>
    <w:rsid w:val="00C36279"/>
    <w:rsid w:val="00C80801"/>
    <w:rsid w:val="00D40009"/>
    <w:rsid w:val="00DB2749"/>
    <w:rsid w:val="00E315A3"/>
    <w:rsid w:val="00E43A98"/>
    <w:rsid w:val="00F9205D"/>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5135B9"/>
    <w:pPr>
      <w:keepNext/>
      <w:keepLines/>
      <w:spacing w:before="20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D40009"/>
    <w:pPr>
      <w:keepNext/>
      <w:keepLines/>
      <w:spacing w:after="0"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F9205D"/>
    <w:pPr>
      <w:spacing w:after="180" w:before="180"/>
    </w:pPr>
  </w:style>
  <w:style w:customStyle="1" w:styleId="FirstParagraph" w:type="paragraph">
    <w:name w:val="First Paragraph"/>
    <w:basedOn w:val="BodyText"/>
    <w:next w:val="BodyText"/>
    <w:qFormat/>
    <w:rsid w:val="00F9205D"/>
  </w:style>
  <w:style w:customStyle="1" w:styleId="Compact" w:type="paragraph">
    <w:name w:val="Compact"/>
    <w:basedOn w:val="BodyText"/>
    <w:qFormat/>
    <w:pPr>
      <w:spacing w:after="36" w:before="36"/>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F9205D"/>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0" Target="media/rId20.png" /><Relationship Type="http://schemas.openxmlformats.org/officeDocument/2006/relationships/hyperlink" Id="rId29" Target="https://doi.org/10.1007/s10666-015-9452-8" TargetMode="External" /><Relationship Type="http://schemas.openxmlformats.org/officeDocument/2006/relationships/hyperlink" Id="rId27" Target="https://doi.org/10.1007/s12237-024-01385-0" TargetMode="External" /><Relationship Type="http://schemas.openxmlformats.org/officeDocument/2006/relationships/hyperlink" Id="rId38" Target="https://doi.org/10.1016/j.envsoft.2019.03.027" TargetMode="External" /><Relationship Type="http://schemas.openxmlformats.org/officeDocument/2006/relationships/hyperlink" Id="rId31" Target="https://doi.org/10.1029/2018JC014890" TargetMode="External" /><Relationship Type="http://schemas.openxmlformats.org/officeDocument/2006/relationships/hyperlink" Id="rId25" Target="https://doi.org/10.1109/TAC.1974.1100705" TargetMode="External" /><Relationship Type="http://schemas.openxmlformats.org/officeDocument/2006/relationships/hyperlink" Id="rId42" Target="https://doi.org/10.1111/j.1467-9868.2010.00749.x" TargetMode="External" /><Relationship Type="http://schemas.openxmlformats.org/officeDocument/2006/relationships/hyperlink" Id="rId33" Target="https://doi.org/10.1111/j.1752-1688.2010.00482.x" TargetMode="External" /><Relationship Type="http://schemas.openxmlformats.org/officeDocument/2006/relationships/hyperlink" Id="rId36" Target="https://drive.google.com/file/d/1-1Jq9vly5EvVwEp698brlBucXjSMDbNn/view?usp=sharing" TargetMode="External" /><Relationship Type="http://schemas.openxmlformats.org/officeDocument/2006/relationships/hyperlink" Id="rId40" Target="https://drive.google.com/file/d/1BCviGfLykVX-p1tA3b0306deP3pKMagr/view?usp=drivesdk" TargetMode="External" /><Relationship Type="http://schemas.openxmlformats.org/officeDocument/2006/relationships/hyperlink" Id="rId45" Target="https://drive.google.com/file/d/1vNl3kvRmxQ7VW-2VYbykB__e_ESGSoVz/view?usp=drivesdk" TargetMode="External" /></Relationships>
</file>

<file path=word/_rels/footnotes.xml.rels><?xml version="1.0" encoding="UTF-8"?><Relationships xmlns="http://schemas.openxmlformats.org/package/2006/relationships"><Relationship Type="http://schemas.openxmlformats.org/officeDocument/2006/relationships/hyperlink" Id="rId29" Target="https://doi.org/10.1007/s10666-015-9452-8" TargetMode="External" /><Relationship Type="http://schemas.openxmlformats.org/officeDocument/2006/relationships/hyperlink" Id="rId27" Target="https://doi.org/10.1007/s12237-024-01385-0" TargetMode="External" /><Relationship Type="http://schemas.openxmlformats.org/officeDocument/2006/relationships/hyperlink" Id="rId38" Target="https://doi.org/10.1016/j.envsoft.2019.03.027" TargetMode="External" /><Relationship Type="http://schemas.openxmlformats.org/officeDocument/2006/relationships/hyperlink" Id="rId31" Target="https://doi.org/10.1029/2018JC014890" TargetMode="External" /><Relationship Type="http://schemas.openxmlformats.org/officeDocument/2006/relationships/hyperlink" Id="rId25" Target="https://doi.org/10.1109/TAC.1974.1100705" TargetMode="External" /><Relationship Type="http://schemas.openxmlformats.org/officeDocument/2006/relationships/hyperlink" Id="rId42" Target="https://doi.org/10.1111/j.1467-9868.2010.00749.x" TargetMode="External" /><Relationship Type="http://schemas.openxmlformats.org/officeDocument/2006/relationships/hyperlink" Id="rId33" Target="https://doi.org/10.1111/j.1752-1688.2010.00482.x" TargetMode="External" /><Relationship Type="http://schemas.openxmlformats.org/officeDocument/2006/relationships/hyperlink" Id="rId36" Target="https://drive.google.com/file/d/1-1Jq9vly5EvVwEp698brlBucXjSMDbNn/view?usp=sharing" TargetMode="External" /><Relationship Type="http://schemas.openxmlformats.org/officeDocument/2006/relationships/hyperlink" Id="rId40" Target="https://drive.google.com/file/d/1BCviGfLykVX-p1tA3b0306deP3pKMagr/view?usp=drivesdk" TargetMode="External" /><Relationship Type="http://schemas.openxmlformats.org/officeDocument/2006/relationships/hyperlink" Id="rId45" Target="https://drive.google.com/file/d/1vNl3kvRmxQ7VW-2VYbykB__e_ESGSoVz/view?usp=drivesd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29</TotalTime>
  <Pages>1</Pages>
  <Words>138</Words>
  <Characters>788</Characters>
  <Application>Microsoft Office Word</Application>
  <DocSecurity>0</DocSecurity>
  <Lines>6</Lines>
  <Paragraphs>1</Paragraphs>
  <ScaleCrop>false</ScaleCrop>
  <Company/>
  <LinksUpToDate>false</LinksUpToDate>
  <CharactersWithSpaces>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2026-06-26T19:23:08Z</dcterms:created>
  <dcterms:modified xsi:type="dcterms:W3CDTF">2026-06-26T19:23:08Z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../refs.bib</vt:lpwstr>
  </property>
  <property fmtid="{D5CDD505-2E9C-101B-9397-08002B2CF9AE}" pid="4" name="csl">
    <vt:lpwstr>../estuaries-and-coasts.csl</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