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evalauted using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0.61,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4</w:t>
        </w:r>
      </w:hyperlink>
      <w:r>
        <w:t xml:space="preserv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4</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alvload">
        <w:r>
          <w:rPr>
            <w:rStyle w:val="Hyperlink"/>
          </w:rPr>
          <w:t xml:space="preserve">Figure 4</w:t>
        </w:r>
      </w:hyperlink>
      <w:r>
        <w:t xml:space="preserve">b, substantial inter-annual variability was shown for some years (</w:t>
      </w:r>
      <w:hyperlink w:anchor="fig-salvload">
        <w:r>
          <w:rPr>
            <w:rStyle w:val="Hyperlink"/>
          </w:rPr>
          <w:t xml:space="preserve">Figure 4</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a). The left column in</w:t>
      </w:r>
      <w:r>
        <w:t xml:space="preserve"> </w:t>
      </w:r>
      <w:hyperlink w:anchor="fig-simplo">
        <w:r>
          <w:rPr>
            <w:rStyle w:val="Hyperlink"/>
          </w:rPr>
          <w:t xml:space="preserve">Figure 5</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5</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w:t>
      </w:r>
      <w:r>
        <w:t xml:space="preserve"> </w:t>
      </w:r>
      <w:hyperlink w:anchor="fig-salvload">
        <w:r>
          <w:rPr>
            <w:rStyle w:val="Hyperlink"/>
          </w:rPr>
          <w:t xml:space="preserve">Figure 4</w:t>
        </w:r>
      </w:hyperlink>
      <w:r>
        <w:t xml:space="preserve">. From a statistical perspective, loading and salinity are correlated but not so excessive as to prevent both from being used as unique predictors in the models (variance inflations factors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 Lower salinity not only suggests greater freshwater inputs, but is also likely associated with higher residence time with reduced fushing and tidal exchange. Such periods of time could be visually interpreted from</w:t>
      </w:r>
      <w:r>
        <w:t xml:space="preserve"> </w:t>
      </w:r>
      <w:hyperlink w:anchor="fig-prdnrm">
        <w:r>
          <w:rPr>
            <w:rStyle w:val="Hyperlink"/>
          </w:rPr>
          <w:t xml:space="preserve">Figure 3</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 although most of the existing applications have focused on trend description (e.g., how has chlorophyll-a changed?) and not describing changing causal mechanisms (e.g., why has chlorophyll-a changed?). GAMs have had far less applications in the latter context for long-term monitoring data.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 While mechanistic models will continue to serve an important role in this capacity, simple quantitative approaches provided by GAMs are more easily adapted to support management. GAM structures are easily modified and easily interrogated for scenario assessment.</w:t>
      </w:r>
    </w:p>
    <w:p>
      <w:pPr>
        <w:pStyle w:val="BodyText"/>
      </w:pPr>
      <w:r>
        <w:t xml:space="preserve">Moreover, GAMs offer unique opportunities for data visualization to support resource management. For example,</w:t>
      </w:r>
      <w:r>
        <w:t xml:space="preserve"> </w:t>
      </w:r>
      <w:hyperlink w:anchor="fig-gridplo">
        <w:r>
          <w:rPr>
            <w:rStyle w:val="Hyperlink"/>
          </w:rPr>
          <w:t xml:space="preserve">Figure 6</w:t>
        </w:r>
      </w:hyperlink>
      <w:r>
        <w:t xml:space="preserve"> </w:t>
      </w:r>
      <w:r>
        <w:t xml:space="preserve">provides a clear depiction of the model results that helps develop an understanding of how chlorophyll has changed on annual and seasonal periods under different salinity regimes. For added context, regulatory thresholds can also be shown on these plots to identify periods of time and conditions when criteria are likely to be exceeded. For example, chlorophll exceedances in OTB are most common during the summer under more oligohaline conditions. Seasonally, exceedances have also been more infrequent in HB in the late summer/early fall, particularly in recent years in October when salinity has been lower. Although regulatory compliance is based on annual chlorophyll averages, these visualizations can aid resource managers in identifying periods of time and conditions when water quality may be most vulnerable to additional loading. Most resource managers lack sufficient quantative tools and visualization methods to aid in understanding how external factors could affect the likelihood of exceeding regulatory thresholds. These tools can help support proactive management interventions when future conditions are expected to increase the chance of being out of compliance.</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 revisit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 Evaluating other water quality factors that attenuate light may also be important, such as color and turbidity.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 (e.g., seagrass growth and mortality), but will also alter physiological response of phytoplankton and nutrient cycling rates.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prd"/>
          <w:p>
            <w:pPr>
              <w:pStyle w:val="Compact"/>
              <w:jc w:val="center"/>
            </w:pPr>
            <w:r>
              <w:drawing>
                <wp:inline>
                  <wp:extent cx="5943600" cy="6686549"/>
                  <wp:effectExtent b="0" l="0" r="0" t="0"/>
                  <wp:docPr descr="" title="" id="38" name="Picture"/>
                  <a:graphic>
                    <a:graphicData uri="http://schemas.openxmlformats.org/drawingml/2006/picture">
                      <pic:pic>
                        <pic:nvPicPr>
                          <pic:cNvPr descr="figs/obsprd.png" id="39" name="Picture"/>
                          <pic:cNvPicPr>
                            <a:picLocks noChangeArrowheads="1" noChangeAspect="1"/>
                          </pic:cNvPicPr>
                        </pic:nvPicPr>
                        <pic:blipFill>
                          <a:blip r:embed="rId37"/>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prdnrm"/>
          <w:p>
            <w:pPr>
              <w:pStyle w:val="Compact"/>
              <w:jc w:val="center"/>
            </w:pPr>
            <w:r>
              <w:drawing>
                <wp:inline>
                  <wp:extent cx="5943600" cy="4245428"/>
                  <wp:effectExtent b="0" l="0" r="0" t="0"/>
                  <wp:docPr descr="" title="" id="42" name="Picture"/>
                  <a:graphic>
                    <a:graphicData uri="http://schemas.openxmlformats.org/drawingml/2006/picture">
                      <pic:pic>
                        <pic:nvPicPr>
                          <pic:cNvPr descr="figs/prdnrm.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alvload"/>
          <w:p>
            <w:pPr>
              <w:pStyle w:val="Compact"/>
              <w:jc w:val="center"/>
            </w:pPr>
            <w:r>
              <w:drawing>
                <wp:inline>
                  <wp:extent cx="5943600" cy="7528559"/>
                  <wp:effectExtent b="0" l="0" r="0" t="0"/>
                  <wp:docPr descr="" title="" id="46" name="Picture"/>
                  <a:graphic>
                    <a:graphicData uri="http://schemas.openxmlformats.org/drawingml/2006/picture">
                      <pic:pic>
                        <pic:nvPicPr>
                          <pic:cNvPr descr="figs/salvload.png" id="47" name="Picture"/>
                          <pic:cNvPicPr>
                            <a:picLocks noChangeArrowheads="1" noChangeAspect="1"/>
                          </pic:cNvPicPr>
                        </pic:nvPicPr>
                        <pic:blipFill>
                          <a:blip r:embed="rId45"/>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4: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plo"/>
          <w:p>
            <w:pPr>
              <w:pStyle w:val="Compact"/>
              <w:jc w:val="center"/>
            </w:pPr>
            <w:r>
              <w:drawing>
                <wp:inline>
                  <wp:extent cx="5943600" cy="5943600"/>
                  <wp:effectExtent b="0" l="0" r="0" t="0"/>
                  <wp:docPr descr="" title="" id="50" name="Picture"/>
                  <a:graphic>
                    <a:graphicData uri="http://schemas.openxmlformats.org/drawingml/2006/picture">
                      <pic:pic>
                        <pic:nvPicPr>
                          <pic:cNvPr descr="figs/simplo.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gridplo"/>
          <w:p>
            <w:pPr>
              <w:pStyle w:val="Compact"/>
              <w:jc w:val="center"/>
            </w:pPr>
            <w:r>
              <w:drawing>
                <wp:inline>
                  <wp:extent cx="5943600" cy="4754880"/>
                  <wp:effectExtent b="0" l="0" r="0" t="0"/>
                  <wp:docPr descr="" title="" id="54" name="Picture"/>
                  <a:graphic>
                    <a:graphicData uri="http://schemas.openxmlformats.org/drawingml/2006/picture">
                      <pic:pic>
                        <pic:nvPicPr>
                          <pic:cNvPr descr="figs/gridplo.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to the seasonal minimum and maximum observed across years for the month. Grey lines show the chlorophyll contour value for the regulatory threshold for each bay segment. OTB: Old Tampa Bay; HB: Hillsborough Bay; MTB: Middle Tampa Bay; LTB: Lower Tampa Bay.</w:t>
            </w:r>
          </w:p>
          <w:bookmarkEnd w:id="56"/>
        </w:tc>
      </w:tr>
    </w:tbl>
    <w:p>
      <w:r>
        <w:br w:type="page"/>
      </w:r>
    </w:p>
    <w:bookmarkEnd w:id="57"/>
    <w:bookmarkStart w:id="6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8"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71"/>
              <w:gridCol w:w="117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↑19.9)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 ↑13.8)</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↑1.7)</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↑3.5)</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↑0.6)</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↑0.5)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↑1.5)</w:t>
                  </w:r>
                </w:p>
              </w:tc>
            </w:tr>
          </w:tbl>
          <w:bookmarkEnd w:id="61"/>
        </w:tc>
      </w:tr>
    </w:tbl>
    <w:p>
      <w:r>
        <w:br w:type="page"/>
      </w:r>
    </w:p>
    <w:bookmarkEnd w:id="62"/>
    <w:bookmarkStart w:id="6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3">
        <w:r>
          <w:rPr>
            <w:rStyle w:val="Hyperlink"/>
          </w:rPr>
          <w:t xml:space="preserve">https://github.com/tbep-tech/chlhydro-manu</w:t>
        </w:r>
      </w:hyperlink>
      <w:r>
        <w:t xml:space="preserve">.</w:t>
      </w:r>
    </w:p>
    <w:bookmarkEnd w:id="64"/>
    <w:bookmarkStart w:id="6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5"/>
    <w:bookmarkStart w:id="69" w:name="statements-and-declarations"/>
    <w:p>
      <w:pPr>
        <w:pStyle w:val="Heading2"/>
      </w:pPr>
      <w:r>
        <w:t xml:space="preserve">Statements and Declarations</w:t>
      </w:r>
    </w:p>
    <w:bookmarkStart w:id="6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6"/>
    <w:bookmarkStart w:id="6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7"/>
    <w:bookmarkStart w:id="6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8"/>
    <w:bookmarkEnd w:id="69"/>
    <w:bookmarkStart w:id="110" w:name="references"/>
    <w:p>
      <w:pPr>
        <w:pStyle w:val="Heading2"/>
      </w:pPr>
      <w:r>
        <w:t xml:space="preserve">References</w:t>
      </w:r>
    </w:p>
    <w:bookmarkStart w:id="109" w:name="refs"/>
    <w:bookmarkStart w:id="7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0">
        <w:r>
          <w:rPr>
            <w:rStyle w:val="Hyperlink"/>
          </w:rPr>
          <w:t xml:space="preserve">https://doi.org/10.1007/s12237-024-01385-0</w:t>
        </w:r>
      </w:hyperlink>
      <w:r>
        <w:t xml:space="preserve">.</w:t>
      </w:r>
    </w:p>
    <w:bookmarkEnd w:id="71"/>
    <w:bookmarkStart w:id="7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2">
        <w:r>
          <w:rPr>
            <w:rStyle w:val="Hyperlink"/>
          </w:rPr>
          <w:t xml:space="preserve">https://doi.org/10.1111/1752-1688.12489</w:t>
        </w:r>
      </w:hyperlink>
      <w:r>
        <w:t xml:space="preserve">.</w:t>
      </w:r>
    </w:p>
    <w:bookmarkEnd w:id="73"/>
    <w:bookmarkStart w:id="74"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4"/>
    <w:bookmarkStart w:id="75"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75"/>
    <w:bookmarkStart w:id="76"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6"/>
    <w:bookmarkStart w:id="78" w:name="ref-tbep0696"/>
    <w:p>
      <w:pPr>
        <w:pStyle w:val="Bibliography"/>
      </w:pPr>
      <w:r>
        <w:t xml:space="preserve">Janicki, A. J., and D. L. Wade. 1996.</w:t>
      </w:r>
      <w:r>
        <w:t xml:space="preserve"> </w:t>
      </w:r>
      <w:hyperlink r:id="rId77">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78"/>
    <w:bookmarkStart w:id="80" w:name="ref-tbep0400"/>
    <w:p>
      <w:pPr>
        <w:pStyle w:val="Bibliography"/>
      </w:pPr>
      <w:r>
        <w:t xml:space="preserve">Janicki, A. J., D. L. Wade, and J. R. Pribble. 2000.</w:t>
      </w:r>
      <w:r>
        <w:t xml:space="preserve"> </w:t>
      </w:r>
      <w:hyperlink r:id="rId79">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80"/>
    <w:bookmarkStart w:id="82" w:name="ref-tbep1115"/>
    <w:p>
      <w:pPr>
        <w:pStyle w:val="Bibliography"/>
      </w:pPr>
      <w:r>
        <w:t xml:space="preserve">Janicki Environmental, Inc. 2015.</w:t>
      </w:r>
      <w:r>
        <w:t xml:space="preserve"> </w:t>
      </w:r>
      <w:hyperlink r:id="rId81">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2"/>
    <w:bookmarkStart w:id="84" w:name="ref-tbep0623"/>
    <w:p>
      <w:pPr>
        <w:pStyle w:val="Bibliography"/>
      </w:pPr>
      <w:r>
        <w:t xml:space="preserve">Janicki Environmental, Inc. 2023.</w:t>
      </w:r>
      <w:r>
        <w:t xml:space="preserve"> </w:t>
      </w:r>
      <w:hyperlink r:id="rId83">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4"/>
    <w:bookmarkStart w:id="86" w:name="ref-luther2022"/>
    <w:p>
      <w:pPr>
        <w:pStyle w:val="Bibliography"/>
      </w:pPr>
      <w:r>
        <w:t xml:space="preserve">Luther, M. E., and S. D. Meyers. 2022.</w:t>
      </w:r>
      <w:r>
        <w:t xml:space="preserve"> </w:t>
      </w:r>
      <w:hyperlink r:id="rId85">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6"/>
    <w:bookmarkStart w:id="8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7"/>
    <w:bookmarkStart w:id="89"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8">
        <w:r>
          <w:rPr>
            <w:rStyle w:val="Hyperlink"/>
          </w:rPr>
          <w:t xml:space="preserve">https://doi.org/10.1016/j.envsoft.2019.03.027</w:t>
        </w:r>
      </w:hyperlink>
      <w:r>
        <w:t xml:space="preserve">.</w:t>
      </w:r>
    </w:p>
    <w:bookmarkEnd w:id="89"/>
    <w:bookmarkStart w:id="9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90">
        <w:r>
          <w:rPr>
            <w:rStyle w:val="Hyperlink"/>
          </w:rPr>
          <w:t xml:space="preserve">https://doi.org/10.1353/sgo.2017.0026</w:t>
        </w:r>
      </w:hyperlink>
      <w:r>
        <w:t xml:space="preserve">.</w:t>
      </w:r>
    </w:p>
    <w:bookmarkEnd w:id="91"/>
    <w:bookmarkStart w:id="9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92">
        <w:r>
          <w:rPr>
            <w:rStyle w:val="Hyperlink"/>
          </w:rPr>
          <w:t xml:space="preserve">https://doi.org/10.32614/CRAN.package.gratia</w:t>
        </w:r>
      </w:hyperlink>
      <w:r>
        <w:t xml:space="preserve">.</w:t>
      </w:r>
    </w:p>
    <w:bookmarkEnd w:id="93"/>
    <w:bookmarkStart w:id="95" w:name="ref-SWFWMD25"/>
    <w:p>
      <w:pPr>
        <w:pStyle w:val="Bibliography"/>
      </w:pPr>
      <w:r>
        <w:t xml:space="preserve">Southwest Florida Water Management District. 2025.</w:t>
      </w:r>
      <w:r>
        <w:t xml:space="preserve"> </w:t>
      </w:r>
      <w:hyperlink r:id="rId94">
        <w:r>
          <w:rPr>
            <w:rStyle w:val="Hyperlink"/>
          </w:rPr>
          <w:t xml:space="preserve">2023 land use land cover shapefile for SWFWMD</w:t>
        </w:r>
      </w:hyperlink>
      <w:r>
        <w:t xml:space="preserve">.</w:t>
      </w:r>
    </w:p>
    <w:bookmarkEnd w:id="95"/>
    <w:bookmarkStart w:id="97" w:name="ref-tbep0310"/>
    <w:p>
      <w:pPr>
        <w:pStyle w:val="Bibliography"/>
      </w:pPr>
      <w:r>
        <w:t xml:space="preserve">Tampa Bay Nitrogen Management Consortium. 2010.</w:t>
      </w:r>
      <w:r>
        <w:t xml:space="preserve"> </w:t>
      </w:r>
      <w:hyperlink r:id="rId96">
        <w:r>
          <w:rPr>
            <w:rStyle w:val="Hyperlink"/>
            <w:i/>
            <w:iCs/>
          </w:rPr>
          <w:t xml:space="preserve">2009 reasonable assurance addendum: Allocation and assessment report</w:t>
        </w:r>
      </w:hyperlink>
      <w:r>
        <w:t xml:space="preserve">. Technical report 03-10. St. Petersburg, Florida: Tampa Bay Estuary Program.</w:t>
      </w:r>
    </w:p>
    <w:bookmarkEnd w:id="97"/>
    <w:bookmarkStart w:id="99"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8">
        <w:r>
          <w:rPr>
            <w:rStyle w:val="Hyperlink"/>
          </w:rPr>
          <w:t xml:space="preserve">https://doi.org/10.1111/1752-1688.70070</w:t>
        </w:r>
      </w:hyperlink>
      <w:r>
        <w:t xml:space="preserve">.</w:t>
      </w:r>
    </w:p>
    <w:bookmarkEnd w:id="99"/>
    <w:bookmarkStart w:id="101"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00">
        <w:r>
          <w:rPr>
            <w:rStyle w:val="Hyperlink"/>
          </w:rPr>
          <w:t xml:space="preserve">https://doi.org/10.1007/978-0-387-21706-2</w:t>
        </w:r>
      </w:hyperlink>
      <w:r>
        <w:t xml:space="preserve">.</w:t>
      </w:r>
    </w:p>
    <w:bookmarkEnd w:id="101"/>
    <w:bookmarkStart w:id="103"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02">
        <w:r>
          <w:rPr>
            <w:rStyle w:val="Hyperlink"/>
          </w:rPr>
          <w:t xml:space="preserve">https://doi.org/10.1016/j.jhydrol.2025.134851</w:t>
        </w:r>
      </w:hyperlink>
      <w:r>
        <w:t xml:space="preserve">.</w:t>
      </w:r>
    </w:p>
    <w:bookmarkEnd w:id="103"/>
    <w:bookmarkStart w:id="105"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04">
        <w:r>
          <w:rPr>
            <w:rStyle w:val="Hyperlink"/>
          </w:rPr>
          <w:t xml:space="preserve">https://doi.org/10.1111/j.1467-9868.2010.00749.x</w:t>
        </w:r>
      </w:hyperlink>
      <w:r>
        <w:t xml:space="preserve">.</w:t>
      </w:r>
    </w:p>
    <w:bookmarkEnd w:id="105"/>
    <w:bookmarkStart w:id="106"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06"/>
    <w:bookmarkStart w:id="108" w:name="ref-tbep0494"/>
    <w:p>
      <w:pPr>
        <w:pStyle w:val="Bibliography"/>
      </w:pPr>
      <w:r>
        <w:t xml:space="preserve">Zarbock, H. W., A. J. Janicki, D. L. Wade, and D. G. Heimbuch. 1994.</w:t>
      </w:r>
      <w:r>
        <w:t xml:space="preserve"> </w:t>
      </w:r>
      <w:hyperlink r:id="rId1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08"/>
    <w:bookmarkEnd w:id="109"/>
    <w:bookmarkEnd w:id="1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00" Target="https://doi.org/10.1007/978-0-387-21706-2" TargetMode="External" /><Relationship Type="http://schemas.openxmlformats.org/officeDocument/2006/relationships/hyperlink" Id="rId70" Target="https://doi.org/10.1007/s12237-024-01385-0" TargetMode="External" /><Relationship Type="http://schemas.openxmlformats.org/officeDocument/2006/relationships/hyperlink" Id="rId88" Target="https://doi.org/10.1016/j.envsoft.2019.03.027" TargetMode="External" /><Relationship Type="http://schemas.openxmlformats.org/officeDocument/2006/relationships/hyperlink" Id="rId102" Target="https://doi.org/10.1016/j.jhydrol.2025.134851" TargetMode="External" /><Relationship Type="http://schemas.openxmlformats.org/officeDocument/2006/relationships/hyperlink" Id="rId72" Target="https://doi.org/10.1111/1752-1688.12489" TargetMode="External" /><Relationship Type="http://schemas.openxmlformats.org/officeDocument/2006/relationships/hyperlink" Id="rId98" Target="https://doi.org/10.1111/1752-1688.70070" TargetMode="External" /><Relationship Type="http://schemas.openxmlformats.org/officeDocument/2006/relationships/hyperlink" Id="rId104" Target="https://doi.org/10.1111/j.1467-9868.2010.00749.x" TargetMode="External" /><Relationship Type="http://schemas.openxmlformats.org/officeDocument/2006/relationships/hyperlink" Id="rId90" Target="https://doi.org/10.1353/sgo.2017.0026" TargetMode="External" /><Relationship Type="http://schemas.openxmlformats.org/officeDocument/2006/relationships/hyperlink" Id="rId92" Target="https://doi.org/10.32614/CRAN.package.gratia" TargetMode="External" /><Relationship Type="http://schemas.openxmlformats.org/officeDocument/2006/relationships/hyperlink" Id="rId81" Target="https://drive.google.com/drive/folders/1-vIRAsuZQmQEXZk-0FwqsjhSex0GDu7-?usp=sharing" TargetMode="External" /><Relationship Type="http://schemas.openxmlformats.org/officeDocument/2006/relationships/hyperlink" Id="rId85" Target="https://drive.google.com/file/d/1-1Jq9vly5EvVwEp698brlBucXjSMDbNn/view?usp=sharing" TargetMode="External" /><Relationship Type="http://schemas.openxmlformats.org/officeDocument/2006/relationships/hyperlink" Id="rId96" Target="https://drive.google.com/file/d/10IjJAfcGFf007a5VdPXAUtUi4dx-cmsA/view?usp=drivesdk" TargetMode="External" /><Relationship Type="http://schemas.openxmlformats.org/officeDocument/2006/relationships/hyperlink" Id="rId83" Target="https://drive.google.com/file/d/1KARuSC5fGx05MuT1wiOQFWNXysBokkQl/view?usp=share_link" TargetMode="External" /><Relationship Type="http://schemas.openxmlformats.org/officeDocument/2006/relationships/hyperlink" Id="rId79" Target="https://drive.google.com/file/d/1XMULU8w4syWcSv_ciOUOhnC_G4xt6GIF/view?usp=drivesdk" TargetMode="External" /><Relationship Type="http://schemas.openxmlformats.org/officeDocument/2006/relationships/hyperlink" Id="rId77" Target="https://drive.google.com/file/d/1kZkvuprvsMyN9nPS5PHYvXHyo1KQxKTr/view?usp=drivesdk" TargetMode="External" /><Relationship Type="http://schemas.openxmlformats.org/officeDocument/2006/relationships/hyperlink" Id="rId107"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9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7/978-0-387-21706-2" TargetMode="External" /><Relationship Type="http://schemas.openxmlformats.org/officeDocument/2006/relationships/hyperlink" Id="rId70" Target="https://doi.org/10.1007/s12237-024-01385-0" TargetMode="External" /><Relationship Type="http://schemas.openxmlformats.org/officeDocument/2006/relationships/hyperlink" Id="rId88" Target="https://doi.org/10.1016/j.envsoft.2019.03.027" TargetMode="External" /><Relationship Type="http://schemas.openxmlformats.org/officeDocument/2006/relationships/hyperlink" Id="rId102" Target="https://doi.org/10.1016/j.jhydrol.2025.134851" TargetMode="External" /><Relationship Type="http://schemas.openxmlformats.org/officeDocument/2006/relationships/hyperlink" Id="rId72" Target="https://doi.org/10.1111/1752-1688.12489" TargetMode="External" /><Relationship Type="http://schemas.openxmlformats.org/officeDocument/2006/relationships/hyperlink" Id="rId98" Target="https://doi.org/10.1111/1752-1688.70070" TargetMode="External" /><Relationship Type="http://schemas.openxmlformats.org/officeDocument/2006/relationships/hyperlink" Id="rId104" Target="https://doi.org/10.1111/j.1467-9868.2010.00749.x" TargetMode="External" /><Relationship Type="http://schemas.openxmlformats.org/officeDocument/2006/relationships/hyperlink" Id="rId90" Target="https://doi.org/10.1353/sgo.2017.0026" TargetMode="External" /><Relationship Type="http://schemas.openxmlformats.org/officeDocument/2006/relationships/hyperlink" Id="rId92" Target="https://doi.org/10.32614/CRAN.package.gratia" TargetMode="External" /><Relationship Type="http://schemas.openxmlformats.org/officeDocument/2006/relationships/hyperlink" Id="rId81" Target="https://drive.google.com/drive/folders/1-vIRAsuZQmQEXZk-0FwqsjhSex0GDu7-?usp=sharing" TargetMode="External" /><Relationship Type="http://schemas.openxmlformats.org/officeDocument/2006/relationships/hyperlink" Id="rId85" Target="https://drive.google.com/file/d/1-1Jq9vly5EvVwEp698brlBucXjSMDbNn/view?usp=sharing" TargetMode="External" /><Relationship Type="http://schemas.openxmlformats.org/officeDocument/2006/relationships/hyperlink" Id="rId96" Target="https://drive.google.com/file/d/10IjJAfcGFf007a5VdPXAUtUi4dx-cmsA/view?usp=drivesdk" TargetMode="External" /><Relationship Type="http://schemas.openxmlformats.org/officeDocument/2006/relationships/hyperlink" Id="rId83" Target="https://drive.google.com/file/d/1KARuSC5fGx05MuT1wiOQFWNXysBokkQl/view?usp=share_link" TargetMode="External" /><Relationship Type="http://schemas.openxmlformats.org/officeDocument/2006/relationships/hyperlink" Id="rId79" Target="https://drive.google.com/file/d/1XMULU8w4syWcSv_ciOUOhnC_G4xt6GIF/view?usp=drivesdk" TargetMode="External" /><Relationship Type="http://schemas.openxmlformats.org/officeDocument/2006/relationships/hyperlink" Id="rId77" Target="https://drive.google.com/file/d/1kZkvuprvsMyN9nPS5PHYvXHyo1KQxKTr/view?usp=drivesdk" TargetMode="External" /><Relationship Type="http://schemas.openxmlformats.org/officeDocument/2006/relationships/hyperlink" Id="rId107"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9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2026-02-02T16:56:52Z</dcterms:created>
  <dcterms:modified xsi:type="dcterms:W3CDTF">2026-02-02T16:56:52Z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