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36.png" ContentType="image/png"/>
  <Override PartName="/word/media/rId44.png" ContentType="image/png"/>
  <Override PartName="/word/media/rId28.png" ContentType="image/png"/>
  <Override PartName="/word/media/rId32.png" ContentType="image/png"/>
  <Override PartName="/word/media/rId40.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 awesome title for a great paper</w:t>
      </w:r>
    </w:p>
    <w:p>
      <w:pPr>
        <w:pStyle w:val="Author"/>
      </w:pPr>
      <w:r>
        <w:t xml:space="preserve">Marcus W Beck</w:t>
      </w:r>
      <w:r>
        <w:rPr>
          <w:vertAlign w:val="superscript"/>
        </w:rPr>
        <w:t xml:space="preserve">1,✉</w:t>
      </w:r>
      <w:r>
        <w:t xml:space="preserve">, Kerry Flaherty-Walia</w:t>
      </w:r>
      <w:r>
        <w:rPr>
          <w:vertAlign w:val="superscript"/>
        </w:rPr>
        <w:t xml:space="preserve">1</w:t>
      </w:r>
      <w:r>
        <w:t xml:space="preserve">, Maya C Burke</w:t>
      </w:r>
      <w:r>
        <w:rPr>
          <w:vertAlign w:val="superscript"/>
        </w:rPr>
        <w:t xml:space="preserve">1</w:t>
      </w:r>
      <w:r>
        <w:t xml:space="preserve">, and Edward T Sherwood</w:t>
      </w:r>
      <w:r>
        <w:rPr>
          <w:vertAlign w:val="superscript"/>
        </w:rPr>
        <w:t xml:space="preserve">1</w:t>
      </w:r>
    </w:p>
    <w:p>
      <w:pPr>
        <w:pStyle w:val="FirstParagraph"/>
      </w:pPr>
      <w:r>
        <w:rPr>
          <w:vertAlign w:val="superscript"/>
        </w:rPr>
        <w:t xml:space="preserve">1</w:t>
      </w:r>
      <w:r>
        <w:t xml:space="preserve"> </w:t>
      </w:r>
      <w:r>
        <w:t xml:space="preserve">Tampa Bay Estuary Program, 263 13th Ave S., Suite 350, St. Petersburg, Florida 33701 USA</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Marcus W Beck &lt;mbeck@tbep.org&gt;</w:t>
        </w:r>
      </w:hyperlink>
    </w:p>
    <w:bookmarkStart w:id="21" w:name="fig"/>
    <w:p>
      <w:pPr>
        <w:pStyle w:val="Heading2"/>
      </w:pPr>
      <w:r>
        <w:t xml:space="preserve">1 Fig</w:t>
      </w:r>
    </w:p>
    <w:p>
      <w:pPr>
        <w:pStyle w:val="Compact"/>
        <w:numPr>
          <w:ilvl w:val="0"/>
          <w:numId w:val="1001"/>
        </w:numPr>
      </w:pPr>
      <w:r>
        <w:t xml:space="preserve">observed chl and model fit</w:t>
      </w:r>
    </w:p>
    <w:p>
      <w:pPr>
        <w:pStyle w:val="Compact"/>
        <w:numPr>
          <w:ilvl w:val="0"/>
          <w:numId w:val="1001"/>
        </w:numPr>
      </w:pPr>
      <w:r>
        <w:t xml:space="preserve">model fit v normalized</w:t>
      </w:r>
    </w:p>
    <w:p>
      <w:pPr>
        <w:pStyle w:val="Compact"/>
        <w:numPr>
          <w:ilvl w:val="0"/>
          <w:numId w:val="1001"/>
        </w:numPr>
      </w:pPr>
      <w:r>
        <w:t xml:space="preserve">grid plots</w:t>
      </w:r>
    </w:p>
    <w:p>
      <w:pPr>
        <w:pStyle w:val="Compact"/>
        <w:numPr>
          <w:ilvl w:val="0"/>
          <w:numId w:val="1001"/>
        </w:numPr>
      </w:pPr>
      <w:r>
        <w:t xml:space="preserve">normalized - fit v hydrology</w:t>
      </w:r>
    </w:p>
    <w:bookmarkEnd w:id="21"/>
    <w:bookmarkStart w:id="22" w:name="table"/>
    <w:p>
      <w:pPr>
        <w:pStyle w:val="Heading2"/>
      </w:pPr>
      <w:r>
        <w:t xml:space="preserve">2 Table</w:t>
      </w:r>
    </w:p>
    <w:p>
      <w:pPr>
        <w:pStyle w:val="Compact"/>
        <w:numPr>
          <w:ilvl w:val="0"/>
          <w:numId w:val="1002"/>
        </w:numPr>
      </w:pPr>
      <w:r>
        <w:t xml:space="preserve">Model summary statistics (include by month?)</w:t>
      </w:r>
    </w:p>
    <w:bookmarkEnd w:id="22"/>
    <w:bookmarkStart w:id="25" w:name="methods"/>
    <w:p>
      <w:pPr>
        <w:pStyle w:val="Heading2"/>
      </w:pPr>
      <w:r>
        <w:t xml:space="preserve">3 Methods</w:t>
      </w:r>
    </w:p>
    <w:bookmarkStart w:id="23" w:name="data-processing"/>
    <w:p>
      <w:pPr>
        <w:pStyle w:val="Heading3"/>
      </w:pPr>
      <w:r>
        <w:t xml:space="preserve">3.1 Data processing</w:t>
      </w:r>
    </w:p>
    <w:p>
      <w:pPr>
        <w:pStyle w:val="FirstParagraph"/>
      </w:pPr>
      <w:r>
        <w:t xml:space="preserve">Salinity gaps were filled using linear interpolation between observed values, where the maximum gap fill was three time steps (months). Gaps accounted for less than 5% of the observatiosn for each bay segment.</w:t>
      </w:r>
    </w:p>
    <w:bookmarkEnd w:id="23"/>
    <w:bookmarkStart w:id="24" w:name="gams"/>
    <w:p>
      <w:pPr>
        <w:pStyle w:val="Heading3"/>
      </w:pPr>
      <w:r>
        <w:t xml:space="preserve">3.2 GAMs</w:t>
      </w:r>
    </w:p>
    <w:p>
      <w:pPr>
        <w:pStyle w:val="FirstParagraph"/>
      </w:pPr>
      <m:oMathPara>
        <m:oMathParaPr>
          <m:jc m:val="center"/>
        </m:oMathParaPr>
        <m:oMath>
          <m:m>
            <m:mPr>
              <m:baseJc m:val="center"/>
              <m:plcHide m:val="on"/>
              <m:mcs>
                <m:mc>
                  <m:mcPr>
                    <m:mcJc m:val="right"/>
                    <m:count m:val="1"/>
                  </m:mcPr>
                </m:mc>
                <m:mc>
                  <m:mcPr>
                    <m:mcJc m:val="left"/>
                    <m:count m:val="1"/>
                  </m:mcPr>
                </m:mc>
              </m:mcs>
            </m:mPr>
            <m:mr>
              <m:e>
                <m:sSub>
                  <m:e>
                    <m:r>
                      <m:rPr>
                        <m:nor/>
                        <m:sty m:val="p"/>
                      </m:rPr>
                      <m:t>chla</m:t>
                    </m:r>
                  </m:e>
                  <m:sub>
                    <m:r>
                      <m:t>i</m:t>
                    </m:r>
                  </m:sub>
                </m:sSub>
              </m:e>
              <m:e>
                <m:r>
                  <m:rPr>
                    <m:sty m:val="p"/>
                  </m:rPr>
                  <m:t>∼</m:t>
                </m:r>
                <m:r>
                  <m:rPr>
                    <m:nor/>
                    <m:sty m:val="p"/>
                  </m:rPr>
                  <m:t>Gamma</m:t>
                </m:r>
                <m:d>
                  <m:dPr>
                    <m:begChr m:val="("/>
                    <m:sepChr m:val=""/>
                    <m:endChr m:val=")"/>
                    <m:grow/>
                  </m:dPr>
                  <m:e>
                    <m:sSub>
                      <m:e>
                        <m:r>
                          <m:t>μ</m:t>
                        </m:r>
                      </m:e>
                      <m:sub>
                        <m:r>
                          <m:t>i</m:t>
                        </m:r>
                      </m:sub>
                    </m:sSub>
                    <m:r>
                      <m:rPr>
                        <m:sty m:val="p"/>
                      </m:rPr>
                      <m:t>,</m:t>
                    </m:r>
                    <m:r>
                      <m:t>ϕ</m:t>
                    </m:r>
                  </m:e>
                </m:d>
              </m:e>
            </m:mr>
            <m:mr>
              <m:e>
                <m:r>
                  <m:rPr>
                    <m:sty m:val="p"/>
                  </m:rPr>
                  <m:t>log</m:t>
                </m:r>
                <m:d>
                  <m:dPr>
                    <m:begChr m:val="("/>
                    <m:sepChr m:val=""/>
                    <m:endChr m:val=")"/>
                    <m:grow/>
                  </m:dPr>
                  <m:e>
                    <m:sSub>
                      <m:e>
                        <m:r>
                          <m:t>μ</m:t>
                        </m:r>
                      </m:e>
                      <m:sub>
                        <m:r>
                          <m:t>i</m:t>
                        </m:r>
                      </m:sub>
                    </m:sSub>
                  </m:e>
                </m:d>
              </m:e>
              <m:e>
                <m:r>
                  <m:rPr>
                    <m:sty m:val="p"/>
                  </m:rPr>
                  <m:t>=</m:t>
                </m:r>
                <m:sSub>
                  <m:e>
                    <m:r>
                      <m:t>β</m:t>
                    </m:r>
                  </m:e>
                  <m:sub>
                    <m:r>
                      <m:t>0</m:t>
                    </m:r>
                  </m:sub>
                </m:sSub>
                <m:r>
                  <m:rPr>
                    <m:sty m:val="p"/>
                  </m:rPr>
                  <m:t>+</m:t>
                </m:r>
                <m:sSub>
                  <m:e>
                    <m:r>
                      <m:t>f</m:t>
                    </m:r>
                  </m:e>
                  <m:sub>
                    <m:r>
                      <m:t>1</m:t>
                    </m:r>
                  </m:sub>
                </m:sSub>
                <m:d>
                  <m:dPr>
                    <m:begChr m:val="("/>
                    <m:sepChr m:val=""/>
                    <m:endChr m:val=")"/>
                    <m:grow/>
                  </m:dPr>
                  <m:e>
                    <m:sSub>
                      <m:e>
                        <m:r>
                          <m:rPr>
                            <m:nor/>
                            <m:sty m:val="p"/>
                          </m:rPr>
                          <m:t>dec_time</m:t>
                        </m:r>
                      </m:e>
                      <m:sub>
                        <m:r>
                          <m:t>i</m:t>
                        </m:r>
                      </m:sub>
                    </m:sSub>
                  </m:e>
                </m:d>
                <m:r>
                  <m:rPr>
                    <m:sty m:val="p"/>
                  </m:rPr>
                  <m:t>+</m:t>
                </m:r>
                <m:sSub>
                  <m:e>
                    <m:r>
                      <m:t>f</m:t>
                    </m:r>
                  </m:e>
                  <m:sub>
                    <m:r>
                      <m:t>2</m:t>
                    </m:r>
                  </m:sub>
                </m:sSub>
                <m:d>
                  <m:dPr>
                    <m:begChr m:val="("/>
                    <m:sepChr m:val=""/>
                    <m:endChr m:val=")"/>
                    <m:grow/>
                  </m:dPr>
                  <m:e>
                    <m:sSub>
                      <m:e>
                        <m:r>
                          <m:rPr>
                            <m:nor/>
                            <m:sty m:val="p"/>
                          </m:rPr>
                          <m:t>doy</m:t>
                        </m:r>
                      </m:e>
                      <m:sub>
                        <m:r>
                          <m:t>i</m:t>
                        </m:r>
                      </m:sub>
                    </m:sSub>
                  </m:e>
                </m:d>
                <m:r>
                  <m:rPr>
                    <m:sty m:val="p"/>
                  </m:rPr>
                  <m:t>+</m:t>
                </m:r>
                <m:sSub>
                  <m:e>
                    <m:r>
                      <m:t>f</m:t>
                    </m:r>
                  </m:e>
                  <m:sub>
                    <m:r>
                      <m:t>3</m:t>
                    </m:r>
                  </m:sub>
                </m:sSub>
                <m:d>
                  <m:dPr>
                    <m:begChr m:val="("/>
                    <m:sepChr m:val=""/>
                    <m:endChr m:val=")"/>
                    <m:grow/>
                  </m:dPr>
                  <m:e>
                    <m:sSub>
                      <m:e>
                        <m:r>
                          <m:rPr>
                            <m:nor/>
                            <m:sty m:val="p"/>
                          </m:rPr>
                          <m:t>sal</m:t>
                        </m:r>
                      </m:e>
                      <m:sub>
                        <m:r>
                          <m:t>i</m:t>
                        </m:r>
                      </m:sub>
                    </m:sSub>
                  </m:e>
                </m:d>
              </m:e>
            </m:mr>
            <m:mr>
              <m:e/>
              <m:e>
                <m:r>
                  <m:t> </m:t>
                </m:r>
                <m:r>
                  <m:rPr>
                    <m:sty m:val="p"/>
                  </m:rPr>
                  <m:t>+</m:t>
                </m:r>
                <m:sSub>
                  <m:e>
                    <m:r>
                      <m:t>f</m:t>
                    </m:r>
                  </m:e>
                  <m:sub>
                    <m:r>
                      <m:t>12</m:t>
                    </m:r>
                  </m:sub>
                </m:sSub>
                <m:d>
                  <m:dPr>
                    <m:begChr m:val="("/>
                    <m:sepChr m:val=""/>
                    <m:endChr m:val=")"/>
                    <m:grow/>
                  </m:dPr>
                  <m:e>
                    <m:sSub>
                      <m:e>
                        <m:r>
                          <m:rPr>
                            <m:nor/>
                            <m:sty m:val="p"/>
                          </m:rPr>
                          <m:t>dec_time</m:t>
                        </m:r>
                      </m:e>
                      <m:sub>
                        <m:r>
                          <m:t>i</m:t>
                        </m:r>
                      </m:sub>
                    </m:sSub>
                    <m:r>
                      <m:rPr>
                        <m:sty m:val="p"/>
                      </m:rPr>
                      <m:t>,</m:t>
                    </m:r>
                    <m:sSub>
                      <m:e>
                        <m:r>
                          <m:rPr>
                            <m:nor/>
                            <m:sty m:val="p"/>
                          </m:rPr>
                          <m:t>doy</m:t>
                        </m:r>
                      </m:e>
                      <m:sub>
                        <m:r>
                          <m:t>i</m:t>
                        </m:r>
                      </m:sub>
                    </m:sSub>
                  </m:e>
                </m:d>
              </m:e>
            </m:mr>
            <m:mr>
              <m:e/>
              <m:e>
                <m:r>
                  <m:t> </m:t>
                </m:r>
                <m:r>
                  <m:rPr>
                    <m:sty m:val="p"/>
                  </m:rPr>
                  <m:t>+</m:t>
                </m:r>
                <m:sSub>
                  <m:e>
                    <m:r>
                      <m:t>f</m:t>
                    </m:r>
                  </m:e>
                  <m:sub>
                    <m:r>
                      <m:t>13</m:t>
                    </m:r>
                  </m:sub>
                </m:sSub>
                <m:d>
                  <m:dPr>
                    <m:begChr m:val="("/>
                    <m:sepChr m:val=""/>
                    <m:endChr m:val=")"/>
                    <m:grow/>
                  </m:dPr>
                  <m:e>
                    <m:sSub>
                      <m:e>
                        <m:r>
                          <m:rPr>
                            <m:nor/>
                            <m:sty m:val="p"/>
                          </m:rPr>
                          <m:t>dec_time</m:t>
                        </m:r>
                      </m:e>
                      <m:sub>
                        <m:r>
                          <m:t>i</m:t>
                        </m:r>
                      </m:sub>
                    </m:sSub>
                    <m:r>
                      <m:rPr>
                        <m:sty m:val="p"/>
                      </m:rPr>
                      <m:t>,</m:t>
                    </m:r>
                    <m:sSub>
                      <m:e>
                        <m:r>
                          <m:rPr>
                            <m:nor/>
                            <m:sty m:val="p"/>
                          </m:rPr>
                          <m:t>sal</m:t>
                        </m:r>
                      </m:e>
                      <m:sub>
                        <m:r>
                          <m:t>i</m:t>
                        </m:r>
                      </m:sub>
                    </m:sSub>
                  </m:e>
                </m:d>
              </m:e>
            </m:mr>
            <m:mr>
              <m:e/>
              <m:e>
                <m:r>
                  <m:t> </m:t>
                </m:r>
                <m:r>
                  <m:rPr>
                    <m:sty m:val="p"/>
                  </m:rPr>
                  <m:t>+</m:t>
                </m:r>
                <m:sSub>
                  <m:e>
                    <m:r>
                      <m:t>f</m:t>
                    </m:r>
                  </m:e>
                  <m:sub>
                    <m:r>
                      <m:t>23</m:t>
                    </m:r>
                  </m:sub>
                </m:sSub>
                <m:d>
                  <m:dPr>
                    <m:begChr m:val="("/>
                    <m:sepChr m:val=""/>
                    <m:endChr m:val=")"/>
                    <m:grow/>
                  </m:dPr>
                  <m:e>
                    <m:sSub>
                      <m:e>
                        <m:r>
                          <m:rPr>
                            <m:nor/>
                            <m:sty m:val="p"/>
                          </m:rPr>
                          <m:t>sal</m:t>
                        </m:r>
                      </m:e>
                      <m:sub>
                        <m:r>
                          <m:t>i</m:t>
                        </m:r>
                      </m:sub>
                    </m:sSub>
                    <m:r>
                      <m:rPr>
                        <m:sty m:val="p"/>
                      </m:rPr>
                      <m:t>,</m:t>
                    </m:r>
                    <m:sSub>
                      <m:e>
                        <m:r>
                          <m:rPr>
                            <m:nor/>
                            <m:sty m:val="p"/>
                          </m:rPr>
                          <m:t>doy</m:t>
                        </m:r>
                      </m:e>
                      <m:sub>
                        <m:r>
                          <m:t>i</m:t>
                        </m:r>
                      </m:sub>
                    </m:sSub>
                  </m:e>
                </m:d>
              </m:e>
            </m:mr>
          </m:m>
        </m:oMath>
      </m:oMathPara>
    </w:p>
    <w:p>
      <w:pPr>
        <w:pStyle w:val="FirstParagraph"/>
      </w:pPr>
      <w:r>
        <w:t xml:space="preserve">where chlorophyll-a is modelled as a Gamma-distributed response variable with mean</w:t>
      </w:r>
      <w:r>
        <w:t xml:space="preserve"> </w:t>
      </w:r>
      <m:oMath>
        <m:sSub>
          <m:e>
            <m:r>
              <m:t>μ</m:t>
            </m:r>
          </m:e>
          <m:sub>
            <m:r>
              <m:t>i</m:t>
            </m:r>
          </m:sub>
        </m:sSub>
      </m:oMath>
      <w:r>
        <w:t xml:space="preserve"> </w:t>
      </w:r>
      <w:r>
        <w:t xml:space="preserve">and dispersion parameter ϕ for observation i. The log-transformed mean chlorophyll-a is modelled as an intercept (</w:t>
      </w:r>
      <m:oMath>
        <m:sSub>
          <m:e>
            <m:r>
              <m:t>β</m:t>
            </m:r>
          </m:e>
          <m:sub>
            <m:r>
              <m:t>0</m:t>
            </m:r>
          </m:sub>
        </m:sSub>
      </m:oMath>
      <w:r>
        <w:t xml:space="preserve">) plus smooth functions of decimal time (dec_time), day of year (doy), and salinity (sal), along with tensor product smooth interactions between each pair of the three predictors. Specifically,</w:t>
      </w:r>
      <w:r>
        <w:t xml:space="preserve"> </w:t>
      </w:r>
      <m:oMath>
        <m:sSub>
          <m:e>
            <m:r>
              <m:t>f</m:t>
            </m:r>
          </m:e>
          <m:sub>
            <m:r>
              <m:t>1</m:t>
            </m:r>
          </m:sub>
        </m:sSub>
        <m:r>
          <m:rPr>
            <m:sty m:val="p"/>
          </m:rPr>
          <m:t>​</m:t>
        </m:r>
        <m:d>
          <m:dPr>
            <m:begChr m:val="("/>
            <m:sepChr m:val=""/>
            <m:endChr m:val=")"/>
            <m:grow/>
          </m:dPr>
          <m:e/>
        </m:d>
      </m:oMath>
      <w:r>
        <w:t xml:space="preserve"> </w:t>
      </w:r>
      <w:r>
        <w:t xml:space="preserve">is a thin plate regression spline with k = 40 basis functions,</w:t>
      </w:r>
      <w:r>
        <w:t xml:space="preserve"> </w:t>
      </w:r>
      <m:oMath>
        <m:sSub>
          <m:e>
            <m:r>
              <m:t>f</m:t>
            </m:r>
          </m:e>
          <m:sub>
            <m:r>
              <m:t>2</m:t>
            </m:r>
          </m:sub>
        </m:sSub>
        <m:d>
          <m:dPr>
            <m:begChr m:val="("/>
            <m:sepChr m:val=""/>
            <m:endChr m:val=")"/>
            <m:grow/>
          </m:dPr>
          <m:e/>
        </m:d>
      </m:oMath>
      <w:r>
        <w:t xml:space="preserve"> </w:t>
      </w:r>
      <w:r>
        <w:t xml:space="preserve">is a cyclic cubic regression spline with k = 10 basis functions,</w:t>
      </w:r>
      <w:r>
        <w:t xml:space="preserve"> </w:t>
      </w:r>
      <m:oMath>
        <m:sSub>
          <m:e>
            <m:r>
              <m:t>f</m:t>
            </m:r>
          </m:e>
          <m:sub>
            <m:r>
              <m:t>3</m:t>
            </m:r>
          </m:sub>
        </m:sSub>
        <m:d>
          <m:dPr>
            <m:begChr m:val="("/>
            <m:sepChr m:val=""/>
            <m:endChr m:val=")"/>
            <m:grow/>
          </m:dPr>
          <m:e/>
        </m:d>
      </m:oMath>
      <w:r>
        <w:t xml:space="preserve"> </w:t>
      </w:r>
      <w:r>
        <w:t xml:space="preserve">is a thin plate regression spline with k = 10 basis functions, and</w:t>
      </w:r>
      <w:r>
        <w:t xml:space="preserve"> </w:t>
      </w:r>
      <m:oMath>
        <m:sSub>
          <m:e>
            <m:r>
              <m:t>f</m:t>
            </m:r>
          </m:e>
          <m:sub>
            <m:r>
              <m:t>12</m:t>
            </m:r>
          </m:sub>
        </m:sSub>
        <m:d>
          <m:dPr>
            <m:begChr m:val="("/>
            <m:sepChr m:val=""/>
            <m:endChr m:val=")"/>
            <m:grow/>
          </m:dPr>
          <m:e/>
        </m:d>
      </m:oMath>
      <w:r>
        <w:t xml:space="preserve">,</w:t>
      </w:r>
      <w:r>
        <w:t xml:space="preserve"> </w:t>
      </w:r>
      <m:oMath>
        <m:sSub>
          <m:e>
            <m:r>
              <m:t>f</m:t>
            </m:r>
          </m:e>
          <m:sub>
            <m:r>
              <m:t>13</m:t>
            </m:r>
          </m:sub>
        </m:sSub>
        <m:d>
          <m:dPr>
            <m:begChr m:val="("/>
            <m:sepChr m:val=""/>
            <m:endChr m:val=")"/>
            <m:grow/>
          </m:dPr>
          <m:e/>
        </m:d>
      </m:oMath>
      <w:r>
        <w:t xml:space="preserve">, and</w:t>
      </w:r>
      <w:r>
        <w:t xml:space="preserve"> </w:t>
      </w:r>
      <m:oMath>
        <m:sSub>
          <m:e>
            <m:r>
              <m:t>f</m:t>
            </m:r>
          </m:e>
          <m:sub>
            <m:r>
              <m:t>23</m:t>
            </m:r>
          </m:sub>
        </m:sSub>
        <m:d>
          <m:dPr>
            <m:begChr m:val="("/>
            <m:sepChr m:val=""/>
            <m:endChr m:val=")"/>
            <m:grow/>
          </m:dPr>
          <m:e/>
        </m:d>
      </m:oMath>
      <w:r>
        <w:t xml:space="preserve"> </w:t>
      </w:r>
      <w:r>
        <w:t xml:space="preserve">are tensor product smooths (excluding main effects) with k = (5, 5) basis functions. Smoothing parameters were estimated using restricted maximum likelihood (REML).</w:t>
      </w:r>
    </w:p>
    <w:p>
      <w:pPr>
        <w:pStyle w:val="BodyText"/>
      </w:pPr>
      <w:r>
        <w:t xml:space="preserve">ACF plots showed minimal autocorrelation of model residuals at lag 1 (all &lt; 0.20 rho).</w:t>
      </w:r>
    </w:p>
    <w:p>
      <w:pPr>
        <w:pStyle w:val="BodyText"/>
      </w:pPr>
      <w:r>
        <w:t xml:space="preserve">K values chosen to allow sufficient degress of freedom for each smoother. Once models were fit, the</w:t>
      </w:r>
      <w:r>
        <w:t xml:space="preserve"> </w:t>
      </w:r>
      <w:r>
        <w:rPr>
          <w:rStyle w:val="VerbatimChar"/>
        </w:rPr>
        <w:t xml:space="preserve">gam.check()</w:t>
      </w:r>
      <w:r>
        <w:t xml:space="preserve"> </w:t>
      </w:r>
      <w:r>
        <w:t xml:space="preserve">function was used to compare the estimated degrees of freedom for each smoother to the maximum degrees of freedom allowed by the k value. None of the smoothers were within 80% of the maximum degrees of freedom allowed.</w:t>
      </w:r>
    </w:p>
    <w:p>
      <w:pPr>
        <w:pStyle w:val="BodyText"/>
      </w:pPr>
      <w:r>
        <w:t xml:space="preserve">Salinity-normalized predictions were made by predicting chlorophyll-a across a range of salinity values (minimum to maximum observed) at each time step, then taking the mean of those predictions as the salinity-normalized value for that time step.</w:t>
      </w:r>
    </w:p>
    <w:p>
      <w:pPr>
        <w:pStyle w:val="BodyText"/>
      </w:pPr>
      <m:oMathPara>
        <m:oMathParaPr>
          <m:jc m:val="center"/>
        </m:oMathParaPr>
        <m:oMath>
          <m:m>
            <m:mPr>
              <m:baseJc m:val="center"/>
              <m:plcHide m:val="on"/>
              <m:mcs>
                <m:mc>
                  <m:mcPr>
                    <m:mcJc m:val="right"/>
                    <m:count m:val="1"/>
                  </m:mcPr>
                </m:mc>
                <m:mc>
                  <m:mcPr>
                    <m:mcJc m:val="left"/>
                    <m:count m:val="1"/>
                  </m:mcPr>
                </m:mc>
              </m:mcs>
            </m:mPr>
            <m:mr>
              <m:e>
                <m:r>
                  <m:rPr>
                    <m:nor/>
                    <m:sty m:val="p"/>
                  </m:rPr>
                  <m:t>Norm</m:t>
                </m:r>
                <m:d>
                  <m:dPr>
                    <m:begChr m:val="("/>
                    <m:sepChr m:val=""/>
                    <m:endChr m:val=")"/>
                    <m:grow/>
                  </m:dPr>
                  <m:e>
                    <m:r>
                      <m:t>t</m:t>
                    </m:r>
                  </m:e>
                </m:d>
              </m:e>
              <m:e>
                <m:r>
                  <m:rPr>
                    <m:sty m:val="p"/>
                  </m:rPr>
                  <m:t>=</m:t>
                </m:r>
                <m:f>
                  <m:fPr>
                    <m:type m:val="bar"/>
                  </m:fPr>
                  <m:num>
                    <m:r>
                      <m:t>1</m:t>
                    </m:r>
                  </m:num>
                  <m:den>
                    <m:d>
                      <m:dPr>
                        <m:begChr m:val="|"/>
                        <m:sepChr m:val=""/>
                        <m:endChr m:val="|"/>
                        <m:grow/>
                      </m:dPr>
                      <m:e>
                        <m:r>
                          <m:rPr>
                            <m:sty m:val="p"/>
                            <m:scr m:val="script"/>
                          </m:rPr>
                          <m:t>S</m:t>
                        </m:r>
                      </m:e>
                    </m:d>
                  </m:den>
                </m:f>
                <m:nary>
                  <m:naryPr>
                    <m:chr m:val="∑"/>
                    <m:limLoc m:val="undOvr"/>
                    <m:subHide m:val="off"/>
                    <m:supHide m:val="on"/>
                  </m:naryPr>
                  <m:sub>
                    <m:r>
                      <m:t>s</m:t>
                    </m:r>
                    <m:r>
                      <m:rPr>
                        <m:sty m:val="p"/>
                      </m:rPr>
                      <m:t>∈</m:t>
                    </m:r>
                    <m:r>
                      <m:rPr>
                        <m:sty m:val="p"/>
                        <m:scr m:val="script"/>
                      </m:rPr>
                      <m:t>S</m:t>
                    </m:r>
                  </m:sub>
                  <m:sup>
                    <m:r>
                      <m:t>​</m:t>
                    </m:r>
                  </m:sup>
                  <m:e>
                    <m:acc>
                      <m:accPr>
                        <m:chr m:val="̂"/>
                      </m:accPr>
                      <m:e>
                        <m:r>
                          <m:t>f</m:t>
                        </m:r>
                      </m:e>
                    </m:acc>
                  </m:e>
                </m:nary>
                <m:d>
                  <m:dPr>
                    <m:begChr m:val="("/>
                    <m:sepChr m:val=""/>
                    <m:endChr m:val=")"/>
                    <m:grow/>
                  </m:dPr>
                  <m:e>
                    <m:r>
                      <m:t>t</m:t>
                    </m:r>
                    <m:r>
                      <m:rPr>
                        <m:sty m:val="p"/>
                      </m:rPr>
                      <m:t>,</m:t>
                    </m:r>
                    <m:r>
                      <m:t>s</m:t>
                    </m:r>
                    <m:r>
                      <m:rPr>
                        <m:sty m:val="p"/>
                      </m:rPr>
                      <m:t>,</m:t>
                    </m:r>
                    <m:sSub>
                      <m:e>
                        <m:acc>
                          <m:accPr>
                            <m:chr m:val="‾"/>
                          </m:accPr>
                          <m:e>
                            <m:r>
                              <m:rPr>
                                <m:nor/>
                                <m:sty m:val="p"/>
                              </m:rPr>
                              <m:t>sal</m:t>
                            </m:r>
                          </m:e>
                        </m:acc>
                      </m:e>
                      <m:sub>
                        <m:r>
                          <m:t>m</m:t>
                        </m:r>
                        <m:d>
                          <m:dPr>
                            <m:begChr m:val="("/>
                            <m:sepChr m:val=""/>
                            <m:endChr m:val=")"/>
                            <m:grow/>
                          </m:dPr>
                          <m:e>
                            <m:r>
                              <m:t>t</m:t>
                            </m:r>
                          </m:e>
                        </m:d>
                        <m:r>
                          <m:rPr>
                            <m:sty m:val="p"/>
                          </m:rPr>
                          <m:t>,</m:t>
                        </m:r>
                        <m:r>
                          <m:t>y</m:t>
                        </m:r>
                        <m:d>
                          <m:dPr>
                            <m:begChr m:val="("/>
                            <m:sepChr m:val=""/>
                            <m:endChr m:val=")"/>
                            <m:grow/>
                          </m:dPr>
                          <m:e>
                            <m:r>
                              <m:t>t</m:t>
                            </m:r>
                          </m:e>
                        </m:d>
                      </m:sub>
                    </m:sSub>
                  </m:e>
                </m:d>
              </m:e>
            </m:mr>
          </m:m>
        </m:oMath>
      </m:oMathPara>
    </w:p>
    <w:bookmarkEnd w:id="24"/>
    <w:bookmarkEnd w:id="25"/>
    <w:bookmarkStart w:id="26" w:name="results"/>
    <w:p>
      <w:pPr>
        <w:pStyle w:val="Heading2"/>
      </w:pPr>
      <w:r>
        <w:t xml:space="preserve">4 Results</w:t>
      </w:r>
    </w:p>
    <w:p>
      <w:pPr>
        <w:pStyle w:val="FirstParagraph"/>
      </w:pPr>
      <w:hyperlink w:anchor="fig-obsprd">
        <w:r>
          <w:rPr>
            <w:rStyle w:val="Hyperlink"/>
          </w:rPr>
          <w:t xml:space="preserve">Figure 1</w:t>
        </w:r>
      </w:hyperlink>
      <w:r>
        <w:t xml:space="preserve">,</w:t>
      </w:r>
      <w:r>
        <w:t xml:space="preserve"> </w:t>
      </w:r>
      <w:hyperlink w:anchor="fig-prdnrm">
        <w:r>
          <w:rPr>
            <w:rStyle w:val="Hyperlink"/>
          </w:rPr>
          <w:t xml:space="preserve">Figure 2</w:t>
        </w:r>
      </w:hyperlink>
      <w:r>
        <w:t xml:space="preserve">,</w:t>
      </w:r>
      <w:r>
        <w:t xml:space="preserve"> </w:t>
      </w:r>
      <w:hyperlink w:anchor="fig-gridplo">
        <w:r>
          <w:rPr>
            <w:rStyle w:val="Hyperlink"/>
          </w:rPr>
          <w:t xml:space="preserve">Figure 3</w:t>
        </w:r>
      </w:hyperlink>
      <w:r>
        <w:t xml:space="preserve">,</w:t>
      </w:r>
      <w:r>
        <w:t xml:space="preserve"> </w:t>
      </w:r>
      <w:hyperlink w:anchor="fig-salresp">
        <w:r>
          <w:rPr>
            <w:rStyle w:val="Hyperlink"/>
          </w:rPr>
          <w:t xml:space="preserve">Figure 4</w:t>
        </w:r>
      </w:hyperlink>
      <w:r>
        <w:t xml:space="preserve">,</w:t>
      </w:r>
      <w:r>
        <w:t xml:space="preserve"> </w:t>
      </w:r>
      <w:hyperlink w:anchor="fig-hydnrm">
        <w:r>
          <w:rPr>
            <w:rStyle w:val="Hyperlink"/>
          </w:rPr>
          <w:t xml:space="preserve">Figure 5</w:t>
        </w:r>
      </w:hyperlink>
    </w:p>
    <w:p>
      <w:pPr>
        <w:pStyle w:val="BodyText"/>
      </w:pPr>
      <w:hyperlink w:anchor="tbl-gamtab">
        <w:r>
          <w:rPr>
            <w:rStyle w:val="Hyperlink"/>
          </w:rPr>
          <w:t xml:space="preserve">Table 1</w:t>
        </w:r>
      </w:hyperlink>
      <w:r>
        <w:t xml:space="preserve">,</w:t>
      </w:r>
      <w:r>
        <w:t xml:space="preserve"> </w:t>
      </w:r>
      <w:hyperlink w:anchor="tbl-hydnrmtab">
        <w:r>
          <w:rPr>
            <w:rStyle w:val="Hyperlink"/>
          </w:rPr>
          <w:t xml:space="preserve">Table 2</w:t>
        </w:r>
      </w:hyperlink>
    </w:p>
    <w:bookmarkEnd w:id="26"/>
    <w:bookmarkStart w:id="27" w:name="discussion"/>
    <w:p>
      <w:pPr>
        <w:pStyle w:val="Heading2"/>
      </w:pPr>
      <w:r>
        <w:t xml:space="preserve">5 Discussion</w:t>
      </w:r>
    </w:p>
    <w:p>
      <w:r>
        <w:br w:type="page"/>
      </w:r>
    </w:p>
    <w:bookmarkEnd w:id="27"/>
    <w:bookmarkStart w:id="48" w:name="figures"/>
    <w:p>
      <w:pPr>
        <w:pStyle w:val="Heading2"/>
      </w:pPr>
      <w:r>
        <w:t xml:space="preserve">Figures</w:t>
      </w:r>
    </w:p>
    <w:tbl>
      <w:tblPr>
        <w:tblStyle w:val="Table"/>
        <w:tblW w:type="pct" w:w="5000"/>
        <w:tblLayout w:type="fixed"/>
        <w:tblLook w:firstRow="0" w:lastRow="0" w:firstColumn="0" w:lastColumn="0" w:noHBand="0" w:noVBand="0" w:val="0000"/>
      </w:tblPr>
      <w:tblGrid>
        <w:gridCol w:w="7920"/>
      </w:tblGrid>
      <w:tr>
        <w:tc>
          <w:tcPr/>
          <w:bookmarkStart w:id="31" w:name="fig-obsprd"/>
          <w:p>
            <w:pPr>
              <w:pStyle w:val="Compact"/>
              <w:jc w:val="center"/>
            </w:pPr>
            <w:r>
              <w:drawing>
                <wp:inline>
                  <wp:extent cx="5943600" cy="6686549"/>
                  <wp:effectExtent b="0" l="0" r="0" t="0"/>
                  <wp:docPr descr="" title="" id="29" name="Picture"/>
                  <a:graphic>
                    <a:graphicData uri="http://schemas.openxmlformats.org/drawingml/2006/picture">
                      <pic:pic>
                        <pic:nvPicPr>
                          <pic:cNvPr descr="figs/obsprd.png" id="30" name="Picture"/>
                          <pic:cNvPicPr>
                            <a:picLocks noChangeArrowheads="1" noChangeAspect="1"/>
                          </pic:cNvPicPr>
                        </pic:nvPicPr>
                        <pic:blipFill>
                          <a:blip r:embed="rId28"/>
                          <a:stretch>
                            <a:fillRect/>
                          </a:stretch>
                        </pic:blipFill>
                        <pic:spPr bwMode="auto">
                          <a:xfrm>
                            <a:off x="0" y="0"/>
                            <a:ext cx="5943600" cy="6686549"/>
                          </a:xfrm>
                          <a:prstGeom prst="rect">
                            <a:avLst/>
                          </a:prstGeom>
                          <a:noFill/>
                          <a:ln w="9525">
                            <a:noFill/>
                            <a:headEnd/>
                            <a:tailEnd/>
                          </a:ln>
                        </pic:spPr>
                      </pic:pic>
                    </a:graphicData>
                  </a:graphic>
                </wp:inline>
              </w:drawing>
            </w:r>
          </w:p>
          <w:p>
            <w:pPr>
              <w:jc w:val="center"/>
            </w:pPr>
            <w:pPr>
              <w:jc w:val="left"/>
              <w:spacing w:before="200"/>
              <w:pStyle w:val="ImageCaption"/>
            </w:pPr>
            <w:r>
              <w:t xml:space="preserve">Fig. 1: Observed and predicted chlorophll-a (</w:t>
            </w:r>
            <m:oMath>
              <m:r>
                <m:t>μ</m:t>
              </m:r>
            </m:oMath>
            <w:r>
              <w:t xml:space="preserve">g/L) for the four major bay segments of Tampa Bay. Observed and predicted are shown continuously over time (a) and by month (b). Color shading indicates year. Rows are arranged by bay segment with the top labels in the left column showing the bay segment and the right column showing deviance explained.</w:t>
            </w:r>
          </w:p>
          <w:bookmarkEnd w:id="31"/>
        </w:tc>
      </w:tr>
    </w:tbl>
    <w:p>
      <w:r>
        <w:br w:type="page"/>
      </w:r>
    </w:p>
    <w:tbl>
      <w:tblPr>
        <w:tblStyle w:val="Table"/>
        <w:tblW w:type="pct" w:w="5000"/>
        <w:tblLayout w:type="fixed"/>
        <w:tblLook w:firstRow="0" w:lastRow="0" w:firstColumn="0" w:lastColumn="0" w:noHBand="0" w:noVBand="0" w:val="0000"/>
      </w:tblPr>
      <w:tblGrid>
        <w:gridCol w:w="7920"/>
      </w:tblGrid>
      <w:tr>
        <w:tc>
          <w:tcPr/>
          <w:bookmarkStart w:id="35" w:name="fig-prdnrm"/>
          <w:p>
            <w:pPr>
              <w:pStyle w:val="Compact"/>
              <w:jc w:val="center"/>
            </w:pPr>
            <w:r>
              <w:drawing>
                <wp:inline>
                  <wp:extent cx="5943600" cy="4245428"/>
                  <wp:effectExtent b="0" l="0" r="0" t="0"/>
                  <wp:docPr descr="" title="" id="33" name="Picture"/>
                  <a:graphic>
                    <a:graphicData uri="http://schemas.openxmlformats.org/drawingml/2006/picture">
                      <pic:pic>
                        <pic:nvPicPr>
                          <pic:cNvPr descr="figs/prdnrm.png" id="34" name="Picture"/>
                          <pic:cNvPicPr>
                            <a:picLocks noChangeArrowheads="1" noChangeAspect="1"/>
                          </pic:cNvPicPr>
                        </pic:nvPicPr>
                        <pic:blipFill>
                          <a:blip r:embed="rId32"/>
                          <a:stretch>
                            <a:fillRect/>
                          </a:stretch>
                        </pic:blipFill>
                        <pic:spPr bwMode="auto">
                          <a:xfrm>
                            <a:off x="0" y="0"/>
                            <a:ext cx="5943600" cy="4245428"/>
                          </a:xfrm>
                          <a:prstGeom prst="rect">
                            <a:avLst/>
                          </a:prstGeom>
                          <a:noFill/>
                          <a:ln w="9525">
                            <a:noFill/>
                            <a:headEnd/>
                            <a:tailEnd/>
                          </a:ln>
                        </pic:spPr>
                      </pic:pic>
                    </a:graphicData>
                  </a:graphic>
                </wp:inline>
              </w:drawing>
            </w:r>
          </w:p>
          <w:p>
            <w:pPr>
              <w:jc w:val="center"/>
            </w:pPr>
            <w:pPr>
              <w:jc w:val="left"/>
              <w:spacing w:before="200"/>
              <w:pStyle w:val="ImageCaption"/>
            </w:pPr>
            <w:r>
              <w:t xml:space="preserve">Fig. 2: Annual predictions, normalized estimates, and mean salinity estimates for chlorophyll-a by major bay segment from the separate GAMs. Normalized values (solid lines) are those that remove the salinity influence using the mean result of predictions across a range of salinity values at each time step, whereas the mean salinity values (dashed lines) are annual predictions across a constant mean salinity for each bay segment. OTB: Old Tampa Bay; HB: Hillsborough Bay; MTB: Middle Tampa Bay; LTB: Lower Tampa Bay.</w:t>
            </w:r>
          </w:p>
          <w:bookmarkEnd w:id="35"/>
        </w:tc>
      </w:tr>
    </w:tbl>
    <w:p>
      <w:r>
        <w:br w:type="page"/>
      </w:r>
    </w:p>
    <w:tbl>
      <w:tblPr>
        <w:tblStyle w:val="Table"/>
        <w:tblW w:type="pct" w:w="5000"/>
        <w:tblLayout w:type="fixed"/>
        <w:tblLook w:firstRow="0" w:lastRow="0" w:firstColumn="0" w:lastColumn="0" w:noHBand="0" w:noVBand="0" w:val="0000"/>
      </w:tblPr>
      <w:tblGrid>
        <w:gridCol w:w="7920"/>
      </w:tblGrid>
      <w:tr>
        <w:tc>
          <w:tcPr/>
          <w:bookmarkStart w:id="39" w:name="fig-gridplo"/>
          <w:p>
            <w:pPr>
              <w:pStyle w:val="Compact"/>
              <w:jc w:val="center"/>
            </w:pPr>
            <w:r>
              <w:drawing>
                <wp:inline>
                  <wp:extent cx="5943600" cy="4862945"/>
                  <wp:effectExtent b="0" l="0" r="0" t="0"/>
                  <wp:docPr descr="" title="" id="37" name="Picture"/>
                  <a:graphic>
                    <a:graphicData uri="http://schemas.openxmlformats.org/drawingml/2006/picture">
                      <pic:pic>
                        <pic:nvPicPr>
                          <pic:cNvPr descr="figs/gridplo.png" id="38" name="Picture"/>
                          <pic:cNvPicPr>
                            <a:picLocks noChangeArrowheads="1" noChangeAspect="1"/>
                          </pic:cNvPicPr>
                        </pic:nvPicPr>
                        <pic:blipFill>
                          <a:blip r:embed="rId36"/>
                          <a:stretch>
                            <a:fillRect/>
                          </a:stretch>
                        </pic:blipFill>
                        <pic:spPr bwMode="auto">
                          <a:xfrm>
                            <a:off x="0" y="0"/>
                            <a:ext cx="5943600" cy="4862945"/>
                          </a:xfrm>
                          <a:prstGeom prst="rect">
                            <a:avLst/>
                          </a:prstGeom>
                          <a:noFill/>
                          <a:ln w="9525">
                            <a:noFill/>
                            <a:headEnd/>
                            <a:tailEnd/>
                          </a:ln>
                        </pic:spPr>
                      </pic:pic>
                    </a:graphicData>
                  </a:graphic>
                </wp:inline>
              </w:drawing>
            </w:r>
          </w:p>
          <w:p>
            <w:pPr>
              <w:jc w:val="center"/>
            </w:pPr>
            <w:pPr>
              <w:jc w:val="left"/>
              <w:spacing w:before="200"/>
              <w:pStyle w:val="ImageCaption"/>
            </w:pPr>
            <w:r>
              <w:t xml:space="preserve">Fig. 3: Predicted chlorophyll-a (</w:t>
            </w:r>
            <m:oMath>
              <m:r>
                <m:t>μ</m:t>
              </m:r>
            </m:oMath>
            <w:r>
              <w:t xml:space="preserve">g/L) during the rainy season (June to November) from 2005 to present as related to salinity (ppth) by major bay segment. Facets are arranged to show how the monthly predictions vary across years and different salnity ranges. The points show the model predicted results for the observed salinity. Salinity ranges in each plot are fixed the minimum and maximum observed across years for the month. OTB: Old Tampa Bay; HB: Hillsborough Bay; MTB: Middle Tampa Bay; LTB: Lower Tampa Bay.</w:t>
            </w:r>
          </w:p>
          <w:bookmarkEnd w:id="39"/>
        </w:tc>
      </w:tr>
    </w:tbl>
    <w:p>
      <w:r>
        <w:br w:type="page"/>
      </w:r>
    </w:p>
    <w:tbl>
      <w:tblPr>
        <w:tblStyle w:val="Table"/>
        <w:tblW w:type="pct" w:w="5000"/>
        <w:tblLayout w:type="fixed"/>
        <w:tblLook w:firstRow="0" w:lastRow="0" w:firstColumn="0" w:lastColumn="0" w:noHBand="0" w:noVBand="0" w:val="0000"/>
      </w:tblPr>
      <w:tblGrid>
        <w:gridCol w:w="7920"/>
      </w:tblGrid>
      <w:tr>
        <w:tc>
          <w:tcPr/>
          <w:bookmarkStart w:id="43" w:name="fig-salresp"/>
          <w:p>
            <w:pPr>
              <w:pStyle w:val="Compact"/>
              <w:jc w:val="center"/>
            </w:pPr>
            <w:r>
              <w:drawing>
                <wp:inline>
                  <wp:extent cx="5943600" cy="5943600"/>
                  <wp:effectExtent b="0" l="0" r="0" t="0"/>
                  <wp:docPr descr="" title="" id="41" name="Picture"/>
                  <a:graphic>
                    <a:graphicData uri="http://schemas.openxmlformats.org/drawingml/2006/picture">
                      <pic:pic>
                        <pic:nvPicPr>
                          <pic:cNvPr descr="figs/salresp.png" id="42" name="Picture"/>
                          <pic:cNvPicPr>
                            <a:picLocks noChangeArrowheads="1" noChangeAspect="1"/>
                          </pic:cNvPicPr>
                        </pic:nvPicPr>
                        <pic:blipFill>
                          <a:blip r:embed="rId40"/>
                          <a:stretch>
                            <a:fillRect/>
                          </a:stretch>
                        </pic:blipFill>
                        <pic:spPr bwMode="auto">
                          <a:xfrm>
                            <a:off x="0" y="0"/>
                            <a:ext cx="5943600" cy="5943600"/>
                          </a:xfrm>
                          <a:prstGeom prst="rect">
                            <a:avLst/>
                          </a:prstGeom>
                          <a:noFill/>
                          <a:ln w="9525">
                            <a:noFill/>
                            <a:headEnd/>
                            <a:tailEnd/>
                          </a:ln>
                        </pic:spPr>
                      </pic:pic>
                    </a:graphicData>
                  </a:graphic>
                </wp:inline>
              </w:drawing>
            </w:r>
          </w:p>
          <w:p>
            <w:pPr>
              <w:jc w:val="center"/>
            </w:pPr>
            <w:pPr>
              <w:jc w:val="left"/>
              <w:spacing w:before="200"/>
              <w:pStyle w:val="ImageCaption"/>
            </w:pPr>
            <w:r>
              <w:t xml:space="preserve">Fig. 4: Modelled chloropyll-a (</w:t>
            </w:r>
            <m:oMath>
              <m:r>
                <m:t>μ</m:t>
              </m:r>
            </m:oMath>
            <w:r>
              <w:t xml:space="preserve">g/L) response with changing salinity (ppth) for 1980 and 2020. Plot facets show approximate seasonal divisions (February, May, August, November) for each bay segment. Salinity ranges are fixed to the 5th and 95th percentiles observed for the time period. OTB: Old Tampa Bay; HB: Hillsborough Bay; MTB: Middle Tampa Bay; LTB: Lower Tampa Bay.</w:t>
            </w:r>
          </w:p>
          <w:bookmarkEnd w:id="43"/>
        </w:tc>
      </w:tr>
    </w:tbl>
    <w:p>
      <w:r>
        <w:br w:type="page"/>
      </w:r>
    </w:p>
    <w:tbl>
      <w:tblPr>
        <w:tblStyle w:val="Table"/>
        <w:tblW w:type="pct" w:w="5000"/>
        <w:tblLayout w:type="fixed"/>
        <w:tblLook w:firstRow="0" w:lastRow="0" w:firstColumn="0" w:lastColumn="0" w:noHBand="0" w:noVBand="0" w:val="0000"/>
      </w:tblPr>
      <w:tblGrid>
        <w:gridCol w:w="7920"/>
      </w:tblGrid>
      <w:tr>
        <w:tc>
          <w:tcPr/>
          <w:bookmarkStart w:id="47" w:name="fig-hydnrm"/>
          <w:p>
            <w:pPr>
              <w:pStyle w:val="Compact"/>
              <w:jc w:val="center"/>
            </w:pPr>
            <w:r>
              <w:drawing>
                <wp:inline>
                  <wp:extent cx="5943600" cy="5943600"/>
                  <wp:effectExtent b="0" l="0" r="0" t="0"/>
                  <wp:docPr descr="" title="" id="45" name="Picture"/>
                  <a:graphic>
                    <a:graphicData uri="http://schemas.openxmlformats.org/drawingml/2006/picture">
                      <pic:pic>
                        <pic:nvPicPr>
                          <pic:cNvPr descr="figs/hydnrm.png" id="46" name="Picture"/>
                          <pic:cNvPicPr>
                            <a:picLocks noChangeArrowheads="1" noChangeAspect="1"/>
                          </pic:cNvPicPr>
                        </pic:nvPicPr>
                        <pic:blipFill>
                          <a:blip r:embed="rId44"/>
                          <a:stretch>
                            <a:fillRect/>
                          </a:stretch>
                        </pic:blipFill>
                        <pic:spPr bwMode="auto">
                          <a:xfrm>
                            <a:off x="0" y="0"/>
                            <a:ext cx="5943600" cy="5943600"/>
                          </a:xfrm>
                          <a:prstGeom prst="rect">
                            <a:avLst/>
                          </a:prstGeom>
                          <a:noFill/>
                          <a:ln w="9525">
                            <a:noFill/>
                            <a:headEnd/>
                            <a:tailEnd/>
                          </a:ln>
                        </pic:spPr>
                      </pic:pic>
                    </a:graphicData>
                  </a:graphic>
                </wp:inline>
              </w:drawing>
            </w:r>
          </w:p>
          <w:p>
            <w:pPr>
              <w:jc w:val="center"/>
            </w:pPr>
            <w:pPr>
              <w:jc w:val="left"/>
              <w:spacing w:before="200"/>
              <w:pStyle w:val="ImageCaption"/>
            </w:pPr>
            <w:r>
              <w:t xml:space="preserve">Fig. 5: Salinity-normalized chlorophyll-a (</w:t>
            </w:r>
            <m:oMath>
              <m:r>
                <m:t>μ</m:t>
              </m:r>
            </m:oMath>
            <w:r>
              <w:t xml:space="preserve">g/L) related to hydology from 2004 to present in Old Tampa Bay. GAM-predicted chlorophyll-a (points) and salinity-normalized (lines) are shown for each quarter (a), followed by hydrologic load anomalies (10</w:t>
            </w:r>
            <m:oMath>
              <m:sSup>
                <m:e>
                  <m:r>
                    <m:t>​</m:t>
                  </m:r>
                </m:e>
                <m:sup>
                  <m:r>
                    <m:t>6</m:t>
                  </m:r>
                </m:sup>
              </m:sSup>
            </m:oMath>
            <w:r>
              <w:t xml:space="preserve"> </w:t>
            </w:r>
            <w:r>
              <w:t xml:space="preserve">m</w:t>
            </w:r>
            <m:oMath>
              <m:sSup>
                <m:e>
                  <m:r>
                    <m:t>​</m:t>
                  </m:r>
                </m:e>
                <m:sup>
                  <m:r>
                    <m:t>3</m:t>
                  </m:r>
                </m:sup>
              </m:sSup>
            </m:oMath>
            <w:r>
              <w:t xml:space="preserve"> </w:t>
            </w:r>
            <w:r>
              <w:t xml:space="preserve">/ quarter) as the load minus the long-term average by quarter (b), followed by the relationship between the predicted minus salinity-normalized chlorophyll and the hydrologic load anomalies by quarter (c). Model R</w:t>
            </w:r>
            <m:oMath>
              <m:sSup>
                <m:e>
                  <m:r>
                    <m:t>​</m:t>
                  </m:r>
                </m:e>
                <m:sup>
                  <m:r>
                    <m:t>2</m:t>
                  </m:r>
                </m:sup>
              </m:sSup>
            </m:oMath>
            <w:r>
              <w:t xml:space="preserve"> </w:t>
            </w:r>
            <w:r>
              <w:t xml:space="preserve">values are shown for the linear regression fit (lines) in (c). JFM: January, February, March; AMJ: April, May, June; JAS: July, August, September; OND: October, November, December.</w:t>
            </w:r>
          </w:p>
          <w:bookmarkEnd w:id="47"/>
        </w:tc>
      </w:tr>
    </w:tbl>
    <w:p>
      <w:r>
        <w:br w:type="page"/>
      </w:r>
    </w:p>
    <w:bookmarkEnd w:id="48"/>
    <w:bookmarkStart w:id="51" w:name="tables"/>
    <w:p>
      <w:pPr>
        <w:pStyle w:val="Heading2"/>
      </w:pPr>
      <w:r>
        <w:t xml:space="preserve">Tables</w:t>
      </w:r>
    </w:p>
    <w:tbl>
      <w:tblPr>
        <w:tblStyle w:val="Table"/>
        <w:tblW w:type="pct" w:w="5000"/>
        <w:tblLayout w:type="fixed"/>
        <w:tblLook w:firstRow="0" w:lastRow="0" w:firstColumn="0" w:lastColumn="0" w:noHBand="0" w:noVBand="0" w:val="0000"/>
      </w:tblPr>
      <w:tblGrid>
        <w:gridCol w:w="7920"/>
      </w:tblGrid>
      <w:tr>
        <w:tc>
          <w:tcPr/>
          <w:bookmarkStart w:id="49" w:name="tbl-gamtab"/>
          <w:p>
            <w:pPr>
              <w:jc w:val="center"/>
            </w:pPr>
            <w:pPr>
              <w:jc w:val="left"/>
              <w:spacing w:before="200"/>
              <w:pStyle w:val="ImageCaption"/>
            </w:pPr>
            <w:r>
              <w:t xml:space="preserve">Table 1: Generalized Additive Model (GAM) summary statistics for chlorophyll-a predictions by bay segment in Tampa Bay. Results for the overall model fit are shown with the Generalized Cross Validation (GCV) score and deviance explained (Dev. Expl.). Summary statistics for the smoothers used in each model are also shown with the estimated degrees of freedom (edf), reference degrees of freedom (Ref.df), F-statitic (F), and p-value (p).</w:t>
            </w:r>
            <w:r>
              <w:t xml:space="preserve"> </w:t>
            </w:r>
            <w:r>
              <w:rPr>
                <w:rStyle w:val="VerbatimChar"/>
              </w:rPr>
              <w:t xml:space="preserve">s()</w:t>
            </w:r>
            <w:r>
              <w:t xml:space="preserve"> </w:t>
            </w:r>
            <w:r>
              <w:t xml:space="preserve">indicates a single spline smooth for the predictor and</w:t>
            </w:r>
            <w:r>
              <w:t xml:space="preserve"> </w:t>
            </w:r>
            <w:r>
              <w:rPr>
                <w:rStyle w:val="VerbatimChar"/>
              </w:rPr>
              <w:t xml:space="preserve">ti()</w:t>
            </w:r>
            <w:r>
              <w:t xml:space="preserve"> </w:t>
            </w:r>
            <w:r>
              <w:t xml:space="preserve">indicatees a tensor product smoother interaction between two predictors. dec_time: decimal time; doy: day of year; sal: salinity (ppth). OTB: Old Tampa Bay; HB: Hillsborough Bay; MTB: Middle Tampa Bay; LTB: Lower Tampa Bay.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323"/>
              <w:gridCol w:w="1103"/>
              <w:gridCol w:w="608"/>
              <w:gridCol w:w="1091"/>
              <w:gridCol w:w="1604"/>
              <w:gridCol w:w="639"/>
              <w:gridCol w:w="700"/>
              <w:gridCol w:w="639"/>
              <w:gridCol w:w="818"/>
            </w:tblGrid>
            <w:tr>
              <w:trPr>
                <w:trHeight w:val="344"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Bay Segment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Num. Obs.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GCV</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Dev. Expl.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Smoother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edf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Ref.df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w:t>
                  </w:r>
                </w:p>
              </w:tc>
            </w:tr>
            <w:tr>
              <w:trPr>
                <w:trHeight w:val="296"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OTB</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r>
            <w:tr>
              <w:trPr>
                <w:trHeight w:val="344"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1427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s(dec_time)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7.37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16.31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&lt; 0.001</w:t>
                  </w:r>
                </w:p>
              </w:tc>
            </w:tr>
            <w:tr>
              <w:trPr>
                <w:trHeight w:val="344"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6.17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94.75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&lt; 0.001</w:t>
                  </w:r>
                </w:p>
              </w:tc>
            </w:tr>
            <w:tr>
              <w:trPr>
                <w:trHeight w:val="344"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&lt; 0.001</w:t>
                  </w:r>
                </w:p>
              </w:tc>
            </w:tr>
            <w:tr>
              <w:trPr>
                <w:trHeight w:val="344"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ti(dec_time,doy)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6.12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&lt; 0.001</w:t>
                  </w:r>
                </w:p>
              </w:tc>
            </w:tr>
            <w:tr>
              <w:trPr>
                <w:trHeight w:val="344"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ti(dec_time,sal)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0.056</w:t>
                  </w:r>
                </w:p>
              </w:tc>
            </w:tr>
            <w:tr>
              <w:trPr>
                <w:trHeight w:val="344"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ti(sal,doy)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6.43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&lt; 0.001</w:t>
                  </w:r>
                </w:p>
              </w:tc>
            </w:tr>
            <w:tr>
              <w:trPr>
                <w:trHeight w:val="29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HB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r>
            <w:tr>
              <w:trPr>
                <w:trHeight w:val="344"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1720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s(dec_time)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6.13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76.71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&lt; 0.001</w:t>
                  </w:r>
                </w:p>
              </w:tc>
            </w:tr>
            <w:tr>
              <w:trPr>
                <w:trHeight w:val="344"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37.32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&lt; 0.001</w:t>
                  </w:r>
                </w:p>
              </w:tc>
            </w:tr>
            <w:tr>
              <w:trPr>
                <w:trHeight w:val="344"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21.56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&lt; 0.001</w:t>
                  </w:r>
                </w:p>
              </w:tc>
            </w:tr>
            <w:tr>
              <w:trPr>
                <w:trHeight w:val="344"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ti(dec_time,doy)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&lt; 0.001</w:t>
                  </w:r>
                </w:p>
              </w:tc>
            </w:tr>
            <w:tr>
              <w:trPr>
                <w:trHeight w:val="344"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ti(dec_time,sal)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6.44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&lt; 0.001</w:t>
                  </w:r>
                </w:p>
              </w:tc>
            </w:tr>
            <w:tr>
              <w:trPr>
                <w:trHeight w:val="344"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ti(sal,doy)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0.024</w:t>
                  </w:r>
                </w:p>
              </w:tc>
            </w:tr>
            <w:tr>
              <w:trPr>
                <w:trHeight w:val="290"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MTB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r>
            <w:tr>
              <w:trPr>
                <w:trHeight w:val="344"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s(dec_time)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14.29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17.65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43.95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&lt; 0.001</w:t>
                  </w:r>
                </w:p>
              </w:tc>
            </w:tr>
            <w:tr>
              <w:trPr>
                <w:trHeight w:val="344"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74.45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&lt; 0.001</w:t>
                  </w:r>
                </w:p>
              </w:tc>
            </w:tr>
            <w:tr>
              <w:trPr>
                <w:trHeight w:val="344"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32.21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&lt; 0.001</w:t>
                  </w:r>
                </w:p>
              </w:tc>
            </w:tr>
            <w:tr>
              <w:trPr>
                <w:trHeight w:val="344"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ti(dec_time,doy)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&lt; 0.001</w:t>
                  </w:r>
                </w:p>
              </w:tc>
            </w:tr>
            <w:tr>
              <w:trPr>
                <w:trHeight w:val="344" w:hRule="auto"/>
              </w:trPr>
              body20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ti(dec_time,sal)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6.27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&lt; 0.001</w:t>
                  </w:r>
                </w:p>
              </w:tc>
            </w:tr>
            <w:tr>
              <w:trPr>
                <w:trHeight w:val="344" w:hRule="auto"/>
              </w:trPr>
              body21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ti(sal,doy)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0.038</w:t>
                  </w:r>
                </w:p>
              </w:tc>
            </w:tr>
            <w:tr>
              <w:trPr>
                <w:trHeight w:val="290" w:hRule="auto"/>
              </w:trPr>
              body22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LTB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r>
            <w:tr>
              <w:trPr>
                <w:trHeight w:val="344" w:hRule="auto"/>
              </w:trPr>
              body23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1053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s(dec_time)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16.18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7.58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&lt; 0.001</w:t>
                  </w:r>
                </w:p>
              </w:tc>
            </w:tr>
            <w:tr>
              <w:trPr>
                <w:trHeight w:val="344" w:hRule="auto"/>
              </w:trPr>
              body24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32.68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&lt; 0.001</w:t>
                  </w:r>
                </w:p>
              </w:tc>
            </w:tr>
            <w:tr>
              <w:trPr>
                <w:trHeight w:val="344" w:hRule="auto"/>
              </w:trPr>
              body25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17.54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&lt; 0.001</w:t>
                  </w:r>
                </w:p>
              </w:tc>
            </w:tr>
            <w:tr>
              <w:trPr>
                <w:trHeight w:val="344" w:hRule="auto"/>
              </w:trPr>
              body26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ti(dec_time,doy)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&lt; 0.001</w:t>
                  </w:r>
                </w:p>
              </w:tc>
            </w:tr>
            <w:tr>
              <w:trPr>
                <w:trHeight w:val="344" w:hRule="auto"/>
              </w:trPr>
              body27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ti(dec_time,sal)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0.235</w:t>
                  </w:r>
                </w:p>
              </w:tc>
            </w:tr>
            <w:tr>
              <w:trPr>
                <w:trHeight w:val="344" w:hRule="auto"/>
              </w:trPr>
              body28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ti(sal,doy)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0.38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0.048</w:t>
                  </w:r>
                </w:p>
              </w:tc>
            </w:tr>
          </w:tbl>
          <w:bookmarkEnd w:id="49"/>
        </w:tc>
      </w:tr>
    </w:tbl>
    <w:p>
      <w:r>
        <w:br w:type="page"/>
      </w:r>
    </w:p>
    <w:tbl>
      <w:tblPr>
        <w:tblStyle w:val="Table"/>
        <w:tblW w:type="pct" w:w="5000"/>
        <w:tblLayout w:type="fixed"/>
        <w:tblLook w:firstRow="0" w:lastRow="0" w:firstColumn="0" w:lastColumn="0" w:noHBand="0" w:noVBand="0" w:val="0000"/>
      </w:tblPr>
      <w:tblGrid>
        <w:gridCol w:w="7920"/>
      </w:tblGrid>
      <w:tr>
        <w:tc>
          <w:tcPr/>
          <w:bookmarkStart w:id="50" w:name="tbl-hydnrmtab"/>
          <w:p>
            <w:pPr>
              <w:jc w:val="center"/>
            </w:pPr>
            <w:pPr>
              <w:jc w:val="left"/>
              <w:spacing w:before="200"/>
              <w:pStyle w:val="ImageCaption"/>
            </w:pPr>
            <w:r>
              <w:t xml:space="preserve">Table 2: Linear model fits between the predicted minus salinity-normalized chlorophyll and the hydrologic load anomalies by quarter, bay segment, and annual periods. OTB: Old Tampa Bay, HB: Hillsborough Bay, MTB: Middle Tampa Bay, LTB: Lower Tampa Bay. JFM: January, February, March; AMJ: April, May, June; JAS: July, August, September; OND: October, November, December. p &lt; 0.05 *; p &lt; 0.005 **.</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323"/>
              <w:gridCol w:w="816"/>
              <w:gridCol w:w="1556"/>
              <w:gridCol w:w="1085"/>
              <w:gridCol w:w="1556"/>
              <w:gridCol w:w="1085"/>
            </w:tblGrid>
            <w:tr>
              <w:trPr>
                <w:trHeight w:val="296"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gridSpan w:val="2"/>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1985 - 2003</w:t>
                  </w:r>
                </w:p>
              </w:tc>
              <w:tc>
                <w:tcPr>
                  <w:gridSpan w:val="2"/>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2004 - 2024</w:t>
                  </w:r>
                </w:p>
              </w:tc>
            </w:tr>
            <w:tr>
              <w:trPr>
                <w:trHeight w:val="344" w:hRule="auto"/>
                <w:tblHeader/>
              </w:trPr>
              header 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Bay Segment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Quarter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Slope (SE)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R-Squared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Slope (SE)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R-Squared</w:t>
                  </w:r>
                </w:p>
              </w:tc>
            </w:tr>
            <w:tr>
              <w:trPr>
                <w:trHeight w:val="296"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OTB</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r>
            <w:tr>
              <w:trPr>
                <w:trHeight w:val="344"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JFM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0.011 (0.003)**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0.001 (0.004)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w:t>
                  </w:r>
                </w:p>
              </w:tc>
            </w:tr>
            <w:tr>
              <w:trPr>
                <w:trHeight w:val="344"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AMJ</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0.001 (0.003)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0.004 (0.002)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0.13</w:t>
                  </w:r>
                </w:p>
              </w:tc>
            </w:tr>
            <w:tr>
              <w:trPr>
                <w:trHeight w:val="344"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JAS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0.013 (0.005)*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0.011 (0.003)**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0.41</w:t>
                  </w:r>
                </w:p>
              </w:tc>
            </w:tr>
            <w:tr>
              <w:trPr>
                <w:trHeight w:val="344"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OND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0.007 (0.01)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0.018 (0.006)**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0.35</w:t>
                  </w:r>
                </w:p>
              </w:tc>
            </w:tr>
            <w:tr>
              <w:trPr>
                <w:trHeight w:val="29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HB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r>
            <w:tr>
              <w:trPr>
                <w:trHeight w:val="344"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JFM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0.015 (0.001)**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0.011 (0.002)**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0.56</w:t>
                  </w:r>
                </w:p>
              </w:tc>
            </w:tr>
            <w:tr>
              <w:trPr>
                <w:trHeight w:val="344"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AMJ</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0.011 (0.005)*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0.012 (0.004)**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0.39</w:t>
                  </w:r>
                </w:p>
              </w:tc>
            </w:tr>
            <w:tr>
              <w:trPr>
                <w:trHeight w:val="344"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JAS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0.016 (0.003)**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0.006 (0.003)*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0.2</w:t>
                  </w:r>
                </w:p>
              </w:tc>
            </w:tr>
            <w:tr>
              <w:trPr>
                <w:trHeight w:val="344"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OND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0.011 (0.004)*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0.017 (0.003)**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0.67</w:t>
                  </w:r>
                </w:p>
              </w:tc>
            </w:tr>
            <w:tr>
              <w:trPr>
                <w:trHeight w:val="290"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MTB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r>
            <w:tr>
              <w:trPr>
                <w:trHeight w:val="344"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JFM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0.017 (0.002)**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0.002 (0.002)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0.05</w:t>
                  </w:r>
                </w:p>
              </w:tc>
            </w:tr>
            <w:tr>
              <w:trPr>
                <w:trHeight w:val="344"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AMJ</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0.001 (0.004)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0.001 (0.002)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0.01</w:t>
                  </w:r>
                </w:p>
              </w:tc>
            </w:tr>
            <w:tr>
              <w:trPr>
                <w:trHeight w:val="344"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JAS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0.006 (0.003)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0.009 (0.003)**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0.4</w:t>
                  </w:r>
                </w:p>
              </w:tc>
            </w:tr>
            <w:tr>
              <w:trPr>
                <w:trHeight w:val="344"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OND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0.011 (0.005)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0.012 (0.005)*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0.23</w:t>
                  </w:r>
                </w:p>
              </w:tc>
            </w:tr>
            <w:tr>
              <w:trPr>
                <w:trHeight w:val="290"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LTB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r>
            <w:tr>
              <w:trPr>
                <w:trHeight w:val="344"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JFM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0.012 (0.002)**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0.001 (0.002)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0.01</w:t>
                  </w:r>
                </w:p>
              </w:tc>
            </w:tr>
            <w:tr>
              <w:trPr>
                <w:trHeight w:val="344"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AMJ</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0.003 (0.001)*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0.001 (0.002)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0.01</w:t>
                  </w:r>
                </w:p>
              </w:tc>
            </w:tr>
            <w:tr>
              <w:trPr>
                <w:trHeight w:val="344"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JAS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0.004 (0.002)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0.004 (0.004)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0.05</w:t>
                  </w:r>
                </w:p>
              </w:tc>
            </w:tr>
            <w:tr>
              <w:trPr>
                <w:trHeight w:val="344" w:hRule="auto"/>
              </w:trPr>
              body20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OND</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0.011 (0.005)*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0.21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0.008 (0.006)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0.07</w:t>
                  </w:r>
                </w:p>
              </w:tc>
            </w:tr>
          </w:tbl>
          <w:bookmarkEnd w:id="50"/>
        </w:tc>
      </w:tr>
    </w:tbl>
    <w:p>
      <w:r>
        <w:br w:type="page"/>
      </w:r>
    </w:p>
    <w:bookmarkEnd w:id="51"/>
    <w:bookmarkStart w:id="53" w:name="data-availability"/>
    <w:p>
      <w:pPr>
        <w:pStyle w:val="Heading2"/>
      </w:pPr>
      <w:r>
        <w:t xml:space="preserve">Data Availability</w:t>
      </w:r>
    </w:p>
    <w:p>
      <w:pPr>
        <w:pStyle w:val="FirstParagraph"/>
      </w:pPr>
      <w:r>
        <w:t xml:space="preserve">All data and analysis code for this manuscript is available on GitHub at</w:t>
      </w:r>
      <w:r>
        <w:t xml:space="preserve"> </w:t>
      </w:r>
      <w:hyperlink r:id="rId52">
        <w:r>
          <w:rPr>
            <w:rStyle w:val="Hyperlink"/>
          </w:rPr>
          <w:t xml:space="preserve">https://github.com/tbep-tech/chlhydro-manu</w:t>
        </w:r>
      </w:hyperlink>
      <w:r>
        <w:t xml:space="preserve">.</w:t>
      </w:r>
    </w:p>
    <w:bookmarkEnd w:id="53"/>
    <w:bookmarkStart w:id="54" w:name="acknowledgments"/>
    <w:p>
      <w:pPr>
        <w:pStyle w:val="Heading2"/>
      </w:pPr>
      <w:r>
        <w:t xml:space="preserve">Acknowledgments</w:t>
      </w:r>
    </w:p>
    <w:p>
      <w:pPr>
        <w:pStyle w:val="FirstParagraph"/>
      </w:pPr>
      <w:r>
        <w:t xml:space="preserve">This work benefited from constructive discussions with the Technical Advisory Committee of the Tampa Bay Estuary Program (TBEP). We are thankful for constructive comments provided by xxx anonymous reviewers. We are indebted to the community of field and technical staff that have routinely collected and maintained the valuable long-term monitoring data used in this study.</w:t>
      </w:r>
    </w:p>
    <w:bookmarkEnd w:id="54"/>
    <w:bookmarkStart w:id="58" w:name="statements-and-declarations"/>
    <w:p>
      <w:pPr>
        <w:pStyle w:val="Heading2"/>
      </w:pPr>
      <w:r>
        <w:t xml:space="preserve">Statements and Declarations</w:t>
      </w:r>
    </w:p>
    <w:bookmarkStart w:id="55" w:name="author-contributions"/>
    <w:p>
      <w:pPr>
        <w:pStyle w:val="Heading3"/>
      </w:pPr>
      <w:r>
        <w:t xml:space="preserve">Author Contributions</w:t>
      </w:r>
    </w:p>
    <w:p>
      <w:pPr>
        <w:pStyle w:val="FirstParagraph"/>
      </w:pPr>
      <w:r>
        <w:t xml:space="preserve">Conceptualization: Marcus W Beck, Kerry Flaherty-Walia, Maya C Burke, Edward T Sherwood; Data Curation: Marcus W Beck; Methodology: Marcus W Beck, Kerry Flaherty-Walia, Maya C Burke, Edward T Sherwood; Formal analysis and investigation: Marcus W Beck; Writing - original draft preparation: all authors; Writing - review and editing: all authors; Funding acquisition: Edward T Sherwood.</w:t>
      </w:r>
    </w:p>
    <w:bookmarkEnd w:id="55"/>
    <w:bookmarkStart w:id="56" w:name="ethics-declaration"/>
    <w:p>
      <w:pPr>
        <w:pStyle w:val="Heading3"/>
      </w:pPr>
      <w:r>
        <w:t xml:space="preserve">Ethics Declaration</w:t>
      </w:r>
    </w:p>
    <w:p>
      <w:pPr>
        <w:pStyle w:val="FirstParagraph"/>
      </w:pPr>
      <w:r>
        <w:t xml:space="preserve">The authors have no competing interests to declare that are relevant to the content of this article.</w:t>
      </w:r>
    </w:p>
    <w:bookmarkEnd w:id="56"/>
    <w:bookmarkStart w:id="57" w:name="funding"/>
    <w:p>
      <w:pPr>
        <w:pStyle w:val="Heading3"/>
      </w:pPr>
      <w:r>
        <w:t xml:space="preserve">Funding</w:t>
      </w:r>
    </w:p>
    <w:p>
      <w:pPr>
        <w:pStyle w:val="FirstParagraph"/>
      </w:pPr>
      <w:r>
        <w:t xml:space="preserve">This study was funded by EPA Section 320 Grant Funds, and the TBEP’s local government partners (Hillsborough, Manatee, Pasco, and Pinellas Counties; the Cities of Clearwater, St. Petersburg, and Tampa; Tampa Bay Water; and the Southwest Florida Water Management District) through contributions to the operating budget.</w:t>
      </w:r>
    </w:p>
    <w:bookmarkEnd w:id="57"/>
    <w:bookmarkEnd w:id="58"/>
    <w:bookmarkStart w:id="59" w:name="references"/>
    <w:p>
      <w:pPr>
        <w:pStyle w:val="Heading2"/>
      </w:pPr>
      <w:r>
        <w:t xml:space="preserve">References</w:t>
      </w:r>
    </w:p>
    <w:bookmarkEnd w:id="59"/>
    <w:sectPr w:rsidR="00452488" w:rsidRPr="00452488" w:rsidSect="003C73CD">
      <w:footerReference r:id="rId9" w:type="default"/>
      <w:pgSz w:h="15840" w:w="12240"/>
      <w:pgMar w:bottom="1440" w:footer="720" w:gutter="0" w:header="720" w:left="1440" w:right="1440" w:top="1440"/>
      <w:lnNumType w:countBy="1" w:restart="continuous"/>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08962650"/>
      <w:docPartObj>
        <w:docPartGallery w:val="Page Numbers (Bottom of Page)"/>
        <w:docPartUnique/>
      </w:docPartObj>
    </w:sdtPr>
    <w:sdtEndPr>
      <w:rPr>
        <w:noProof/>
      </w:rPr>
    </w:sdtEndPr>
    <w:sdtContent>
      <w:p w14:paraId="741E02C2" w14:textId="09757D57" w:rsidR="003C73CD" w:rsidRDefault="003C73CD">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B0D778D" w14:textId="77777777" w:rsidR="003C73CD" w:rsidRDefault="003C73CD">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A6F42C1D"/>
    <w:multiLevelType w:val="multilevel"/>
    <w:tmpl w:val="45FC37E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E17F69BA"/>
    <w:multiLevelType w:val="multilevel"/>
    <w:tmpl w:val="0BBEBA2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2">
    <w:nsid w:val="FFFFFF7C"/>
    <w:multiLevelType w:val="singleLevel"/>
    <w:tmpl w:val="3ACC0CC6"/>
    <w:lvl w:ilvl="0">
      <w:start w:val="1"/>
      <w:numFmt w:val="decimal"/>
      <w:lvlText w:val="%1."/>
      <w:lvlJc w:val="left"/>
      <w:pPr>
        <w:tabs>
          <w:tab w:pos="1800" w:val="num"/>
        </w:tabs>
        <w:ind w:hanging="360" w:left="1800"/>
      </w:pPr>
    </w:lvl>
  </w:abstractNum>
  <w:abstractNum w15:restartNumberingAfterBreak="0" w:abstractNumId="3">
    <w:nsid w:val="FFFFFF7D"/>
    <w:multiLevelType w:val="singleLevel"/>
    <w:tmpl w:val="5C746208"/>
    <w:lvl w:ilvl="0">
      <w:start w:val="1"/>
      <w:numFmt w:val="decimal"/>
      <w:lvlText w:val="%1."/>
      <w:lvlJc w:val="left"/>
      <w:pPr>
        <w:tabs>
          <w:tab w:pos="1440" w:val="num"/>
        </w:tabs>
        <w:ind w:hanging="360" w:left="1440"/>
      </w:pPr>
    </w:lvl>
  </w:abstractNum>
  <w:abstractNum w15:restartNumberingAfterBreak="0" w:abstractNumId="4">
    <w:nsid w:val="FFFFFF7E"/>
    <w:multiLevelType w:val="singleLevel"/>
    <w:tmpl w:val="4C9A394A"/>
    <w:lvl w:ilvl="0">
      <w:start w:val="1"/>
      <w:numFmt w:val="decimal"/>
      <w:lvlText w:val="%1."/>
      <w:lvlJc w:val="left"/>
      <w:pPr>
        <w:tabs>
          <w:tab w:pos="1080" w:val="num"/>
        </w:tabs>
        <w:ind w:hanging="360" w:left="1080"/>
      </w:pPr>
    </w:lvl>
  </w:abstractNum>
  <w:abstractNum w15:restartNumberingAfterBreak="0" w:abstractNumId="5">
    <w:nsid w:val="FFFFFF7F"/>
    <w:multiLevelType w:val="singleLevel"/>
    <w:tmpl w:val="2C728B4C"/>
    <w:lvl w:ilvl="0">
      <w:start w:val="1"/>
      <w:numFmt w:val="decimal"/>
      <w:lvlText w:val="%1."/>
      <w:lvlJc w:val="left"/>
      <w:pPr>
        <w:tabs>
          <w:tab w:pos="720" w:val="num"/>
        </w:tabs>
        <w:ind w:hanging="360" w:left="720"/>
      </w:pPr>
    </w:lvl>
  </w:abstractNum>
  <w:abstractNum w15:restartNumberingAfterBreak="0" w:abstractNumId="6">
    <w:nsid w:val="FFFFFF80"/>
    <w:multiLevelType w:val="singleLevel"/>
    <w:tmpl w:val="E646BB8C"/>
    <w:lvl w:ilvl="0">
      <w:start w:val="1"/>
      <w:numFmt w:val="bullet"/>
      <w:pStyle w:val="ListBullet5"/>
      <w:lvlText w:val=""/>
      <w:lvlJc w:val="left"/>
      <w:pPr>
        <w:tabs>
          <w:tab w:pos="1800" w:val="num"/>
        </w:tabs>
        <w:ind w:hanging="360" w:left="1800"/>
      </w:pPr>
      <w:rPr>
        <w:rFonts w:ascii="Symbol" w:hAnsi="Symbol" w:hint="default"/>
      </w:rPr>
    </w:lvl>
  </w:abstractNum>
  <w:abstractNum w15:restartNumberingAfterBreak="0" w:abstractNumId="7">
    <w:nsid w:val="FFFFFF81"/>
    <w:multiLevelType w:val="singleLevel"/>
    <w:tmpl w:val="BBB8F250"/>
    <w:lvl w:ilvl="0">
      <w:start w:val="1"/>
      <w:numFmt w:val="bullet"/>
      <w:pStyle w:val="ListBullet4"/>
      <w:lvlText w:val=""/>
      <w:lvlJc w:val="left"/>
      <w:pPr>
        <w:tabs>
          <w:tab w:pos="1440" w:val="num"/>
        </w:tabs>
        <w:ind w:hanging="360" w:left="1440"/>
      </w:pPr>
      <w:rPr>
        <w:rFonts w:ascii="Symbol" w:hAnsi="Symbol" w:hint="default"/>
      </w:rPr>
    </w:lvl>
  </w:abstractNum>
  <w:abstractNum w15:restartNumberingAfterBreak="0" w:abstractNumId="8">
    <w:nsid w:val="FFFFFF82"/>
    <w:multiLevelType w:val="singleLevel"/>
    <w:tmpl w:val="A8D46850"/>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9">
    <w:nsid w:val="FFFFFF83"/>
    <w:multiLevelType w:val="singleLevel"/>
    <w:tmpl w:val="F23C9B0A"/>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10">
    <w:nsid w:val="FFFFFF88"/>
    <w:multiLevelType w:val="singleLevel"/>
    <w:tmpl w:val="83247984"/>
    <w:lvl w:ilvl="0">
      <w:start w:val="1"/>
      <w:numFmt w:val="decimal"/>
      <w:lvlText w:val="%1."/>
      <w:lvlJc w:val="left"/>
      <w:pPr>
        <w:tabs>
          <w:tab w:pos="360" w:val="num"/>
        </w:tabs>
        <w:ind w:hanging="360" w:left="360"/>
      </w:pPr>
    </w:lvl>
  </w:abstractNum>
  <w:abstractNum w15:restartNumberingAfterBreak="0" w:abstractNumId="11">
    <w:nsid w:val="FFFFFF89"/>
    <w:multiLevelType w:val="singleLevel"/>
    <w:tmpl w:val="1700DEAA"/>
    <w:lvl w:ilvl="0">
      <w:start w:val="1"/>
      <w:numFmt w:val="bullet"/>
      <w:pStyle w:val="ListBullet"/>
      <w:lvlText w:val=""/>
      <w:lvlJc w:val="left"/>
      <w:pPr>
        <w:tabs>
          <w:tab w:pos="360" w:val="num"/>
        </w:tabs>
        <w:ind w:hanging="360" w:left="360"/>
      </w:pPr>
      <w:rPr>
        <w:rFonts w:ascii="Symbol" w:hAnsi="Symbol" w:hint="default"/>
      </w:rPr>
    </w:lvl>
  </w:abstractNum>
  <w:abstractNum w15:restartNumberingAfterBreak="0" w:abstractNumId="12">
    <w:nsid w:val="21725581"/>
    <w:multiLevelType w:val="hybridMultilevel"/>
    <w:tmpl w:val="DE3A0DD4"/>
    <w:lvl w:ilvl="0" w:tplc="04090001">
      <w:start w:val="1"/>
      <w:numFmt w:val="bullet"/>
      <w:lvlText w:val=""/>
      <w:lvlJc w:val="left"/>
      <w:pPr>
        <w:ind w:hanging="360" w:left="360"/>
      </w:pPr>
      <w:rPr>
        <w:rFonts w:ascii="Symbol" w:hAnsi="Symbol" w:hint="default"/>
      </w:rPr>
    </w:lvl>
    <w:lvl w:ilvl="1" w:tplc="04090003">
      <w:start w:val="1"/>
      <w:numFmt w:val="bullet"/>
      <w:lvlText w:val="o"/>
      <w:lvlJc w:val="left"/>
      <w:pPr>
        <w:ind w:hanging="360" w:left="1080"/>
      </w:pPr>
      <w:rPr>
        <w:rFonts w:ascii="Courier New" w:cs="Courier New" w:hAnsi="Courier New" w:hint="default"/>
      </w:rPr>
    </w:lvl>
    <w:lvl w:ilvl="2" w:tplc="04090005">
      <w:start w:val="1"/>
      <w:numFmt w:val="bullet"/>
      <w:lvlText w:val=""/>
      <w:lvlJc w:val="left"/>
      <w:pPr>
        <w:ind w:hanging="360" w:left="1800"/>
      </w:pPr>
      <w:rPr>
        <w:rFonts w:ascii="Wingdings" w:hAnsi="Wingdings" w:hint="default"/>
      </w:rPr>
    </w:lvl>
    <w:lvl w:ilvl="3" w:tplc="04090001">
      <w:start w:val="1"/>
      <w:numFmt w:val="bullet"/>
      <w:lvlText w:val=""/>
      <w:lvlJc w:val="left"/>
      <w:pPr>
        <w:ind w:hanging="360" w:left="2520"/>
      </w:pPr>
      <w:rPr>
        <w:rFonts w:ascii="Symbol" w:hAnsi="Symbol" w:hint="default"/>
      </w:rPr>
    </w:lvl>
    <w:lvl w:ilvl="4" w:tentative="1" w:tplc="04090003">
      <w:start w:val="1"/>
      <w:numFmt w:val="bullet"/>
      <w:lvlText w:val="o"/>
      <w:lvlJc w:val="left"/>
      <w:pPr>
        <w:ind w:hanging="360" w:left="3240"/>
      </w:pPr>
      <w:rPr>
        <w:rFonts w:ascii="Courier New" w:cs="Courier New" w:hAnsi="Courier New" w:hint="default"/>
      </w:rPr>
    </w:lvl>
    <w:lvl w:ilvl="5" w:tentative="1" w:tplc="04090005">
      <w:start w:val="1"/>
      <w:numFmt w:val="bullet"/>
      <w:lvlText w:val=""/>
      <w:lvlJc w:val="left"/>
      <w:pPr>
        <w:ind w:hanging="360" w:left="3960"/>
      </w:pPr>
      <w:rPr>
        <w:rFonts w:ascii="Wingdings" w:hAnsi="Wingdings" w:hint="default"/>
      </w:rPr>
    </w:lvl>
    <w:lvl w:ilvl="6" w:tentative="1" w:tplc="04090001">
      <w:start w:val="1"/>
      <w:numFmt w:val="bullet"/>
      <w:lvlText w:val=""/>
      <w:lvlJc w:val="left"/>
      <w:pPr>
        <w:ind w:hanging="360" w:left="4680"/>
      </w:pPr>
      <w:rPr>
        <w:rFonts w:ascii="Symbol" w:hAnsi="Symbol" w:hint="default"/>
      </w:rPr>
    </w:lvl>
    <w:lvl w:ilvl="7" w:tentative="1" w:tplc="04090003">
      <w:start w:val="1"/>
      <w:numFmt w:val="bullet"/>
      <w:lvlText w:val="o"/>
      <w:lvlJc w:val="left"/>
      <w:pPr>
        <w:ind w:hanging="360" w:left="5400"/>
      </w:pPr>
      <w:rPr>
        <w:rFonts w:ascii="Courier New" w:cs="Courier New" w:hAnsi="Courier New" w:hint="default"/>
      </w:rPr>
    </w:lvl>
    <w:lvl w:ilvl="8" w:tentative="1" w:tplc="04090005">
      <w:start w:val="1"/>
      <w:numFmt w:val="bullet"/>
      <w:lvlText w:val=""/>
      <w:lvlJc w:val="left"/>
      <w:pPr>
        <w:ind w:hanging="360" w:left="612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044401467" w:numId="1">
    <w:abstractNumId w:val="1"/>
  </w:num>
  <w:num w16cid:durableId="684594278" w:numId="2">
    <w:abstractNumId w:val="0"/>
  </w:num>
  <w:num w16cid:durableId="2135755371" w:numId="3">
    <w:abstractNumId w:val="11"/>
  </w:num>
  <w:num w16cid:durableId="521864421" w:numId="4">
    <w:abstractNumId w:val="9"/>
  </w:num>
  <w:num w16cid:durableId="1294285200" w:numId="5">
    <w:abstractNumId w:val="8"/>
  </w:num>
  <w:num w16cid:durableId="1525821760" w:numId="6">
    <w:abstractNumId w:val="7"/>
  </w:num>
  <w:num w16cid:durableId="1834224836" w:numId="7">
    <w:abstractNumId w:val="6"/>
  </w:num>
  <w:num w16cid:durableId="672300852" w:numId="8">
    <w:abstractNumId w:val="10"/>
  </w:num>
  <w:num w16cid:durableId="708917550" w:numId="9">
    <w:abstractNumId w:val="5"/>
  </w:num>
  <w:num w16cid:durableId="1329821261" w:numId="10">
    <w:abstractNumId w:val="4"/>
  </w:num>
  <w:num w16cid:durableId="634485812" w:numId="11">
    <w:abstractNumId w:val="3"/>
  </w:num>
  <w:num w16cid:durableId="1296912930" w:numId="12">
    <w:abstractNumId w:val="2"/>
  </w:num>
  <w:num w16cid:durableId="1406682967" w:numId="13">
    <w:abstractNumId w:val="12"/>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2"/>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590D07"/>
    <w:rsid w:val="00011C8B"/>
    <w:rsid w:val="0006425B"/>
    <w:rsid w:val="000E00B6"/>
    <w:rsid w:val="00112C98"/>
    <w:rsid w:val="003C73CD"/>
    <w:rsid w:val="004015EC"/>
    <w:rsid w:val="004324DB"/>
    <w:rsid w:val="00452488"/>
    <w:rsid w:val="00473C8F"/>
    <w:rsid w:val="004E29B3"/>
    <w:rsid w:val="00537D25"/>
    <w:rsid w:val="00590D07"/>
    <w:rsid w:val="00612AF7"/>
    <w:rsid w:val="006E0FFF"/>
    <w:rsid w:val="0073059C"/>
    <w:rsid w:val="007504EE"/>
    <w:rsid w:val="00752863"/>
    <w:rsid w:val="007747C2"/>
    <w:rsid w:val="00784D58"/>
    <w:rsid w:val="008D6863"/>
    <w:rsid w:val="008E7A52"/>
    <w:rsid w:val="00957057"/>
    <w:rsid w:val="009A4565"/>
    <w:rsid w:val="009D268C"/>
    <w:rsid w:val="00B04FBE"/>
    <w:rsid w:val="00B4354F"/>
    <w:rsid w:val="00B86B75"/>
    <w:rsid w:val="00BA6E48"/>
    <w:rsid w:val="00BC48D5"/>
    <w:rsid w:val="00BD3235"/>
    <w:rsid w:val="00C06FC4"/>
    <w:rsid w:val="00C242C7"/>
    <w:rsid w:val="00C36279"/>
    <w:rsid w:val="00C80801"/>
    <w:rsid w:val="00D20E66"/>
    <w:rsid w:val="00D40009"/>
    <w:rsid w:val="00DB2749"/>
    <w:rsid w:val="00E315A3"/>
    <w:rsid w:val="00F63F6A"/>
    <w:rsid w:val="00F9205D"/>
    <w:rsid w:val="00FC21B1"/>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C80801"/>
    <w:rPr>
      <w:rFonts w:ascii="Times New Roman" w:hAnsi="Times New Roman"/>
    </w:rPr>
  </w:style>
  <w:style w:styleId="Heading1" w:type="paragraph">
    <w:name w:val="heading 1"/>
    <w:basedOn w:val="Normal"/>
    <w:next w:val="BodyText"/>
    <w:uiPriority w:val="9"/>
    <w:qFormat/>
    <w:rsid w:val="00D40009"/>
    <w:pPr>
      <w:keepNext/>
      <w:keepLines/>
      <w:spacing w:after="0" w:before="480"/>
      <w:outlineLvl w:val="0"/>
    </w:pPr>
    <w:rPr>
      <w:rFonts w:cstheme="majorBidi" w:eastAsiaTheme="majorEastAsia"/>
      <w:b/>
      <w:bCs/>
      <w:color w:themeColor="text1" w:val="000000"/>
      <w:sz w:val="32"/>
      <w:szCs w:val="32"/>
    </w:rPr>
  </w:style>
  <w:style w:styleId="Heading2" w:type="paragraph">
    <w:name w:val="heading 2"/>
    <w:basedOn w:val="Normal"/>
    <w:next w:val="BodyText"/>
    <w:uiPriority w:val="9"/>
    <w:unhideWhenUsed/>
    <w:qFormat/>
    <w:rsid w:val="00957057"/>
    <w:pPr>
      <w:keepNext/>
      <w:keepLines/>
      <w:spacing w:after="0"/>
      <w:outlineLvl w:val="1"/>
    </w:pPr>
    <w:rPr>
      <w:rFonts w:cstheme="majorBidi" w:eastAsiaTheme="majorEastAsia"/>
      <w:b/>
      <w:bCs/>
      <w:color w:themeColor="text1" w:val="000000"/>
      <w:sz w:val="32"/>
      <w:szCs w:val="32"/>
    </w:rPr>
  </w:style>
  <w:style w:styleId="Heading3" w:type="paragraph">
    <w:name w:val="heading 3"/>
    <w:basedOn w:val="Normal"/>
    <w:next w:val="BodyText"/>
    <w:uiPriority w:val="9"/>
    <w:unhideWhenUsed/>
    <w:qFormat/>
    <w:rsid w:val="00752863"/>
    <w:pPr>
      <w:keepNext/>
      <w:keepLines/>
      <w:spacing w:before="200"/>
      <w:outlineLvl w:val="2"/>
    </w:pPr>
    <w:rPr>
      <w:rFonts w:cstheme="majorBidi" w:eastAsiaTheme="majorEastAsia"/>
      <w:b/>
      <w:bCs/>
      <w:color w:themeColor="text1" w:val="000000"/>
      <w:sz w:val="28"/>
      <w:szCs w:val="28"/>
    </w:rPr>
  </w:style>
  <w:style w:styleId="Heading4" w:type="paragraph">
    <w:name w:val="heading 4"/>
    <w:basedOn w:val="Normal"/>
    <w:next w:val="BodyText"/>
    <w:uiPriority w:val="9"/>
    <w:unhideWhenUsed/>
    <w:qFormat/>
    <w:rsid w:val="00D40009"/>
    <w:pPr>
      <w:keepNext/>
      <w:keepLines/>
      <w:spacing w:after="0" w:before="200"/>
      <w:outlineLvl w:val="3"/>
    </w:pPr>
    <w:rPr>
      <w:rFonts w:cstheme="majorBidi" w:eastAsiaTheme="majorEastAsia"/>
      <w:b/>
      <w:bCs/>
      <w:color w:themeColor="text1" w:val="000000"/>
    </w:rPr>
  </w:style>
  <w:style w:styleId="Heading5" w:type="paragraph">
    <w:name w:val="heading 5"/>
    <w:basedOn w:val="Normal"/>
    <w:next w:val="BodyText"/>
    <w:uiPriority w:val="9"/>
    <w:unhideWhenUsed/>
    <w:qFormat/>
    <w:rsid w:val="00D40009"/>
    <w:pPr>
      <w:keepNext/>
      <w:keepLines/>
      <w:spacing w:after="0" w:before="200"/>
      <w:outlineLvl w:val="4"/>
    </w:pPr>
    <w:rPr>
      <w:rFonts w:cstheme="majorBidi" w:eastAsiaTheme="majorEastAsia"/>
      <w:i/>
      <w:iCs/>
      <w:color w:themeColor="text1" w:val="000000"/>
    </w:rPr>
  </w:style>
  <w:style w:styleId="Heading6" w:type="paragraph">
    <w:name w:val="heading 6"/>
    <w:basedOn w:val="Normal"/>
    <w:next w:val="BodyText"/>
    <w:uiPriority w:val="9"/>
    <w:unhideWhenUsed/>
    <w:qFormat/>
    <w:rsid w:val="00D40009"/>
    <w:pPr>
      <w:keepNext/>
      <w:keepLines/>
      <w:spacing w:after="0" w:before="200"/>
      <w:outlineLvl w:val="5"/>
    </w:pPr>
    <w:rPr>
      <w:rFonts w:cstheme="majorBidi" w:eastAsiaTheme="majorEastAsia"/>
      <w:color w:themeColor="text1" w:val="000000"/>
    </w:rPr>
  </w:style>
  <w:style w:styleId="Heading8" w:type="paragraph">
    <w:name w:val="heading 8"/>
    <w:basedOn w:val="Normal"/>
    <w:next w:val="Normal"/>
    <w:link w:val="Heading8Char"/>
    <w:rsid w:val="00C80801"/>
    <w:pPr>
      <w:keepNext/>
      <w:keepLines/>
      <w:spacing w:after="0" w:before="40"/>
      <w:outlineLvl w:val="7"/>
    </w:pPr>
    <w:rPr>
      <w:rFonts w:asciiTheme="majorHAnsi" w:cstheme="majorBidi" w:eastAsiaTheme="majorEastAsia" w:hAnsiTheme="majorHAnsi"/>
      <w:color w:themeColor="text1" w:themeTint="D8" w:val="272727"/>
      <w:sz w:val="21"/>
      <w:szCs w:val="21"/>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B04FBE"/>
    <w:pPr>
      <w:spacing w:after="180" w:before="180" w:line="480" w:lineRule="auto"/>
    </w:pPr>
  </w:style>
  <w:style w:customStyle="1" w:styleId="FirstParagraph" w:type="paragraph">
    <w:name w:val="First Paragraph"/>
    <w:basedOn w:val="BodyText"/>
    <w:next w:val="BodyText"/>
    <w:qFormat/>
    <w:rsid w:val="00D20E66"/>
  </w:style>
  <w:style w:customStyle="1" w:styleId="Compact" w:type="paragraph">
    <w:name w:val="Compact"/>
    <w:basedOn w:val="BodyText"/>
    <w:qFormat/>
    <w:rsid w:val="00452488"/>
    <w:pPr>
      <w:spacing w:after="0" w:before="0" w:line="240" w:lineRule="auto"/>
    </w:pPr>
  </w:style>
  <w:style w:styleId="Title" w:type="paragraph">
    <w:name w:val="Title"/>
    <w:basedOn w:val="Normal"/>
    <w:next w:val="BodyText"/>
    <w:qFormat/>
    <w:rsid w:val="00D40009"/>
    <w:pPr>
      <w:keepNext/>
      <w:keepLines/>
      <w:spacing w:after="240" w:before="480"/>
      <w:jc w:val="center"/>
    </w:pPr>
    <w:rPr>
      <w:rFonts w:cstheme="majorBidi" w:eastAsiaTheme="majorEastAsia"/>
      <w:b/>
      <w:bCs/>
      <w:color w:themeColor="text1" w:val="000000"/>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F9205D"/>
    <w:pPr>
      <w:keepNext/>
      <w:keepLines/>
      <w:jc w:val="center"/>
    </w:pPr>
    <w:rPr>
      <w:rFonts w:ascii="Times New Roman" w:hAnsi="Times New Roman"/>
    </w:rPr>
  </w:style>
  <w:style w:styleId="Date" w:type="paragraph">
    <w:name w:val="Date"/>
    <w:next w:val="BodyText"/>
    <w:qFormat/>
    <w:rsid w:val="00F9205D"/>
    <w:pPr>
      <w:keepNext/>
      <w:keepLines/>
      <w:jc w:val="center"/>
    </w:pPr>
    <w:rPr>
      <w:rFonts w:ascii="Times New Roman" w:hAnsi="Times New Roman"/>
    </w:r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rsid w:val="007747C2"/>
  </w:style>
  <w:style w:styleId="BlockText" w:type="paragraph">
    <w:name w:val="Block Text"/>
    <w:basedOn w:val="BodyText"/>
    <w:next w:val="BodyText"/>
    <w:uiPriority w:val="9"/>
    <w:unhideWhenUsed/>
    <w:qFormat/>
    <w:pPr>
      <w:spacing w:after="100" w:before="100"/>
    </w:pPr>
    <w:rPr>
      <w:rFonts w:asciiTheme="majorHAnsi" w:cstheme="majorBidi" w:eastAsiaTheme="majorEastAsia" w:hAnsiTheme="majorHAnsi"/>
      <w:bCs/>
      <w:sz w:val="20"/>
      <w:szCs w:val="20"/>
    </w:rPr>
  </w:style>
  <w:style w:styleId="FootnoteText" w:type="paragraph">
    <w:name w:val="footnote text"/>
    <w:basedOn w:val="Normal"/>
    <w:uiPriority w:val="9"/>
    <w:unhideWhenUsed/>
    <w:qFormat/>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FigurewithCaption" w:type="paragraph">
    <w:name w:val="Figure with Caption"/>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val="0"/>
      <w:bCs w:val="0"/>
      <w:color w:themeColor="accent1" w:themeShade="BF" w:val="365F91"/>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customStyle="1" w:styleId="BodyTextChar" w:type="character">
    <w:name w:val="Body Text Char"/>
    <w:basedOn w:val="DefaultParagraphFont"/>
    <w:link w:val="BodyText"/>
    <w:rsid w:val="00B04FBE"/>
    <w:rPr>
      <w:rFonts w:ascii="Times New Roman" w:hAnsi="Times New Roman"/>
    </w:rPr>
  </w:style>
  <w:style w:styleId="ListContinue" w:type="paragraph">
    <w:name w:val="List Continue"/>
    <w:basedOn w:val="Normal"/>
    <w:semiHidden/>
    <w:unhideWhenUsed/>
    <w:rsid w:val="007747C2"/>
    <w:pPr>
      <w:spacing w:after="120"/>
      <w:ind w:left="360"/>
      <w:contextualSpacing/>
    </w:pPr>
  </w:style>
  <w:style w:styleId="ListParagraph" w:type="paragraph">
    <w:name w:val="List Paragraph"/>
    <w:basedOn w:val="Normal"/>
    <w:rsid w:val="007747C2"/>
    <w:pPr>
      <w:ind w:left="720"/>
      <w:contextualSpacing/>
    </w:pPr>
  </w:style>
  <w:style w:styleId="List" w:type="paragraph">
    <w:name w:val="List"/>
    <w:basedOn w:val="Normal"/>
    <w:semiHidden/>
    <w:unhideWhenUsed/>
    <w:rsid w:val="00BD3235"/>
    <w:pPr>
      <w:ind w:hanging="360" w:left="360"/>
      <w:contextualSpacing/>
    </w:pPr>
  </w:style>
  <w:style w:styleId="List2" w:type="paragraph">
    <w:name w:val="List 2"/>
    <w:basedOn w:val="Normal"/>
    <w:semiHidden/>
    <w:unhideWhenUsed/>
    <w:rsid w:val="00BD3235"/>
    <w:pPr>
      <w:ind w:hanging="360" w:left="720"/>
      <w:contextualSpacing/>
    </w:pPr>
  </w:style>
  <w:style w:styleId="List3" w:type="paragraph">
    <w:name w:val="List 3"/>
    <w:basedOn w:val="Normal"/>
    <w:semiHidden/>
    <w:unhideWhenUsed/>
    <w:rsid w:val="00BD3235"/>
    <w:pPr>
      <w:ind w:hanging="360" w:left="1080"/>
      <w:contextualSpacing/>
    </w:pPr>
  </w:style>
  <w:style w:styleId="List4" w:type="paragraph">
    <w:name w:val="List 4"/>
    <w:basedOn w:val="Normal"/>
    <w:semiHidden/>
    <w:unhideWhenUsed/>
    <w:rsid w:val="00BD3235"/>
    <w:pPr>
      <w:ind w:hanging="360" w:left="1440"/>
      <w:contextualSpacing/>
    </w:pPr>
  </w:style>
  <w:style w:styleId="List5" w:type="paragraph">
    <w:name w:val="List 5"/>
    <w:basedOn w:val="Normal"/>
    <w:semiHidden/>
    <w:unhideWhenUsed/>
    <w:rsid w:val="00BD3235"/>
    <w:pPr>
      <w:ind w:hanging="360" w:left="1800"/>
      <w:contextualSpacing/>
    </w:pPr>
  </w:style>
  <w:style w:styleId="Index1" w:type="paragraph">
    <w:name w:val="index 1"/>
    <w:basedOn w:val="Normal"/>
    <w:next w:val="Normal"/>
    <w:autoRedefine/>
    <w:rsid w:val="00C242C7"/>
    <w:pPr>
      <w:spacing w:after="0"/>
      <w:ind w:hanging="240" w:left="240"/>
    </w:pPr>
  </w:style>
  <w:style w:styleId="ListBullet" w:type="paragraph">
    <w:name w:val="List Bullet"/>
    <w:basedOn w:val="Normal"/>
    <w:semiHidden/>
    <w:unhideWhenUsed/>
    <w:rsid w:val="00C242C7"/>
    <w:pPr>
      <w:numPr>
        <w:numId w:val="3"/>
      </w:numPr>
      <w:contextualSpacing/>
    </w:pPr>
  </w:style>
  <w:style w:styleId="ListBullet2" w:type="paragraph">
    <w:name w:val="List Bullet 2"/>
    <w:basedOn w:val="Normal"/>
    <w:rsid w:val="00C242C7"/>
    <w:pPr>
      <w:numPr>
        <w:numId w:val="4"/>
      </w:numPr>
      <w:contextualSpacing/>
    </w:pPr>
  </w:style>
  <w:style w:styleId="ListBullet3" w:type="paragraph">
    <w:name w:val="List Bullet 3"/>
    <w:basedOn w:val="Normal"/>
    <w:semiHidden/>
    <w:unhideWhenUsed/>
    <w:rsid w:val="00C242C7"/>
    <w:pPr>
      <w:numPr>
        <w:numId w:val="5"/>
      </w:numPr>
      <w:contextualSpacing/>
    </w:pPr>
  </w:style>
  <w:style w:styleId="ListBullet4" w:type="paragraph">
    <w:name w:val="List Bullet 4"/>
    <w:basedOn w:val="Normal"/>
    <w:semiHidden/>
    <w:unhideWhenUsed/>
    <w:rsid w:val="00C242C7"/>
    <w:pPr>
      <w:numPr>
        <w:numId w:val="6"/>
      </w:numPr>
      <w:contextualSpacing/>
    </w:pPr>
  </w:style>
  <w:style w:styleId="ListBullet5" w:type="paragraph">
    <w:name w:val="List Bullet 5"/>
    <w:basedOn w:val="Normal"/>
    <w:rsid w:val="008E7A52"/>
    <w:pPr>
      <w:numPr>
        <w:numId w:val="7"/>
      </w:numPr>
      <w:contextualSpacing/>
    </w:pPr>
  </w:style>
  <w:style w:customStyle="1" w:styleId="Heading8Char" w:type="character">
    <w:name w:val="Heading 8 Char"/>
    <w:basedOn w:val="DefaultParagraphFont"/>
    <w:link w:val="Heading8"/>
    <w:rsid w:val="00C80801"/>
    <w:rPr>
      <w:rFonts w:asciiTheme="majorHAnsi" w:cstheme="majorBidi" w:eastAsiaTheme="majorEastAsia" w:hAnsiTheme="majorHAnsi"/>
      <w:color w:themeColor="text1" w:themeTint="D8" w:val="272727"/>
      <w:sz w:val="21"/>
      <w:szCs w:val="21"/>
    </w:rPr>
  </w:style>
  <w:style w:styleId="TOC1" w:type="paragraph">
    <w:name w:val="toc 1"/>
    <w:basedOn w:val="Normal"/>
    <w:next w:val="Normal"/>
    <w:autoRedefine/>
    <w:semiHidden/>
    <w:unhideWhenUsed/>
    <w:rsid w:val="00C80801"/>
    <w:pPr>
      <w:spacing w:after="100"/>
    </w:pPr>
  </w:style>
  <w:style w:styleId="TOC2" w:type="paragraph">
    <w:name w:val="toc 2"/>
    <w:basedOn w:val="Normal"/>
    <w:next w:val="Normal"/>
    <w:autoRedefine/>
    <w:semiHidden/>
    <w:unhideWhenUsed/>
    <w:rsid w:val="00C80801"/>
    <w:pPr>
      <w:spacing w:after="100"/>
      <w:ind w:left="240"/>
    </w:pPr>
  </w:style>
  <w:style w:styleId="TOC3" w:type="paragraph">
    <w:name w:val="toc 3"/>
    <w:basedOn w:val="Normal"/>
    <w:next w:val="Normal"/>
    <w:autoRedefine/>
    <w:semiHidden/>
    <w:unhideWhenUsed/>
    <w:rsid w:val="00C80801"/>
    <w:pPr>
      <w:spacing w:after="100"/>
      <w:ind w:left="480"/>
    </w:pPr>
  </w:style>
  <w:style w:styleId="Header" w:type="paragraph">
    <w:name w:val="header"/>
    <w:basedOn w:val="Normal"/>
    <w:link w:val="HeaderChar"/>
    <w:unhideWhenUsed/>
    <w:rsid w:val="003C73CD"/>
    <w:pPr>
      <w:tabs>
        <w:tab w:pos="4680" w:val="center"/>
        <w:tab w:pos="9360" w:val="right"/>
      </w:tabs>
      <w:spacing w:after="0"/>
    </w:pPr>
  </w:style>
  <w:style w:customStyle="1" w:styleId="HeaderChar" w:type="character">
    <w:name w:val="Header Char"/>
    <w:basedOn w:val="DefaultParagraphFont"/>
    <w:link w:val="Header"/>
    <w:rsid w:val="003C73CD"/>
    <w:rPr>
      <w:rFonts w:ascii="Times New Roman" w:hAnsi="Times New Roman"/>
    </w:rPr>
  </w:style>
  <w:style w:styleId="Footer" w:type="paragraph">
    <w:name w:val="footer"/>
    <w:basedOn w:val="Normal"/>
    <w:link w:val="FooterChar"/>
    <w:uiPriority w:val="99"/>
    <w:unhideWhenUsed/>
    <w:rsid w:val="003C73CD"/>
    <w:pPr>
      <w:tabs>
        <w:tab w:pos="4680" w:val="center"/>
        <w:tab w:pos="9360" w:val="right"/>
      </w:tabs>
      <w:spacing w:after="0"/>
    </w:pPr>
  </w:style>
  <w:style w:customStyle="1" w:styleId="FooterChar" w:type="character">
    <w:name w:val="Footer Char"/>
    <w:basedOn w:val="DefaultParagraphFont"/>
    <w:link w:val="Footer"/>
    <w:uiPriority w:val="99"/>
    <w:rsid w:val="003C73CD"/>
    <w:rPr>
      <w:rFonts w:ascii="Times New Roman" w:hAnsi="Times New Roman"/>
    </w:rPr>
  </w:style>
  <w:style w:styleId="LineNumber" w:type="character">
    <w:name w:val="line number"/>
    <w:basedOn w:val="DefaultParagraphFont"/>
    <w:semiHidden/>
    <w:unhideWhenUsed/>
    <w:rsid w:val="003C73C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36" Target="media/rId36.png" /><Relationship Type="http://schemas.openxmlformats.org/officeDocument/2006/relationships/image" Id="rId44" Target="media/rId44.png" /><Relationship Type="http://schemas.openxmlformats.org/officeDocument/2006/relationships/image" Id="rId28" Target="media/rId28.png" /><Relationship Type="http://schemas.openxmlformats.org/officeDocument/2006/relationships/image" Id="rId32" Target="media/rId32.png" /><Relationship Type="http://schemas.openxmlformats.org/officeDocument/2006/relationships/image" Id="rId40" Target="media/rId40.png" /><Relationship Type="http://schemas.openxmlformats.org/officeDocument/2006/relationships/hyperlink" Id="rId52" Target="https://github.com/tbep-tech/chlhydro-manu" TargetMode="External" /><Relationship Type="http://schemas.openxmlformats.org/officeDocument/2006/relationships/hyperlink" Id="rId20" Target="mailto:mbeck@tbep.org" TargetMode="External" /></Relationships>
</file>

<file path=word/_rels/footnotes.xml.rels><?xml version="1.0" encoding="UTF-8"?><Relationships xmlns="http://schemas.openxmlformats.org/package/2006/relationships"><Relationship Type="http://schemas.openxmlformats.org/officeDocument/2006/relationships/hyperlink" Id="rId52" Target="https://github.com/tbep-tech/chlhydro-manu" TargetMode="External" /><Relationship Type="http://schemas.openxmlformats.org/officeDocument/2006/relationships/hyperlink" Id="rId20" Target="mailto:mbeck@tbep.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38</TotalTime>
  <Pages>3</Pages>
  <Words>225</Words>
  <Characters>1285</Characters>
  <Application>Microsoft Office Word</Application>
  <DocSecurity>0</DocSecurity>
  <Lines>10</Lines>
  <Paragraphs>3</Paragraphs>
  <ScaleCrop>false</ScaleCrop>
  <Company/>
  <LinksUpToDate>false</LinksUpToDate>
  <CharactersWithSpaces>1507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 awesome title for a great paper</dc:title>
  <dc:creator>Marcus W Beck1,✉, Kerry Flaherty-Walia1, Maya C Burke1, and Edward T Sherwood1</dc:creator>
  <cp:keywords/>
  <dcterms:created xsi:type="dcterms:W3CDTF">2025-12-15T22:25:32Z</dcterms:created>
  <dcterms:modified xsi:type="dcterms:W3CDTF">2025-12-15T22:25:32Z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biblio-config">
    <vt:lpwstr>True</vt:lpwstr>
  </property>
  <property fmtid="{D5CDD505-2E9C-101B-9397-08002B2CF9AE}" pid="4" name="bibliography">
    <vt:lpwstr>refs.bib</vt:lpwstr>
  </property>
  <property fmtid="{D5CDD505-2E9C-101B-9397-08002B2CF9AE}" pid="5" name="by-affiliation">
    <vt:lpwstr/>
  </property>
  <property fmtid="{D5CDD505-2E9C-101B-9397-08002B2CF9AE}" pid="6" name="crossref">
    <vt:lpwstr/>
  </property>
  <property fmtid="{D5CDD505-2E9C-101B-9397-08002B2CF9AE}" pid="7" name="csl">
    <vt:lpwstr>estuaries-and-coasts.csl</vt:lpwstr>
  </property>
  <property fmtid="{D5CDD505-2E9C-101B-9397-08002B2CF9AE}" pid="8" name="execute">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institutes">
    <vt:lpwstr/>
  </property>
  <property fmtid="{D5CDD505-2E9C-101B-9397-08002B2CF9AE}" pid="13" name="labels">
    <vt:lpwstr/>
  </property>
  <property fmtid="{D5CDD505-2E9C-101B-9397-08002B2CF9AE}" pid="14" name="toc-title">
    <vt:lpwstr>Table of contents</vt:lpwstr>
  </property>
</Properties>
</file>