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9.png" ContentType="image/png"/>
  <Override PartName="/word/media/rId6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28"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8"/>
    <w:bookmarkStart w:id="29"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&amp;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&amp; Landman, 1993; Moss &amp;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&amp; Hagy, 2015; Karlen et al., 2023)</w:t>
      </w:r>
      <w:r>
        <w:t xml:space="preserve"> </w:t>
      </w:r>
      <w:r>
        <w:t xml:space="preserve">and have also contributed to the development of regulatory standards for different parts of the bay</w:t>
      </w:r>
      <w:r>
        <w:t xml:space="preserve"> </w:t>
      </w:r>
      <w:r>
        <w:t xml:space="preserve">(Janicki &amp; Wade, 1996; Janicki et al., 2000)</w:t>
      </w:r>
      <w:r>
        <w:t xml:space="preserve">. Similarly, monthly long-term estimates of external nutrient inputs are also available and have been used to monitor the effectiveness of management interventions to reduce excess loads to the bay</w:t>
      </w:r>
      <w:r>
        <w:t xml:space="preserve"> </w:t>
      </w:r>
      <w:r>
        <w:t xml:space="preserve">(Greening &amp;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&amp;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&amp;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&amp;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&amp;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GAMs for scenario assessments under expected future changes and management actions.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circulation, and current loading thresholds may be insufficient to protect water quality under future expected changes in salinity. We focus primarily on salinity and not additional climate change stressors (i.e., temperature) given that Old Tampa Bay (northwest segment) has circulation issues contributing to regulatory exceedances</w:t>
      </w:r>
      <w:r>
        <w:t xml:space="preserve"> </w:t>
      </w:r>
      <w:r>
        <w:t xml:space="preserve">(Sherwood et al., 2015; Luther &amp; Meyers, 2022)</w:t>
      </w:r>
      <w:r>
        <w:t xml:space="preserve"> </w:t>
      </w:r>
      <w:r>
        <w:t xml:space="preserve">and salinity can serve as a proxy to better understand these effects. Overall, this work provides an in-depth assessment of chlorophyll-a trends for informing the management of water quality under past and contemporary conditions, with a generalized framework that could be applied in other locations with long-term data.</w:t>
      </w:r>
    </w:p>
    <w:bookmarkEnd w:id="29"/>
    <w:bookmarkStart w:id="34"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&amp;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&amp; Yates, 2011)</w:t>
      </w:r>
      <w:r>
        <w:t xml:space="preserve">. More importantly, OTB has three major bridges with substantial causeways that are known impediments to circulation</w:t>
      </w:r>
      <w:r>
        <w:t xml:space="preserve"> </w:t>
      </w:r>
      <w:r>
        <w:t xml:space="preserve">(Luther &amp;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w:t>
      </w:r>
      <w:r>
        <w:t xml:space="preserve"> </w:t>
      </w:r>
      <w:r>
        <w:t xml:space="preserve">(Zarbock et al., 1994; Janicki et al., 2023)</w:t>
      </w:r>
      <w:r>
        <w:t xml:space="preserve">.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bookmarkStart w:id="30"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(EPCHC).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(annual averages by bay segment are shown in</w:t>
      </w:r>
      <w:r>
        <w:t xml:space="preserve"> </w:t>
      </w:r>
      <w:hyperlink w:anchor="fig-obsdat">
        <w:r>
          <w:rPr>
            <w:rStyle w:val="Hyperlink"/>
          </w:rPr>
          <w:t xml:space="preserve">Figure 2</w:t>
        </w:r>
      </w:hyperlink>
      <w:r>
        <w:t xml:space="preserve">a, b). Salinity is measured at surface, mid, and bottom depths at each station, whereas only surface salinity was used for analysis given similar sampling depth as chorophyll-a. Further, initial analyses using depth-averaged salinity produced models with nearly identical performance when compared to those using surface salinity. These similarities were not unexpected given that the majority of Tampa Bay is shallow, well-mixed, and typically does not stratify, as noted in the prior section.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30"/>
    <w:bookmarkStart w:id="31"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w:t>
      </w:r>
      <w:r>
        <w:t xml:space="preserve"> </w:t>
      </w:r>
      <w:r>
        <w:t xml:space="preserve">(Beck et al., 2022)</w:t>
      </w:r>
      <w:r>
        <w:t xml:space="preserve">.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&amp;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for the model errors was used to account for an increase in variance with the mean, which is a reasonable expectation for chlorophyll-a data. Models using a Gaussian distribution with a log-link function were also evaluated, although using a Gamma distribution was superior when compared with Akaike information criterion</w:t>
      </w:r>
      <w:r>
        <w:t xml:space="preserve"> </w:t>
      </w:r>
      <w:r>
        <w:t xml:space="preserve">(Akaike, 1974, Table S1)</w:t>
      </w:r>
      <w:r>
        <w:t xml:space="preserve">.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&amp;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S2).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S3-S6),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and maximum observed over the period of record for each bay segment)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&amp;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(over the period of record for each bay segment)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Although the effects of salinity and loading can be inferred from conventional GAM summaries, either by evaluating tabular model output or from effects plots, they do not provide a holistic interpretation that can be obtained from the normalized results. By utilizing the model predictions that consider the effects of all modeled parameters and normalizing the output as described above, the unique effects of salinity and loading can be more clearly evaluated, especially over time. This approach is essentially a GAM-equivalent to the normalization from other methods</w:t>
      </w:r>
      <w:r>
        <w:t xml:space="preserve"> </w:t>
      </w:r>
      <w:r>
        <w:t xml:space="preserve">(e.g., WRTDS, Hirsch et al., 2010; Beck &amp; Hagy, 2015)</w:t>
      </w:r>
      <w:r>
        <w:t xml:space="preserve">.</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31"/>
    <w:bookmarkStart w:id="32"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 (Figure S1c, inset).</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32"/>
    <w:bookmarkStart w:id="33"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regulatory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hyperlink w:anchor="fig-obsdat">
        <w:r>
          <w:rPr>
            <w:rStyle w:val="Hyperlink"/>
          </w:rPr>
          <w:t xml:space="preserve">Figure 2</w:t>
        </w:r>
      </w:hyperlink>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w:t>
      </w:r>
    </w:p>
    <w:p>
      <w:pPr>
        <w:pStyle w:val="BodyText"/>
      </w:pPr>
      <w:r>
        <w:t xml:space="preserve">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Although long-term reductions in loading have been observed over several decades, evaluating upper and lower bounds of potential loads relative to the TMDL threshold for each bay segment provides a more contextualized assesssment. While we recognize this does not represent a realistic scenario where loading is consistent fifty years into the future, the effects of gradual salinity changes can be more readily evaluated for fixed constants of loading. Moreover, loadings have been relatively consistent since 2012 (the simulation period, Table S7) and emphasizing that the</w:t>
      </w:r>
      <w:r>
        <w:t xml:space="preserve"> </w:t>
      </w:r>
      <w:r>
        <w:t xml:space="preserve">“status quo”</w:t>
      </w:r>
      <w:r>
        <w:t xml:space="preserve"> </w:t>
      </w:r>
      <w:r>
        <w:t xml:space="preserve">may not remain protective in the future is also a worthwhile assessment. Practically, the results can be interpreted as the relative effects of potential salinity and loading changes if all other conditions within the chosen year period persisted for fifty years into the future.</w:t>
      </w:r>
    </w:p>
    <w:bookmarkEnd w:id="33"/>
    <w:bookmarkEnd w:id="34"/>
    <w:bookmarkStart w:id="38" w:name="results"/>
    <w:p>
      <w:pPr>
        <w:pStyle w:val="Heading2"/>
      </w:pPr>
      <w:r>
        <w:t xml:space="preserve">3 Results</w:t>
      </w:r>
    </w:p>
    <w:bookmarkStart w:id="35"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individual smoothers for decimal time, day of year, and salinity that explained a unique portion of the variance in chlorophyll-a (</w:t>
      </w:r>
      <w:hyperlink w:anchor="tbl-gamtab">
        <w:r>
          <w:rPr>
            <w:rStyle w:val="Hyperlink"/>
          </w:rPr>
          <w:t xml:space="preserve">Table 1</w:t>
        </w:r>
      </w:hyperlink>
      <w:r>
        <w:t xml:space="preserve">, Figure S2), although the defined relationships varied from linear (estimated degrees of freedom, edf = 1; e.g., decimal time for OTB, salinity for OTB and HB) to highly non-linear (edf &gt;&gt; 1; day of year for all bay segments). None of the bay segments had individual smoothers for nitrogen loading that described a unique portion of the explained deviance in the models (</w:t>
      </w:r>
      <w:hyperlink w:anchor="tbl-gamtab">
        <w:r>
          <w:rPr>
            <w:rStyle w:val="Hyperlink"/>
          </w:rPr>
          <w:t xml:space="preserve">Table 1</w:t>
        </w:r>
      </w:hyperlink>
      <w:r>
        <w:t xml:space="preserve">). However, every bay segment except MTB had at least one interaction smoother with nitrogen loading that described a unique amount of the deviance, suggesting an effect of loading that was dependent on values of other predictors (loading and decimal time for OTB and HB; loading and salinity for LTB,</w:t>
      </w:r>
      <w:r>
        <w:t xml:space="preserve"> </w:t>
      </w:r>
      <w:hyperlink w:anchor="tbl-gamtab">
        <w:r>
          <w:rPr>
            <w:rStyle w:val="Hyperlink"/>
          </w:rPr>
          <w:t xml:space="preserve">Table 1</w:t>
        </w:r>
      </w:hyperlink>
      <w:r>
        <w:t xml:space="preserve">, Figure S3).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35"/>
    <w:bookmarkStart w:id="36"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36"/>
    <w:bookmarkStart w:id="37"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meeting regulatory chlorophyll-a thresholds in the future.</w:t>
      </w:r>
    </w:p>
    <w:bookmarkEnd w:id="37"/>
    <w:bookmarkEnd w:id="38"/>
    <w:bookmarkStart w:id="40"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&amp;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&amp;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&amp;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9"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9"/>
    <w:bookmarkEnd w:id="40"/>
    <w:bookmarkStart w:id="7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map"/>
          <w:p>
            <w:pPr>
              <w:pStyle w:val="Compact"/>
              <w:jc w:val="center"/>
            </w:pPr>
            <w:r>
              <w:drawing>
                <wp:inline>
                  <wp:extent cx="3669832" cy="4587290"/>
                  <wp:effectExtent b="0" l="0" r="0" t="0"/>
                  <wp:docPr descr="" title="" id="42" name="Picture"/>
                  <a:graphic>
                    <a:graphicData uri="http://schemas.openxmlformats.org/drawingml/2006/picture">
                      <pic:pic>
                        <pic:nvPicPr>
                          <pic:cNvPr descr="figs/map.png" id="43" name="Picture"/>
                          <pic:cNvPicPr>
                            <a:picLocks noChangeArrowheads="1" noChangeAspect="1"/>
                          </pic:cNvPicPr>
                        </pic:nvPicPr>
                        <pic:blipFill>
                          <a:blip r:embed="rId41"/>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(EPCHC) where chlorophyll-a and salinity data were used for modeling.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obsdat"/>
          <w:p>
            <w:pPr>
              <w:pStyle w:val="Compact"/>
              <w:jc w:val="center"/>
            </w:pPr>
            <w:r>
              <w:drawing>
                <wp:inline>
                  <wp:extent cx="5943600" cy="5943600"/>
                  <wp:effectExtent b="0" l="0" r="0" t="0"/>
                  <wp:docPr descr="" title="" id="46" name="Picture"/>
                  <a:graphic>
                    <a:graphicData uri="http://schemas.openxmlformats.org/drawingml/2006/picture">
                      <pic:pic>
                        <pic:nvPicPr>
                          <pic:cNvPr descr="figs/obsdat.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obsprd"/>
          <w:p>
            <w:pPr>
              <w:pStyle w:val="Compact"/>
              <w:jc w:val="center"/>
            </w:pPr>
            <w:r>
              <w:drawing>
                <wp:inline>
                  <wp:extent cx="5943600" cy="6686549"/>
                  <wp:effectExtent b="0" l="0" r="0" t="0"/>
                  <wp:docPr descr="" title="" id="50" name="Picture"/>
                  <a:graphic>
                    <a:graphicData uri="http://schemas.openxmlformats.org/drawingml/2006/picture">
                      <pic:pic>
                        <pic:nvPicPr>
                          <pic:cNvPr descr="figs/obsprd.png" id="51" name="Picture"/>
                          <pic:cNvPicPr>
                            <a:picLocks noChangeArrowheads="1" noChangeAspect="1"/>
                          </pic:cNvPicPr>
                        </pic:nvPicPr>
                        <pic:blipFill>
                          <a:blip r:embed="rId4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prdnrm"/>
          <w:p>
            <w:pPr>
              <w:pStyle w:val="Compact"/>
              <w:jc w:val="center"/>
            </w:pPr>
            <w:r>
              <w:drawing>
                <wp:inline>
                  <wp:extent cx="5943600" cy="4245428"/>
                  <wp:effectExtent b="0" l="0" r="0" t="0"/>
                  <wp:docPr descr="" title="" id="54" name="Picture"/>
                  <a:graphic>
                    <a:graphicData uri="http://schemas.openxmlformats.org/drawingml/2006/picture">
                      <pic:pic>
                        <pic:nvPicPr>
                          <pic:cNvPr descr="figs/prdnrm.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alvload"/>
          <w:p>
            <w:pPr>
              <w:pStyle w:val="Compact"/>
              <w:jc w:val="center"/>
            </w:pPr>
            <w:r>
              <w:drawing>
                <wp:inline>
                  <wp:extent cx="5943600" cy="5283200"/>
                  <wp:effectExtent b="0" l="0" r="0" t="0"/>
                  <wp:docPr descr="" title="" id="58" name="Picture"/>
                  <a:graphic>
                    <a:graphicData uri="http://schemas.openxmlformats.org/drawingml/2006/picture">
                      <pic:pic>
                        <pic:nvPicPr>
                          <pic:cNvPr descr="figs/salvload.png" id="59" name="Picture"/>
                          <pic:cNvPicPr>
                            <a:picLocks noChangeArrowheads="1" noChangeAspect="1"/>
                          </pic:cNvPicPr>
                        </pic:nvPicPr>
                        <pic:blipFill>
                          <a:blip r:embed="rId57"/>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tatespace"/>
          <w:p>
            <w:pPr>
              <w:pStyle w:val="Compact"/>
              <w:jc w:val="center"/>
            </w:pPr>
            <w:r>
              <w:drawing>
                <wp:inline>
                  <wp:extent cx="5943600" cy="7528559"/>
                  <wp:effectExtent b="0" l="0" r="0" t="0"/>
                  <wp:docPr descr="" title="" id="62" name="Picture"/>
                  <a:graphic>
                    <a:graphicData uri="http://schemas.openxmlformats.org/drawingml/2006/picture">
                      <pic:pic>
                        <pic:nvPicPr>
                          <pic:cNvPr descr="figs/statespace.png" id="63" name="Picture"/>
                          <pic:cNvPicPr>
                            <a:picLocks noChangeArrowheads="1" noChangeAspect="1"/>
                          </pic:cNvPicPr>
                        </pic:nvPicPr>
                        <pic:blipFill>
                          <a:blip r:embed="rId61"/>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The axis scales are not fixed in (a) to better visualize inter-annual changes within each bay segment, whereas the scales are fixed in (b) to emphasize differences in the magnitude of the drivers between bay segments. OTB: Old Tampa Bay; HB: Hillsborough Bay; MTB: Middle Tampa Bay; LTB: Lower Tampa Bay.</w:t>
            </w:r>
          </w:p>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fig-simplo"/>
          <w:p>
            <w:pPr>
              <w:pStyle w:val="Compact"/>
              <w:jc w:val="center"/>
            </w:pPr>
            <w:r>
              <w:drawing>
                <wp:inline>
                  <wp:extent cx="5943600" cy="5943600"/>
                  <wp:effectExtent b="0" l="0" r="0" t="0"/>
                  <wp:docPr descr="" title="" id="66" name="Picture"/>
                  <a:graphic>
                    <a:graphicData uri="http://schemas.openxmlformats.org/drawingml/2006/picture">
                      <pic:pic>
                        <pic:nvPicPr>
                          <pic:cNvPr descr="figs/simplo.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fig-simload"/>
          <w:p>
            <w:pPr>
              <w:pStyle w:val="Compact"/>
              <w:jc w:val="center"/>
            </w:pPr>
            <w:r>
              <w:drawing>
                <wp:inline>
                  <wp:extent cx="4128561" cy="4128561"/>
                  <wp:effectExtent b="0" l="0" r="0" t="0"/>
                  <wp:docPr descr="" title="" id="70" name="Picture"/>
                  <a:graphic>
                    <a:graphicData uri="http://schemas.openxmlformats.org/drawingml/2006/picture">
                      <pic:pic>
                        <pic:nvPicPr>
                          <pic:cNvPr descr="figs/simload.png" id="71" name="Picture"/>
                          <pic:cNvPicPr>
                            <a:picLocks noChangeArrowheads="1" noChangeAspect="1"/>
                          </pic:cNvPicPr>
                        </pic:nvPicPr>
                        <pic:blipFill>
                          <a:blip r:embed="rId69"/>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72"/>
        </w:tc>
      </w:tr>
    </w:tbl>
    <w:p>
      <w:r>
        <w:br w:type="page"/>
      </w:r>
    </w:p>
    <w:bookmarkEnd w:id="73"/>
    <w:bookmarkStart w:id="7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74"/>
        </w:tc>
      </w:tr>
    </w:tbl>
    <w:p>
      <w:r>
        <w:br w:type="page"/>
      </w:r>
    </w:p>
    <w:tbl>
      <w:tblPr>
        <w:tblStyle w:val="Table"/>
        <w:tblW w:type="pct" w:w="5000"/>
        <w:tblLayout w:type="fixed"/>
        <w:tblLook w:firstRow="0" w:lastRow="0" w:firstColumn="0" w:lastColumn="0" w:noHBand="0" w:noVBand="0" w:val="0000"/>
      </w:tblPr>
      <w:tblGrid>
        <w:gridCol w:w="7920"/>
      </w:tblGrid>
      <w:tr>
        <w:tc>
          <w:tcPr/>
          <w:bookmarkStart w:id="75"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6"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7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70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6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↑6.5)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 ↑17.3)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↑2.4)</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 ↑4.3)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↑2.7)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↑3.3)</w:t>
                  </w:r>
                </w:p>
              </w:tc>
            </w:tr>
            <w:tr>
              <w:trPr>
                <w:trHeight w:val="68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↑8.2)</w:t>
                  </w:r>
                </w:p>
              </w:tc>
            </w:tr>
          </w:tbl>
          <w:bookmarkEnd w:id="77"/>
        </w:tc>
      </w:tr>
    </w:tbl>
    <w:p>
      <w:r>
        <w:br w:type="page"/>
      </w:r>
    </w:p>
    <w:bookmarkEnd w:id="78"/>
    <w:bookmarkStart w:id="8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9">
        <w:r>
          <w:rPr>
            <w:rStyle w:val="Hyperlink"/>
          </w:rPr>
          <w:t xml:space="preserve">https://github.com/tbep-tech/chlhydro-manu</w:t>
        </w:r>
      </w:hyperlink>
      <w:r>
        <w:t xml:space="preserve">.</w:t>
      </w:r>
    </w:p>
    <w:bookmarkEnd w:id="80"/>
    <w:bookmarkStart w:id="8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also thank Dr. Ray Pribble for extensive support with the loading estimates.</w:t>
      </w:r>
    </w:p>
    <w:bookmarkEnd w:id="81"/>
    <w:bookmarkStart w:id="85" w:name="statements-and-declarations"/>
    <w:p>
      <w:pPr>
        <w:pStyle w:val="Heading2"/>
      </w:pPr>
      <w:r>
        <w:t xml:space="preserve">Statements and Declarations</w:t>
      </w:r>
    </w:p>
    <w:bookmarkStart w:id="82"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82"/>
    <w:bookmarkStart w:id="8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83"/>
    <w:bookmarkStart w:id="8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84"/>
    <w:bookmarkEnd w:id="85"/>
    <w:bookmarkStart w:id="210" w:name="references"/>
    <w:p>
      <w:pPr>
        <w:pStyle w:val="Heading2"/>
      </w:pPr>
      <w:r>
        <w:t xml:space="preserve">References</w:t>
      </w:r>
    </w:p>
    <w:bookmarkStart w:id="209" w:name="refs"/>
    <w:bookmarkStart w:id="86"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86"/>
    <w:bookmarkStart w:id="88"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87">
        <w:r>
          <w:rPr>
            <w:rStyle w:val="Hyperlink"/>
          </w:rPr>
          <w:t xml:space="preserve">https://doi.org/10.1109/TAC.1974.1100705</w:t>
        </w:r>
      </w:hyperlink>
      <w:r>
        <w:t xml:space="preserve">.</w:t>
      </w:r>
    </w:p>
    <w:bookmarkEnd w:id="88"/>
    <w:bookmarkStart w:id="90"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9">
        <w:r>
          <w:rPr>
            <w:rStyle w:val="Hyperlink"/>
          </w:rPr>
          <w:t xml:space="preserve">https://doi.org/10.1016/j.ocecoaman.2023.106929</w:t>
        </w:r>
      </w:hyperlink>
      <w:r>
        <w:t xml:space="preserve">.</w:t>
      </w:r>
    </w:p>
    <w:bookmarkEnd w:id="90"/>
    <w:bookmarkStart w:id="92"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91">
        <w:r>
          <w:rPr>
            <w:rStyle w:val="Hyperlink"/>
          </w:rPr>
          <w:t xml:space="preserve">https://doi.org/10.1029/2004GB002229</w:t>
        </w:r>
      </w:hyperlink>
      <w:r>
        <w:t xml:space="preserve">.</w:t>
      </w:r>
    </w:p>
    <w:bookmarkEnd w:id="92"/>
    <w:bookmarkStart w:id="94" w:name="ref-beck2022c"/>
    <w:p>
      <w:pPr>
        <w:pStyle w:val="Bibliography"/>
      </w:pPr>
      <w:r>
        <w:t xml:space="preserve">Beck, M. W. 2022. Tbep-tech/load-estimates: v1.0.0 (version v1.0.0). Zenodo.</w:t>
      </w:r>
      <w:r>
        <w:t xml:space="preserve"> </w:t>
      </w:r>
      <w:hyperlink r:id="rId93">
        <w:r>
          <w:rPr>
            <w:rStyle w:val="Hyperlink"/>
          </w:rPr>
          <w:t xml:space="preserve">https://doi.org/10.5281/zenodo.6653433</w:t>
        </w:r>
      </w:hyperlink>
      <w:r>
        <w:t xml:space="preserve">.</w:t>
      </w:r>
    </w:p>
    <w:bookmarkEnd w:id="94"/>
    <w:bookmarkStart w:id="96"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95">
        <w:r>
          <w:rPr>
            <w:rStyle w:val="Hyperlink"/>
          </w:rPr>
          <w:t xml:space="preserve">https://doi.org/10.1016/j.scitotenv.2021.149927</w:t>
        </w:r>
      </w:hyperlink>
      <w:r>
        <w:t xml:space="preserve">.</w:t>
      </w:r>
    </w:p>
    <w:bookmarkEnd w:id="96"/>
    <w:bookmarkStart w:id="9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97">
        <w:r>
          <w:rPr>
            <w:rStyle w:val="Hyperlink"/>
          </w:rPr>
          <w:t xml:space="preserve">https://doi.org/10.1007/s12237-024-01385-0</w:t>
        </w:r>
      </w:hyperlink>
      <w:r>
        <w:t xml:space="preserve">.</w:t>
      </w:r>
    </w:p>
    <w:bookmarkEnd w:id="98"/>
    <w:bookmarkStart w:id="10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9">
        <w:r>
          <w:rPr>
            <w:rStyle w:val="Hyperlink"/>
          </w:rPr>
          <w:t xml:space="preserve">https://doi.org/10.1007/s10666-015-9452-8</w:t>
        </w:r>
      </w:hyperlink>
      <w:r>
        <w:t xml:space="preserve">.</w:t>
      </w:r>
    </w:p>
    <w:bookmarkEnd w:id="100"/>
    <w:bookmarkStart w:id="10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101">
        <w:r>
          <w:rPr>
            <w:rStyle w:val="Hyperlink"/>
          </w:rPr>
          <w:t xml:space="preserve">https://doi.org/10.1111/1752-1688.12489</w:t>
        </w:r>
      </w:hyperlink>
      <w:r>
        <w:t xml:space="preserve">.</w:t>
      </w:r>
    </w:p>
    <w:bookmarkEnd w:id="102"/>
    <w:bookmarkStart w:id="104"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103">
        <w:r>
          <w:rPr>
            <w:rStyle w:val="Hyperlink"/>
          </w:rPr>
          <w:t xml:space="preserve">https://doi.org/10.13031/2013.21742</w:t>
        </w:r>
      </w:hyperlink>
      <w:r>
        <w:t xml:space="preserve">.</w:t>
      </w:r>
    </w:p>
    <w:bookmarkEnd w:id="104"/>
    <w:bookmarkStart w:id="106"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105">
        <w:r>
          <w:rPr>
            <w:rStyle w:val="Hyperlink"/>
          </w:rPr>
          <w:t xml:space="preserve">https://doi.org/10.1021/es011246m</w:t>
        </w:r>
      </w:hyperlink>
      <w:r>
        <w:t xml:space="preserve">.</w:t>
      </w:r>
    </w:p>
    <w:bookmarkEnd w:id="106"/>
    <w:bookmarkStart w:id="107"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107"/>
    <w:bookmarkStart w:id="10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108"/>
    <w:bookmarkStart w:id="110"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9">
        <w:r>
          <w:rPr>
            <w:rStyle w:val="Hyperlink"/>
          </w:rPr>
          <w:t xml:space="preserve">https://doi.org/10.1016/j.marchem.2006.12.007</w:t>
        </w:r>
      </w:hyperlink>
      <w:r>
        <w:t xml:space="preserve">.</w:t>
      </w:r>
    </w:p>
    <w:bookmarkEnd w:id="110"/>
    <w:bookmarkStart w:id="112"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11">
        <w:r>
          <w:rPr>
            <w:rStyle w:val="Hyperlink"/>
          </w:rPr>
          <w:t xml:space="preserve">https://doi.org/10.1016/j.rse.2006.12.019</w:t>
        </w:r>
      </w:hyperlink>
      <w:r>
        <w:t xml:space="preserve">.</w:t>
      </w:r>
    </w:p>
    <w:bookmarkEnd w:id="112"/>
    <w:bookmarkStart w:id="114"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13">
        <w:r>
          <w:rPr>
            <w:rStyle w:val="Hyperlink"/>
          </w:rPr>
          <w:t xml:space="preserve">https://doi.org/10.3354/meps210223</w:t>
        </w:r>
      </w:hyperlink>
      <w:r>
        <w:t xml:space="preserve">.</w:t>
      </w:r>
    </w:p>
    <w:bookmarkEnd w:id="114"/>
    <w:bookmarkStart w:id="116"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15">
        <w:r>
          <w:rPr>
            <w:rStyle w:val="Hyperlink"/>
          </w:rPr>
          <w:t xml:space="preserve">https://doi.org/10.1007/s10750-004-7102-2</w:t>
        </w:r>
      </w:hyperlink>
      <w:r>
        <w:t xml:space="preserve">.</w:t>
      </w:r>
    </w:p>
    <w:bookmarkEnd w:id="116"/>
    <w:bookmarkStart w:id="118"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17">
        <w:r>
          <w:rPr>
            <w:rStyle w:val="Hyperlink"/>
          </w:rPr>
          <w:t xml:space="preserve">https://doi.org/10.1007/s00267-005-0079-4</w:t>
        </w:r>
      </w:hyperlink>
      <w:r>
        <w:t xml:space="preserve">.</w:t>
      </w:r>
    </w:p>
    <w:bookmarkEnd w:id="118"/>
    <w:bookmarkStart w:id="120"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9">
        <w:r>
          <w:rPr>
            <w:rStyle w:val="Hyperlink"/>
          </w:rPr>
          <w:t xml:space="preserve">https://doi.org/10.1016/j.ecss.2014.10.003</w:t>
        </w:r>
      </w:hyperlink>
      <w:r>
        <w:t xml:space="preserve">.</w:t>
      </w:r>
    </w:p>
    <w:bookmarkEnd w:id="120"/>
    <w:bookmarkStart w:id="122"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21">
        <w:r>
          <w:rPr>
            <w:rStyle w:val="Hyperlink"/>
          </w:rPr>
          <w:t xml:space="preserve">https://doi.org/10.2307/1353325</w:t>
        </w:r>
      </w:hyperlink>
      <w:r>
        <w:t xml:space="preserve">.</w:t>
      </w:r>
    </w:p>
    <w:bookmarkEnd w:id="122"/>
    <w:bookmarkStart w:id="124"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23">
        <w:r>
          <w:rPr>
            <w:rStyle w:val="Hyperlink"/>
          </w:rPr>
          <w:t xml:space="preserve">https://doi.org/10.1016/j.scitotenv.2010.05.031</w:t>
        </w:r>
      </w:hyperlink>
      <w:r>
        <w:t xml:space="preserve">.</w:t>
      </w:r>
    </w:p>
    <w:bookmarkEnd w:id="124"/>
    <w:bookmarkStart w:id="126"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25">
        <w:r>
          <w:rPr>
            <w:rStyle w:val="Hyperlink"/>
          </w:rPr>
          <w:t xml:space="preserve">https://doi.org/10.1111/j.1752-1688.2010.00482.x</w:t>
        </w:r>
      </w:hyperlink>
      <w:r>
        <w:t xml:space="preserve">.</w:t>
      </w:r>
    </w:p>
    <w:bookmarkEnd w:id="126"/>
    <w:bookmarkStart w:id="127"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27"/>
    <w:bookmarkStart w:id="129" w:name="ref-tbep0696"/>
    <w:p>
      <w:pPr>
        <w:pStyle w:val="Bibliography"/>
      </w:pPr>
      <w:r>
        <w:t xml:space="preserve">Janicki, A. J., and D. L. Wade. 1996.</w:t>
      </w:r>
      <w:r>
        <w:t xml:space="preserve"> </w:t>
      </w:r>
      <w:hyperlink r:id="rId128">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9"/>
    <w:bookmarkStart w:id="131" w:name="ref-tbep0400"/>
    <w:p>
      <w:pPr>
        <w:pStyle w:val="Bibliography"/>
      </w:pPr>
      <w:r>
        <w:t xml:space="preserve">Janicki, A. J., D. L. Wade, and J. R. Pribble. 2000.</w:t>
      </w:r>
      <w:r>
        <w:t xml:space="preserve"> </w:t>
      </w:r>
      <w:hyperlink r:id="rId130">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31"/>
    <w:bookmarkStart w:id="133" w:name="ref-tbep1115"/>
    <w:p>
      <w:pPr>
        <w:pStyle w:val="Bibliography"/>
      </w:pPr>
      <w:r>
        <w:t xml:space="preserve">Janicki Environmental, Inc. 2015.</w:t>
      </w:r>
      <w:r>
        <w:t xml:space="preserve"> </w:t>
      </w:r>
      <w:hyperlink r:id="rId132">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33"/>
    <w:bookmarkStart w:id="135" w:name="ref-tbep0623"/>
    <w:p>
      <w:pPr>
        <w:pStyle w:val="Bibliography"/>
      </w:pPr>
      <w:r>
        <w:t xml:space="preserve">Janicki Environmental, Inc. 2023.</w:t>
      </w:r>
      <w:r>
        <w:t xml:space="preserve"> </w:t>
      </w:r>
      <w:hyperlink r:id="rId134">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35"/>
    <w:bookmarkStart w:id="137" w:name="ref-tbep0622"/>
    <w:p>
      <w:pPr>
        <w:pStyle w:val="Bibliography"/>
      </w:pPr>
      <w:r>
        <w:t xml:space="preserve">Johansson, J. O. R. 2022.</w:t>
      </w:r>
      <w:r>
        <w:t xml:space="preserve"> </w:t>
      </w:r>
      <w:hyperlink r:id="rId136">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37"/>
    <w:bookmarkStart w:id="138"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38"/>
    <w:bookmarkStart w:id="140"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9">
        <w:r>
          <w:rPr>
            <w:rStyle w:val="Hyperlink"/>
          </w:rPr>
          <w:t xml:space="preserve">https://doi.org/10.1016/j.jenvman.2006.12.013</w:t>
        </w:r>
      </w:hyperlink>
      <w:r>
        <w:t xml:space="preserve">.</w:t>
      </w:r>
    </w:p>
    <w:bookmarkEnd w:id="140"/>
    <w:bookmarkStart w:id="14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41">
        <w:r>
          <w:rPr>
            <w:rStyle w:val="Hyperlink"/>
          </w:rPr>
          <w:t xml:space="preserve">https://doi.org/10.2307/1351884</w:t>
        </w:r>
      </w:hyperlink>
      <w:r>
        <w:t xml:space="preserve">.</w:t>
      </w:r>
    </w:p>
    <w:bookmarkEnd w:id="142"/>
    <w:bookmarkStart w:id="14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43">
        <w:r>
          <w:rPr>
            <w:rStyle w:val="Hyperlink"/>
          </w:rPr>
          <w:t xml:space="preserve">https://doi.org/10.1016/j.jembe.2009.10.014</w:t>
        </w:r>
      </w:hyperlink>
      <w:r>
        <w:t xml:space="preserve">.</w:t>
      </w:r>
    </w:p>
    <w:bookmarkEnd w:id="144"/>
    <w:bookmarkStart w:id="14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45">
        <w:r>
          <w:rPr>
            <w:rStyle w:val="Hyperlink"/>
          </w:rPr>
          <w:t xml:space="preserve">https://doi.org/10.1016/j.ecss.2012.09.017</w:t>
        </w:r>
      </w:hyperlink>
      <w:r>
        <w:t xml:space="preserve">.</w:t>
      </w:r>
    </w:p>
    <w:bookmarkEnd w:id="146"/>
    <w:bookmarkStart w:id="14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47">
        <w:r>
          <w:rPr>
            <w:rStyle w:val="Hyperlink"/>
          </w:rPr>
          <w:t xml:space="preserve">https://doi.org/10.1016/j.dsr2.2013.12.011</w:t>
        </w:r>
      </w:hyperlink>
      <w:r>
        <w:t xml:space="preserve">.</w:t>
      </w:r>
    </w:p>
    <w:bookmarkEnd w:id="148"/>
    <w:bookmarkStart w:id="15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9">
        <w:r>
          <w:rPr>
            <w:rStyle w:val="Hyperlink"/>
          </w:rPr>
          <w:t xml:space="preserve">https://doi.org/10.1016/j.cosust.2012.03.002</w:t>
        </w:r>
      </w:hyperlink>
      <w:r>
        <w:t xml:space="preserve">.</w:t>
      </w:r>
    </w:p>
    <w:bookmarkEnd w:id="150"/>
    <w:bookmarkStart w:id="152" w:name="ref-luther2022"/>
    <w:p>
      <w:pPr>
        <w:pStyle w:val="Bibliography"/>
      </w:pPr>
      <w:r>
        <w:t xml:space="preserve">Luther, M. E., and S. D. Meyers. 2022.</w:t>
      </w:r>
      <w:r>
        <w:t xml:space="preserve"> </w:t>
      </w:r>
      <w:hyperlink r:id="rId15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52"/>
    <w:bookmarkStart w:id="15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53">
        <w:r>
          <w:rPr>
            <w:rStyle w:val="Hyperlink"/>
          </w:rPr>
          <w:t xml:space="preserve">https://doi.org/10.2112/SI54-000.1</w:t>
        </w:r>
      </w:hyperlink>
      <w:r>
        <w:t xml:space="preserve">.</w:t>
      </w:r>
    </w:p>
    <w:bookmarkEnd w:id="154"/>
    <w:bookmarkStart w:id="15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55">
        <w:r>
          <w:rPr>
            <w:rStyle w:val="Hyperlink"/>
          </w:rPr>
          <w:t xml:space="preserve">https://doi.org/10.1002/2014JC010342</w:t>
        </w:r>
      </w:hyperlink>
      <w:r>
        <w:t xml:space="preserve">.</w:t>
      </w:r>
    </w:p>
    <w:bookmarkEnd w:id="156"/>
    <w:bookmarkStart w:id="158"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57">
        <w:r>
          <w:rPr>
            <w:rStyle w:val="Hyperlink"/>
          </w:rPr>
          <w:t xml:space="preserve">https://doi.org/10.1007/BF02798652</w:t>
        </w:r>
      </w:hyperlink>
      <w:r>
        <w:t xml:space="preserve">.</w:t>
      </w:r>
    </w:p>
    <w:bookmarkEnd w:id="158"/>
    <w:bookmarkStart w:id="15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9"/>
    <w:bookmarkStart w:id="16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60">
        <w:r>
          <w:rPr>
            <w:rStyle w:val="Hyperlink"/>
          </w:rPr>
          <w:t xml:space="preserve">https://doi.org/10.1007/s00267-010-9531-1</w:t>
        </w:r>
      </w:hyperlink>
      <w:r>
        <w:t xml:space="preserve">.</w:t>
      </w:r>
    </w:p>
    <w:bookmarkEnd w:id="161"/>
    <w:bookmarkStart w:id="16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62">
        <w:r>
          <w:rPr>
            <w:rStyle w:val="Hyperlink"/>
          </w:rPr>
          <w:t xml:space="preserve">https://doi.org/10.1021/acs.est.1c05388</w:t>
        </w:r>
      </w:hyperlink>
      <w:r>
        <w:t xml:space="preserve">.</w:t>
      </w:r>
    </w:p>
    <w:bookmarkEnd w:id="163"/>
    <w:bookmarkStart w:id="16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64">
        <w:r>
          <w:rPr>
            <w:rStyle w:val="Hyperlink"/>
          </w:rPr>
          <w:t xml:space="preserve">https://doi.org/10.1016/j.envsoft.2019.03.027</w:t>
        </w:r>
      </w:hyperlink>
      <w:r>
        <w:t xml:space="preserve">.</w:t>
      </w:r>
    </w:p>
    <w:bookmarkEnd w:id="165"/>
    <w:bookmarkStart w:id="166" w:name="ref-nadp2022"/>
    <w:p>
      <w:pPr>
        <w:pStyle w:val="Bibliography"/>
      </w:pPr>
      <w:r>
        <w:t xml:space="preserve">NADP. 2022. National atmospheric deposition program (NRSP-3). NADP program office, wisconsin state laboratory of hygiene, 465 henry mall, madison, WI 53706.</w:t>
      </w:r>
    </w:p>
    <w:bookmarkEnd w:id="166"/>
    <w:bookmarkStart w:id="168"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67">
        <w:r>
          <w:rPr>
            <w:rStyle w:val="Hyperlink"/>
          </w:rPr>
          <w:t xml:space="preserve">https://doi.org/10.1080/00785236.1995.10422044</w:t>
        </w:r>
      </w:hyperlink>
      <w:r>
        <w:t xml:space="preserve">.</w:t>
      </w:r>
    </w:p>
    <w:bookmarkEnd w:id="168"/>
    <w:bookmarkStart w:id="170"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9">
        <w:r>
          <w:rPr>
            <w:rStyle w:val="Hyperlink"/>
          </w:rPr>
          <w:t xml:space="preserve">https://doi.org/10.1007/s00267-004-0034-9</w:t>
        </w:r>
      </w:hyperlink>
      <w:r>
        <w:t xml:space="preserve">.</w:t>
      </w:r>
    </w:p>
    <w:bookmarkEnd w:id="170"/>
    <w:bookmarkStart w:id="171"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71"/>
    <w:bookmarkStart w:id="173"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72">
        <w:r>
          <w:rPr>
            <w:rStyle w:val="Hyperlink"/>
          </w:rPr>
          <w:t xml:space="preserve">https://doi.org/10.1016/j.rsma.2015.11.007</w:t>
        </w:r>
      </w:hyperlink>
      <w:r>
        <w:t xml:space="preserve">.</w:t>
      </w:r>
    </w:p>
    <w:bookmarkEnd w:id="173"/>
    <w:bookmarkStart w:id="175"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74">
        <w:r>
          <w:rPr>
            <w:rStyle w:val="Hyperlink"/>
          </w:rPr>
          <w:t xml:space="preserve">https://doi.org/10.7717/peerj.16073</w:t>
        </w:r>
      </w:hyperlink>
      <w:r>
        <w:t xml:space="preserve">.</w:t>
      </w:r>
    </w:p>
    <w:bookmarkEnd w:id="175"/>
    <w:bookmarkStart w:id="177" w:name="ref-sherwood2015"/>
    <w:p>
      <w:pPr>
        <w:pStyle w:val="Bibliography"/>
      </w:pPr>
      <w:r>
        <w:t xml:space="preserve">Sherwood, E. T., H. S. Greening, L. Garcia, K. Kaufman, A. J. Janicki, R. Pribble, B. Cunningham, et al. 2015.</w:t>
      </w:r>
      <w:r>
        <w:t xml:space="preserve"> </w:t>
      </w:r>
      <w:hyperlink r:id="rId176">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77"/>
    <w:bookmarkStart w:id="179"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78">
        <w:r>
          <w:rPr>
            <w:rStyle w:val="Hyperlink"/>
          </w:rPr>
          <w:t xml:space="preserve">https://doi.org/10.1016/j.rsma.2015.05.005</w:t>
        </w:r>
      </w:hyperlink>
      <w:r>
        <w:t xml:space="preserve">.</w:t>
      </w:r>
    </w:p>
    <w:bookmarkEnd w:id="179"/>
    <w:bookmarkStart w:id="181"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80">
        <w:r>
          <w:rPr>
            <w:rStyle w:val="Hyperlink"/>
          </w:rPr>
          <w:t xml:space="preserve">https://doi.org/10.1353/sgo.2017.0026</w:t>
        </w:r>
      </w:hyperlink>
      <w:r>
        <w:t xml:space="preserve">.</w:t>
      </w:r>
    </w:p>
    <w:bookmarkEnd w:id="181"/>
    <w:bookmarkStart w:id="183"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82">
        <w:r>
          <w:rPr>
            <w:rStyle w:val="Hyperlink"/>
          </w:rPr>
          <w:t xml:space="preserve">https://doi.org/10.32614/CRAN.package.gratia</w:t>
        </w:r>
      </w:hyperlink>
      <w:r>
        <w:t xml:space="preserve">.</w:t>
      </w:r>
    </w:p>
    <w:bookmarkEnd w:id="183"/>
    <w:bookmarkStart w:id="185"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84">
        <w:r>
          <w:rPr>
            <w:rStyle w:val="Hyperlink"/>
          </w:rPr>
          <w:t xml:space="preserve">https://doi.org/10.2307/1352982</w:t>
        </w:r>
      </w:hyperlink>
      <w:r>
        <w:t xml:space="preserve">.</w:t>
      </w:r>
    </w:p>
    <w:bookmarkEnd w:id="185"/>
    <w:bookmarkStart w:id="187" w:name="ref-SWFWMD25"/>
    <w:p>
      <w:pPr>
        <w:pStyle w:val="Bibliography"/>
      </w:pPr>
      <w:r>
        <w:t xml:space="preserve">Southwest Florida Water Management District. 2025.</w:t>
      </w:r>
      <w:r>
        <w:t xml:space="preserve"> </w:t>
      </w:r>
      <w:hyperlink r:id="rId186">
        <w:r>
          <w:rPr>
            <w:rStyle w:val="Hyperlink"/>
          </w:rPr>
          <w:t xml:space="preserve">2023 land use land cover shapefile for SWFWMD</w:t>
        </w:r>
      </w:hyperlink>
      <w:r>
        <w:t xml:space="preserve">.</w:t>
      </w:r>
    </w:p>
    <w:bookmarkEnd w:id="187"/>
    <w:bookmarkStart w:id="189"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88">
        <w:r>
          <w:rPr>
            <w:rStyle w:val="Hyperlink"/>
          </w:rPr>
          <w:t xml:space="preserve">https://doi.org/10.1016/j.scitotenv.2011.09.088</w:t>
        </w:r>
      </w:hyperlink>
      <w:r>
        <w:t xml:space="preserve">.</w:t>
      </w:r>
    </w:p>
    <w:bookmarkEnd w:id="189"/>
    <w:bookmarkStart w:id="191" w:name="ref-tbep0310"/>
    <w:p>
      <w:pPr>
        <w:pStyle w:val="Bibliography"/>
      </w:pPr>
      <w:r>
        <w:t xml:space="preserve">Tampa Bay Nitrogen Management Consortium. 2010.</w:t>
      </w:r>
      <w:r>
        <w:t xml:space="preserve"> </w:t>
      </w:r>
      <w:hyperlink r:id="rId190">
        <w:r>
          <w:rPr>
            <w:rStyle w:val="Hyperlink"/>
            <w:i/>
            <w:iCs/>
          </w:rPr>
          <w:t xml:space="preserve">2009 reasonable assurance addendum: Allocation and assessment report</w:t>
        </w:r>
      </w:hyperlink>
      <w:r>
        <w:t xml:space="preserve">. Technical report 03-10. St. Petersburg, Florida: Tampa Bay Estuary Program.</w:t>
      </w:r>
    </w:p>
    <w:bookmarkEnd w:id="191"/>
    <w:bookmarkStart w:id="193"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92">
        <w:r>
          <w:rPr>
            <w:rStyle w:val="Hyperlink"/>
          </w:rPr>
          <w:t xml:space="preserve">https://doi.org/10.1111/1752-1688.70070</w:t>
        </w:r>
      </w:hyperlink>
      <w:r>
        <w:t xml:space="preserve">.</w:t>
      </w:r>
    </w:p>
    <w:bookmarkEnd w:id="193"/>
    <w:bookmarkStart w:id="195"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94">
        <w:r>
          <w:rPr>
            <w:rStyle w:val="Hyperlink"/>
          </w:rPr>
          <w:t xml:space="preserve">https://doi.org/10.1007/978-0-387-21706-2</w:t>
        </w:r>
      </w:hyperlink>
      <w:r>
        <w:t xml:space="preserve">.</w:t>
      </w:r>
    </w:p>
    <w:bookmarkEnd w:id="195"/>
    <w:bookmarkStart w:id="197"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96">
        <w:r>
          <w:rPr>
            <w:rStyle w:val="Hyperlink"/>
          </w:rPr>
          <w:t xml:space="preserve">https://doi.org/10.1016/j.jhydrol.2025.134851</w:t>
        </w:r>
      </w:hyperlink>
      <w:r>
        <w:t xml:space="preserve">.</w:t>
      </w:r>
    </w:p>
    <w:bookmarkEnd w:id="197"/>
    <w:bookmarkStart w:id="199"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98">
        <w:r>
          <w:rPr>
            <w:rStyle w:val="Hyperlink"/>
          </w:rPr>
          <w:t xml:space="preserve">https://doi.org/10.1006/ecss.1999.0490</w:t>
        </w:r>
      </w:hyperlink>
      <w:r>
        <w:t xml:space="preserve">.</w:t>
      </w:r>
    </w:p>
    <w:bookmarkEnd w:id="199"/>
    <w:bookmarkStart w:id="201"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200">
        <w:r>
          <w:rPr>
            <w:rStyle w:val="Hyperlink"/>
          </w:rPr>
          <w:t xml:space="preserve">https://doi.org/10.1111/j.1467-9868.2010.00749.x</w:t>
        </w:r>
      </w:hyperlink>
      <w:r>
        <w:t xml:space="preserve">.</w:t>
      </w:r>
    </w:p>
    <w:bookmarkEnd w:id="201"/>
    <w:bookmarkStart w:id="202"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202"/>
    <w:bookmarkStart w:id="204"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203">
        <w:r>
          <w:rPr>
            <w:rStyle w:val="Hyperlink"/>
          </w:rPr>
          <w:t xml:space="preserve">https://doi.org/10.1061/(ASCE)0733-9496(2003)129:4(295)</w:t>
        </w:r>
      </w:hyperlink>
      <w:r>
        <w:t xml:space="preserve">.</w:t>
      </w:r>
    </w:p>
    <w:bookmarkEnd w:id="204"/>
    <w:bookmarkStart w:id="206" w:name="ref-tbep0511"/>
    <w:p>
      <w:pPr>
        <w:pStyle w:val="Bibliography"/>
      </w:pPr>
      <w:r>
        <w:t xml:space="preserve">Yates, K., H. Greening, and G. Morrison. 2011.</w:t>
      </w:r>
      <w:r>
        <w:t xml:space="preserve"> </w:t>
      </w:r>
      <w:hyperlink r:id="rId205">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206"/>
    <w:bookmarkStart w:id="208" w:name="ref-tbep0494"/>
    <w:p>
      <w:pPr>
        <w:pStyle w:val="Bibliography"/>
      </w:pPr>
      <w:r>
        <w:t xml:space="preserve">Zarbock, H. W., A. J. Janicki, D. L. Wade, and D. G. Heimbuch. 1994.</w:t>
      </w:r>
      <w:r>
        <w:t xml:space="preserve"> </w:t>
      </w:r>
      <w:hyperlink r:id="rId20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08"/>
    <w:bookmarkEnd w:id="209"/>
    <w:bookmarkEnd w:id="21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2026-06-11T21:13:46Z</dcterms:created>
  <dcterms:modified xsi:type="dcterms:W3CDTF">2026-06-11T21:13:46Z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