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3"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As it turns out, the results in the current manuscript our actually from using surface salinity. The text description of averaging by depth was mistakenly included from an earlier draft and we have corrected the text to indicate that only surface salinity was used. Regardless, results using surface salinity vs depth-averaged were very similar and did not make a large difference for model performance. Deviance explained of the GAMs for each bay segment were the same using surface or depth-averaged, the exception being LTB where deviance explained was 0.61 using surface values and 0.59 using depth-averaged. So, there is an improvement in fit using surface values for LTB, but it is marginal.</w:t>
      </w:r>
    </w:p>
    <w:p>
      <w:pPr>
        <w:pStyle w:val="BodyText"/>
      </w:pPr>
      <w:r>
        <w:rPr>
          <w:i/>
          <w:iCs/>
        </w:rPr>
        <w:t xml:space="preserve">The following was added for additional context:</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(or lack of, see below). The intent is to motivate action for OTB, i.e., do something now rather than continuing status quo activities that currently contribute to loading that is above the federal threshold.</w:t>
      </w:r>
    </w:p>
    <w:p>
      <w:pPr>
        <w:pStyle w:val="BodyText"/>
      </w:pPr>
      <w:r>
        <w:rPr>
          <w:i/>
          <w:iCs/>
        </w:rPr>
        <w:t xml:space="preserve">We also agree that the gross percentage changes (i.e., half TMDL, twice TMDL) may not represent realistic scenarios for the reasons the reviewer mentions. However, we believe these assessments are useful as a thought exercise to put meaningful bounds on how</w:t>
      </w:r>
      <w:r>
        <w:rPr>
          <w:i/>
          <w:iCs/>
        </w:rPr>
        <w:t xml:space="preserve"> </w:t>
      </w:r>
      <w:r>
        <w:rPr>
          <w:i/>
          <w:iCs/>
        </w:rPr>
        <w:t xml:space="preserve">“high”</w:t>
      </w:r>
      <w:r>
        <w:rPr>
          <w:i/>
          <w:iCs/>
        </w:rPr>
        <w:t xml:space="preserve"> </w:t>
      </w:r>
      <w:r>
        <w:rPr>
          <w:i/>
          <w:iCs/>
        </w:rPr>
        <w:t xml:space="preserve">or</w:t>
      </w:r>
      <w:r>
        <w:rPr>
          <w:i/>
          <w:iCs/>
        </w:rPr>
        <w:t xml:space="preserve"> </w:t>
      </w:r>
      <w:r>
        <w:rPr>
          <w:i/>
          <w:iCs/>
        </w:rPr>
        <w:t xml:space="preserve">“low”</w:t>
      </w:r>
      <w:r>
        <w:rPr>
          <w:i/>
          <w:iCs/>
        </w:rPr>
        <w:t xml:space="preserve"> </w:t>
      </w:r>
      <w:r>
        <w:rPr>
          <w:i/>
          <w:iCs/>
        </w:rPr>
        <w:t xml:space="preserve">loading scenarios may affect the likelihoods of exceeding thresholds relative to changing salinities. In reality, loading has remained relatively constant for the contemporary period evaluated (2012-2024, although we acknowledge inter-annual variability), thus reinforcing the concept that the status quo may not be sufficient to protect water quality in the future. The figure below shows current loading trends. None of the individual regressions are significant and we’ve added a supplemental table with these results.</w:t>
      </w:r>
    </w:p>
    <w:p>
      <w:pPr>
        <w:pStyle w:val="BodyText"/>
      </w:pPr>
      <w:r>
        <w:drawing>
          <wp:inline>
            <wp:extent cx="5943600" cy="4245428"/>
            <wp:effectExtent b="0" l="0" r="0" t="0"/>
            <wp:docPr descr="" title="" id="21" name="Picture"/>
            <a:graphic>
              <a:graphicData uri="http://schemas.openxmlformats.org/drawingml/2006/picture">
                <pic:pic>
                  <pic:nvPicPr>
                    <pic:cNvPr descr="../figs/loadtrends.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i/>
          <w:iCs/>
        </w:rPr>
        <w:t xml:space="preserve">It’s also worth pointing out that we used long-term salinity trends for the entire period of record (1975 to present) to develop the projections for future salinity. Loading for the same period (1985, when estimates begin) also show a long-term decrease. However, understanding recent loading trends (e.g., 2012 to present) is more relevant in a management context given time frames within which nutrient reduction interventions may infleunce water quality, whereas the long-term reduction in salinity is consistent and cannot be easily modified with conventional management approaches. Thus, our justification for why we are using a contemporary period to assess loading trends (or lack of) and why we are retaining our original loading scenarios is strictly to present results that are better contextualized to how managers may react to changing baselines.</w:t>
      </w:r>
    </w:p>
    <w:p>
      <w:pPr>
        <w:pStyle w:val="BodyText"/>
      </w:pPr>
      <w:r>
        <w:rPr>
          <w:i/>
          <w:iCs/>
        </w:rPr>
        <w:t xml:space="preserve">In brief, we have added the following text to our description of the simulation scenarios (lines xxx - xxx):</w:t>
      </w:r>
      <w:r>
        <w:rPr>
          <w:i/>
          <w:iCs/>
        </w:rPr>
        <w:t xml:space="preserve"> </w:t>
      </w:r>
      <w:r>
        <w:rPr>
          <w:i/>
          <w:iCs/>
        </w:rPr>
        <w:t xml:space="preserve">“Although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S7) and emphasizing that the”</w:t>
      </w:r>
      <w:r>
        <w:rPr>
          <w:i/>
          <w:iCs/>
        </w:rPr>
        <w:t xml:space="preserve">status quo” may not remain protective in the future is also a worthwhile assessment.</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In general, we feel that it is important to first identify these unique effects before using the models to simulate their effects under potential future conditions. In other words, objective 2 was necessary before we could pursue objective 3. Yes, we agree that there is some redundancy between what the conventional GAM results show (e.g., Table 1) and those in section 3.2, although it is worthwhile to consider the unique information provided by both. Conventional GAM results (Table 1, newly added supplemental figures S2 and S3) only demonstrate that an association exists and how that unique association can be parsed out from the smoothers. Our results in section 3.2 provide a more nuanced interpretation by disaggregating the effects over time. For example, Figure S3 does provide some indication of how loading or salinity effects vary by time (e.g., second and fourth columns showing the bivariate smooths for salinity vs decimal time and loading vs decimal time, respectively), but these do not provide a collective assessment (i.e., the individual smoothers for salinity and loading must also be considered). Our normalized results in Figures 4-6 provide just that.</w:t>
      </w:r>
    </w:p>
    <w:p>
      <w:pPr>
        <w:pStyle w:val="BodyText"/>
      </w:pPr>
      <w:r>
        <w:rPr>
          <w:i/>
          <w:iCs/>
        </w:rPr>
        <w:t xml:space="preserve">To help clarify this distinction, we have added the following text:</w:t>
      </w:r>
      <w:r>
        <w:rPr>
          <w:i/>
          <w:iCs/>
        </w:rPr>
        <w:t xml:space="preserve"> </w:t>
      </w:r>
      <w:r>
        <w:rPr>
          <w:i/>
          <w:iCs/>
        </w:rP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rPr>
          <w:i/>
          <w:iCs/>
        </w:rPr>
        <w:t xml:space="preserve"> </w:t>
      </w:r>
      <w:r>
        <w:rPr>
          <w:i/>
          <w:iCs/>
        </w:rPr>
        <w:t xml:space="preserve">(e.g., WRTDS, Hirsch et al., 2010; Beck &amp; Hagy, 2015)</w:t>
      </w:r>
      <w:r>
        <w:rPr>
          <w:i/>
          <w:iCs/>
        </w:rPr>
        <w:t xml:space="preserve">.”</w:t>
      </w:r>
    </w:p>
    <w:p>
      <w:pPr>
        <w:pStyle w:val="BodyText"/>
      </w:pPr>
      <w:r>
        <w:rPr>
          <w:i/>
          <w:iCs/>
        </w:rPr>
        <w:t xml:space="preserve">Figure S1 also demonstrates the normalization process describes in the methods. We have added an inset to panel (c) that provides further clarification on how the normalized results are estimated, with a new note in the text indicating as such.</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This is a completely valid point that is worth considering for future work and this was previously mentioned at the end of the discussion (i.e., lines 603-611). Truthfully, there is a management back-story as to why we focused on salinity, but it is specific to our local challenges and not relevant for this venue. Further, while we recognize temperature increase as a confounding factor that will challenge regulatory attainment in the future, hydrologic circulation and the longer residence times in OTB compared to the other bay segments have been a known issue for decades. Salinity as a proxy for these issues was a direct attempt at addressing this long-standing issue, as well as describing its role along with nutrients in other bay segments. We fully intend on considering temperature changes similarly in future work. The following was added in the final paragraph of the introduction:</w:t>
      </w:r>
      <w:r>
        <w:rPr>
          <w:i/>
          <w:iCs/>
        </w:rPr>
        <w:t xml:space="preserve"> </w:t>
      </w:r>
      <w:r>
        <w:rPr>
          <w:i/>
          <w:iCs/>
        </w:rPr>
        <w:t xml:space="preserve">“We focus primarily on salinity and not additional climate change stressors (i.e., temperature) given that Old Tampa Bay (northwest segment) has circulation issues contributing to regulatory exceedances</w:t>
      </w:r>
      <w:r>
        <w:rPr>
          <w:i/>
          <w:iCs/>
        </w:rPr>
        <w:t xml:space="preserve"> </w:t>
      </w:r>
      <w:r>
        <w:rPr>
          <w:i/>
          <w:iCs/>
        </w:rPr>
        <w:t xml:space="preserve">(Sherwood et al., 2015; Luther &amp; Meyers, 2022)</w:t>
      </w:r>
      <w:r>
        <w:rPr>
          <w:i/>
          <w:iCs/>
        </w:rPr>
        <w:t xml:space="preserve"> </w:t>
      </w:r>
      <w:r>
        <w:rPr>
          <w:i/>
          <w:iCs/>
        </w:rPr>
        <w:t xml:space="preserve">and salinity can serve as a proxy to better understand these effects.”</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or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(the effects plots from standard GAM output show the effects across the range of the parameters, not time). However, we have included conventional GAM effects plot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for each bay segment because we feel it is important to help visualize differences between years for each bay segment. However, we have removed the path connection between years to help declutter the plot. For subfigure (b), the axes are now fixed to better emphasize scale comparisons between sub-segments. The caption was updated to describe this rationale:</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proxy for these drivers, as stated throughout.</w:t>
      </w:r>
    </w:p>
    <w:bookmarkEnd w:id="23"/>
    <w:bookmarkStart w:id="24"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4"/>
    <w:bookmarkStart w:id="41" w:name="references"/>
    <w:p>
      <w:pPr>
        <w:pStyle w:val="Heading2"/>
      </w:pPr>
      <w:r>
        <w:t xml:space="preserve">References</w:t>
      </w:r>
    </w:p>
    <w:bookmarkStart w:id="40" w:name="refs"/>
    <w:bookmarkStart w:id="26"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5">
        <w:r>
          <w:rPr>
            <w:rStyle w:val="Hyperlink"/>
          </w:rPr>
          <w:t xml:space="preserve">https://doi.org/10.1109/TAC.1974.1100705</w:t>
        </w:r>
      </w:hyperlink>
      <w:r>
        <w:t xml:space="preserve">.</w:t>
      </w:r>
    </w:p>
    <w:bookmarkEnd w:id="26"/>
    <w:bookmarkStart w:id="28"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7">
        <w:r>
          <w:rPr>
            <w:rStyle w:val="Hyperlink"/>
          </w:rPr>
          <w:t xml:space="preserve">https://doi.org/10.1016/j.scitotenv.2021.149927</w:t>
        </w:r>
      </w:hyperlink>
      <w:r>
        <w:t xml:space="preserve">.</w:t>
      </w:r>
    </w:p>
    <w:bookmarkEnd w:id="28"/>
    <w:bookmarkStart w:id="3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29">
        <w:r>
          <w:rPr>
            <w:rStyle w:val="Hyperlink"/>
          </w:rPr>
          <w:t xml:space="preserve">https://doi.org/10.1007/s10666-015-9452-8</w:t>
        </w:r>
      </w:hyperlink>
      <w:r>
        <w:t xml:space="preserve">.</w:t>
      </w:r>
    </w:p>
    <w:bookmarkEnd w:id="30"/>
    <w:bookmarkStart w:id="32"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31">
        <w:r>
          <w:rPr>
            <w:rStyle w:val="Hyperlink"/>
          </w:rPr>
          <w:t xml:space="preserve">https://doi.org/10.1111/j.1752-1688.2010.00482.x</w:t>
        </w:r>
      </w:hyperlink>
      <w:r>
        <w:t xml:space="preserve">.</w:t>
      </w:r>
    </w:p>
    <w:bookmarkEnd w:id="32"/>
    <w:bookmarkStart w:id="33"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33"/>
    <w:bookmarkStart w:id="35" w:name="ref-luther2022"/>
    <w:p>
      <w:pPr>
        <w:pStyle w:val="Bibliography"/>
      </w:pPr>
      <w:r>
        <w:t xml:space="preserve">Luther, M. E., and S. D. Meyers. 2022.</w:t>
      </w:r>
      <w:r>
        <w:t xml:space="preserve"> </w:t>
      </w:r>
      <w:hyperlink r:id="rId34">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35"/>
    <w:bookmarkStart w:id="37" w:name="ref-sherwood2015"/>
    <w:p>
      <w:pPr>
        <w:pStyle w:val="Bibliography"/>
      </w:pPr>
      <w:r>
        <w:t xml:space="preserve">Sherwood, E. T., H. S. Greening, L. Garcia, K. Kaufman, A. J. Janicki, R. Pribble, B. Cunningham, et al. 2015.</w:t>
      </w:r>
      <w:r>
        <w:t xml:space="preserve"> </w:t>
      </w:r>
      <w:hyperlink r:id="rId3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37"/>
    <w:bookmarkStart w:id="39" w:name="ref-tbep0494"/>
    <w:p>
      <w:pPr>
        <w:pStyle w:val="Bibliography"/>
      </w:pPr>
      <w:r>
        <w:t xml:space="preserve">Zarbock, H. W., A. J. Janicki, D. L. Wade, and D. G. Heimbuch. 1994.</w:t>
      </w:r>
      <w:r>
        <w:t xml:space="preserve"> </w:t>
      </w:r>
      <w:hyperlink r:id="rId3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39"/>
    <w:bookmarkEnd w:id="40"/>
    <w:bookmarkEnd w:id="41"/>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9" Target="https://doi.org/10.1007/s10666-015-9452-8" TargetMode="External" /><Relationship Type="http://schemas.openxmlformats.org/officeDocument/2006/relationships/hyperlink" Id="rId27" Target="https://doi.org/10.1016/j.scitotenv.2021.149927" TargetMode="External" /><Relationship Type="http://schemas.openxmlformats.org/officeDocument/2006/relationships/hyperlink" Id="rId25" Target="https://doi.org/10.1109/TAC.1974.1100705" TargetMode="External" /><Relationship Type="http://schemas.openxmlformats.org/officeDocument/2006/relationships/hyperlink" Id="rId31" Target="https://doi.org/10.1111/j.1752-1688.2010.00482.x" TargetMode="External" /><Relationship Type="http://schemas.openxmlformats.org/officeDocument/2006/relationships/hyperlink" Id="rId34" Target="https://drive.google.com/file/d/1-1Jq9vly5EvVwEp698brlBucXjSMDbNn/view?usp=sharing" TargetMode="External" /><Relationship Type="http://schemas.openxmlformats.org/officeDocument/2006/relationships/hyperlink" Id="rId36" Target="https://drive.google.com/file/d/1BCviGfLykVX-p1tA3b0306deP3pKMagr/view?usp=drivesdk" TargetMode="External" /><Relationship Type="http://schemas.openxmlformats.org/officeDocument/2006/relationships/hyperlink" Id="rId38"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10666-015-9452-8" TargetMode="External" /><Relationship Type="http://schemas.openxmlformats.org/officeDocument/2006/relationships/hyperlink" Id="rId27" Target="https://doi.org/10.1016/j.scitotenv.2021.149927" TargetMode="External" /><Relationship Type="http://schemas.openxmlformats.org/officeDocument/2006/relationships/hyperlink" Id="rId25" Target="https://doi.org/10.1109/TAC.1974.1100705" TargetMode="External" /><Relationship Type="http://schemas.openxmlformats.org/officeDocument/2006/relationships/hyperlink" Id="rId31" Target="https://doi.org/10.1111/j.1752-1688.2010.00482.x" TargetMode="External" /><Relationship Type="http://schemas.openxmlformats.org/officeDocument/2006/relationships/hyperlink" Id="rId34" Target="https://drive.google.com/file/d/1-1Jq9vly5EvVwEp698brlBucXjSMDbNn/view?usp=sharing" TargetMode="External" /><Relationship Type="http://schemas.openxmlformats.org/officeDocument/2006/relationships/hyperlink" Id="rId36" Target="https://drive.google.com/file/d/1BCviGfLykVX-p1tA3b0306deP3pKMagr/view?usp=drivesdk" TargetMode="External" /><Relationship Type="http://schemas.openxmlformats.org/officeDocument/2006/relationships/hyperlink" Id="rId38"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2026-06-11T21:12:47Z</dcterms:created>
  <dcterms:modified xsi:type="dcterms:W3CDTF">2026-06-11T21:12:47Z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