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provides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We focus primarily on salinity and not additional climate change stressors (i.e., temperature) given that Old Tampa Bay (northwest segment) has circulation issues contributing to regulatory exceedances</w:t>
      </w:r>
      <w:r>
        <w:t xml:space="preserve"> </w:t>
      </w:r>
      <w:r>
        <w:t xml:space="preserve">(Sherwood et al., 2015; Luther &amp; Meyers, 2022)</w:t>
      </w:r>
      <w:r>
        <w:t xml:space="preserve"> </w:t>
      </w:r>
      <w:r>
        <w:t xml:space="preserve">and salinity can serve as a proxy to better understand these effects.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(EPCHC).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(annual averages by bay segment are shown in</w:t>
      </w:r>
      <w:r>
        <w:t xml:space="preserve"> </w:t>
      </w:r>
      <w:hyperlink w:anchor="fig-obsdat">
        <w:r>
          <w:rPr>
            <w:rStyle w:val="Hyperlink"/>
          </w:rPr>
          <w:t xml:space="preserve">Figure 2</w:t>
        </w:r>
      </w:hyperlink>
      <w:r>
        <w:t xml:space="preserve">a, b). Salinity is measured at surface, mid, and bottom depths at each station, whereas only surface salinity was used for analysis given similar sampling depth as chlorophyll-a.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(Murphy et al., 2019)</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Model structure was evaluated using the</w:t>
      </w:r>
      <w:r>
        <w:t xml:space="preserve"> </w:t>
      </w:r>
      <w:r>
        <w:t xml:space="preserve">“select”</w:t>
      </w:r>
      <w:r>
        <w:t xml:space="preserve"> </w:t>
      </w:r>
      <w:r>
        <w:t xml:space="preserve">option from the mgcv R package</w:t>
      </w:r>
      <w:r>
        <w:t xml:space="preserve"> </w:t>
      </w:r>
      <w:r>
        <w:t xml:space="preserve">(Wood, 2017)</w:t>
      </w:r>
      <w:r>
        <w:t xml:space="preserve">, which allows the influence of individual smoothers to be removed by penalizing them to zero if they have negligible effects. Comparisons of the full models with those using the select option showed minimal differences</w:t>
      </w:r>
      <w:r>
        <w:t xml:space="preserve"> </w:t>
      </w:r>
      <w:r>
        <w:t xml:space="preserve">(Table S1, using differences in Akaike information criterion or AIC,</w:t>
      </w:r>
      <w:r>
        <w:t xml:space="preserve"> </w:t>
      </w:r>
      <m:oMath>
        <m:r>
          <m:t>Δ</m:t>
        </m:r>
      </m:oMath>
      <w:r>
        <w:t xml:space="preserve">AIC &lt; 3 for all models, Akaike, 1974)</w:t>
      </w:r>
      <w:r>
        <w:t xml:space="preserve"> </w:t>
      </w:r>
      <w:r>
        <w:t xml:space="preserve">and the full models are used throughout. Using the full models also ensures the same model structure for describing drivers and outcomes of scenario testing between bay segments, as desired for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AIC</w:t>
      </w:r>
      <w:r>
        <w:t xml:space="preserve"> </w:t>
      </w:r>
      <w:r>
        <w:t xml:space="preserve">(Table S2, Akaike, 1974)</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 using the</w:t>
      </w:r>
      <w:r>
        <w:t xml:space="preserve"> </w:t>
      </w:r>
      <w:r>
        <w:rPr>
          <w:rStyle w:val="VerbatimChar"/>
        </w:rPr>
        <w:t xml:space="preserve">gam()</w:t>
      </w:r>
      <w:r>
        <w:t xml:space="preserve"> </w:t>
      </w:r>
      <w:r>
        <w:t xml:space="preserve">function from mgcv</w:t>
      </w:r>
      <w:r>
        <w:t xml:space="preserve"> </w:t>
      </w:r>
      <w:r>
        <w:t xml:space="preserve">(Wood, 2017)</w:t>
      </w:r>
      <w:r>
        <w:t xml:space="preserve">, which can further impose constraints by penalizing</w:t>
      </w:r>
      <w:r>
        <w:t xml:space="preserve"> </w:t>
      </w:r>
      <w:r>
        <w:t xml:space="preserve">“wiggliness”</w:t>
      </w:r>
      <w:r>
        <w:t xml:space="preserve"> </w:t>
      </w:r>
      <w:r>
        <w:t xml:space="preserve">for smoothers that minimally influence the results</w:t>
      </w:r>
      <w:r>
        <w:t xml:space="preserve"> </w:t>
      </w:r>
      <w:r>
        <w:t xml:space="preserve">(Wood, 2011)</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S3).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S4-S7),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Although the effects of salinity and loading can be inferred from conventional GAM summaries, either by evaluating tabular model output or from effects plots, they do not provide a holistic interpretation that can be obtained from the normalized results. By utilizing the model predictions that consider the effects of all modeled parameters and normalizing the output as described above, the unique effects of salinity and loading can be more clearly evaluated, especially over time. This approach is essentially a GAM-equivalent to the normalization from other methods</w:t>
      </w:r>
      <w:r>
        <w:t xml:space="preserve"> </w:t>
      </w:r>
      <w:r>
        <w:t xml:space="preserve">(e.g., WRTDS, Hirsch et al., 2010; Beck &amp; Hagy, 2015)</w:t>
      </w:r>
      <w:r>
        <w:t xml:space="preserve">.</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 (Figure S1c, inset).</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 (</w:t>
      </w:r>
      <w:hyperlink w:anchor="fig-obsdat">
        <w:r>
          <w:rPr>
            <w:rStyle w:val="Hyperlink"/>
          </w:rPr>
          <w:t xml:space="preserve">Figure 2</w:t>
        </w:r>
      </w:hyperlink>
      <w:r>
        <w:t xml:space="preserve">)</w:t>
      </w:r>
      <w:r>
        <w:t xml:space="preserve"> </w:t>
      </w:r>
      <w:r>
        <w:t xml:space="preserve">(Janicki &amp;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w:t>
      </w:r>
    </w:p>
    <w:p>
      <w:pPr>
        <w:pStyle w:val="BodyText"/>
      </w:pPr>
      <w:r>
        <w:t xml:space="preserve">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Although long-term reductions in loading have been observed over several decades, evaluating upper and lower bounds of potential loads relative to the TMDL threshold for each bay segment provides a more contextualized assessment.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S8) and emphasizing that the</w:t>
      </w:r>
      <w:r>
        <w:t xml:space="preserve"> </w:t>
      </w:r>
      <w:r>
        <w:t xml:space="preserve">“status quo”</w:t>
      </w:r>
      <w:r>
        <w:t xml:space="preserve"> </w:t>
      </w:r>
      <w:r>
        <w:t xml:space="preserve">may not remain protective in the future is also a worthwhile assessment.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OTB and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The axis scales are not fixed in (a) to better visualize inter-annual changes within each bay segment, whereas the scales are fixed in (b) to emphasize differences in the magnitude of the drivers between bay segments.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70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6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↑6.5)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 ↑17.3)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↑2.4)</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 ↑4.3)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↑2.7)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↑3.3)</w:t>
                  </w:r>
                </w:p>
              </w:tc>
            </w:tr>
            <w:tr>
              <w:trPr>
                <w:trHeight w:val="68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↑8.2)</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10" w:name="references"/>
    <w:p>
      <w:pPr>
        <w:pStyle w:val="Heading2"/>
      </w:pPr>
      <w:r>
        <w:t xml:space="preserve">References</w:t>
      </w:r>
    </w:p>
    <w:bookmarkStart w:id="209"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9">
        <w:r>
          <w:rPr>
            <w:rStyle w:val="Hyperlink"/>
          </w:rPr>
          <w:t xml:space="preserve">https://doi.org/10.1016/j.marchem.2006.12.007</w:t>
        </w:r>
      </w:hyperlink>
      <w:r>
        <w:t xml:space="preserve">.</w:t>
      </w:r>
    </w:p>
    <w:bookmarkEnd w:id="110"/>
    <w:bookmarkStart w:id="11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1">
        <w:r>
          <w:rPr>
            <w:rStyle w:val="Hyperlink"/>
          </w:rPr>
          <w:t xml:space="preserve">https://doi.org/10.1016/j.rse.2006.12.019</w:t>
        </w:r>
      </w:hyperlink>
      <w:r>
        <w:t xml:space="preserve">.</w:t>
      </w:r>
    </w:p>
    <w:bookmarkEnd w:id="112"/>
    <w:bookmarkStart w:id="114"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3">
        <w:r>
          <w:rPr>
            <w:rStyle w:val="Hyperlink"/>
          </w:rPr>
          <w:t xml:space="preserve">https://doi.org/10.3354/meps210223</w:t>
        </w:r>
      </w:hyperlink>
      <w:r>
        <w:t xml:space="preserve">.</w:t>
      </w:r>
    </w:p>
    <w:bookmarkEnd w:id="114"/>
    <w:bookmarkStart w:id="116"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5">
        <w:r>
          <w:rPr>
            <w:rStyle w:val="Hyperlink"/>
          </w:rPr>
          <w:t xml:space="preserve">https://doi.org/10.1007/s10750-004-7102-2</w:t>
        </w:r>
      </w:hyperlink>
      <w:r>
        <w:t xml:space="preserve">.</w:t>
      </w:r>
    </w:p>
    <w:bookmarkEnd w:id="116"/>
    <w:bookmarkStart w:id="118"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7">
        <w:r>
          <w:rPr>
            <w:rStyle w:val="Hyperlink"/>
          </w:rPr>
          <w:t xml:space="preserve">https://doi.org/10.1007/s00267-005-0079-4</w:t>
        </w:r>
      </w:hyperlink>
      <w:r>
        <w:t xml:space="preserve">.</w:t>
      </w:r>
    </w:p>
    <w:bookmarkEnd w:id="118"/>
    <w:bookmarkStart w:id="120"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9">
        <w:r>
          <w:rPr>
            <w:rStyle w:val="Hyperlink"/>
          </w:rPr>
          <w:t xml:space="preserve">https://doi.org/10.1016/j.ecss.2014.10.003</w:t>
        </w:r>
      </w:hyperlink>
      <w:r>
        <w:t xml:space="preserve">.</w:t>
      </w:r>
    </w:p>
    <w:bookmarkEnd w:id="120"/>
    <w:bookmarkStart w:id="122"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1">
        <w:r>
          <w:rPr>
            <w:rStyle w:val="Hyperlink"/>
          </w:rPr>
          <w:t xml:space="preserve">https://doi.org/10.2307/1353325</w:t>
        </w:r>
      </w:hyperlink>
      <w:r>
        <w:t xml:space="preserve">.</w:t>
      </w:r>
    </w:p>
    <w:bookmarkEnd w:id="122"/>
    <w:bookmarkStart w:id="124"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3">
        <w:r>
          <w:rPr>
            <w:rStyle w:val="Hyperlink"/>
          </w:rPr>
          <w:t xml:space="preserve">https://doi.org/10.1016/j.scitotenv.2010.05.031</w:t>
        </w:r>
      </w:hyperlink>
      <w:r>
        <w:t xml:space="preserve">.</w:t>
      </w:r>
    </w:p>
    <w:bookmarkEnd w:id="124"/>
    <w:bookmarkStart w:id="126"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5">
        <w:r>
          <w:rPr>
            <w:rStyle w:val="Hyperlink"/>
          </w:rPr>
          <w:t xml:space="preserve">https://doi.org/10.1111/j.1752-1688.2010.00482.x</w:t>
        </w:r>
      </w:hyperlink>
      <w:r>
        <w:t xml:space="preserve">.</w:t>
      </w:r>
    </w:p>
    <w:bookmarkEnd w:id="126"/>
    <w:bookmarkStart w:id="127"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7"/>
    <w:bookmarkStart w:id="129" w:name="ref-tbep0696"/>
    <w:p>
      <w:pPr>
        <w:pStyle w:val="Bibliography"/>
      </w:pPr>
      <w:r>
        <w:t xml:space="preserve">Janicki, A. J., and D. L. Wade. 1996.</w:t>
      </w:r>
      <w:r>
        <w:t xml:space="preserve"> </w:t>
      </w:r>
      <w:hyperlink r:id="rId128">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9"/>
    <w:bookmarkStart w:id="131" w:name="ref-tbep0400"/>
    <w:p>
      <w:pPr>
        <w:pStyle w:val="Bibliography"/>
      </w:pPr>
      <w:r>
        <w:t xml:space="preserve">Janicki, A. J., D. L. Wade, and J. R. Pribble. 2000.</w:t>
      </w:r>
      <w:r>
        <w:t xml:space="preserve"> </w:t>
      </w:r>
      <w:hyperlink r:id="rId130">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1"/>
    <w:bookmarkStart w:id="133" w:name="ref-tbep1115"/>
    <w:p>
      <w:pPr>
        <w:pStyle w:val="Bibliography"/>
      </w:pPr>
      <w:r>
        <w:t xml:space="preserve">Janicki Environmental, Inc. 2015.</w:t>
      </w:r>
      <w:r>
        <w:t xml:space="preserve"> </w:t>
      </w:r>
      <w:hyperlink r:id="rId13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3"/>
    <w:bookmarkStart w:id="135" w:name="ref-tbep0623"/>
    <w:p>
      <w:pPr>
        <w:pStyle w:val="Bibliography"/>
      </w:pPr>
      <w:r>
        <w:t xml:space="preserve">Janicki Environmental, Inc. 2023.</w:t>
      </w:r>
      <w:r>
        <w:t xml:space="preserve"> </w:t>
      </w:r>
      <w:hyperlink r:id="rId13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5"/>
    <w:bookmarkStart w:id="137" w:name="ref-tbep0622"/>
    <w:p>
      <w:pPr>
        <w:pStyle w:val="Bibliography"/>
      </w:pPr>
      <w:r>
        <w:t xml:space="preserve">Johansson, J. O. R. 2022.</w:t>
      </w:r>
      <w:r>
        <w:t xml:space="preserve"> </w:t>
      </w:r>
      <w:hyperlink r:id="rId136">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7"/>
    <w:bookmarkStart w:id="138"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8"/>
    <w:bookmarkStart w:id="140"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9">
        <w:r>
          <w:rPr>
            <w:rStyle w:val="Hyperlink"/>
          </w:rPr>
          <w:t xml:space="preserve">https://doi.org/10.1016/j.jenvman.2006.12.013</w:t>
        </w:r>
      </w:hyperlink>
      <w:r>
        <w:t xml:space="preserve">.</w:t>
      </w:r>
    </w:p>
    <w:bookmarkEnd w:id="140"/>
    <w:bookmarkStart w:id="14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1">
        <w:r>
          <w:rPr>
            <w:rStyle w:val="Hyperlink"/>
          </w:rPr>
          <w:t xml:space="preserve">https://doi.org/10.2307/1351884</w:t>
        </w:r>
      </w:hyperlink>
      <w:r>
        <w:t xml:space="preserve">.</w:t>
      </w:r>
    </w:p>
    <w:bookmarkEnd w:id="142"/>
    <w:bookmarkStart w:id="14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3">
        <w:r>
          <w:rPr>
            <w:rStyle w:val="Hyperlink"/>
          </w:rPr>
          <w:t xml:space="preserve">https://doi.org/10.1016/j.jembe.2009.10.014</w:t>
        </w:r>
      </w:hyperlink>
      <w:r>
        <w:t xml:space="preserve">.</w:t>
      </w:r>
    </w:p>
    <w:bookmarkEnd w:id="144"/>
    <w:bookmarkStart w:id="14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5">
        <w:r>
          <w:rPr>
            <w:rStyle w:val="Hyperlink"/>
          </w:rPr>
          <w:t xml:space="preserve">https://doi.org/10.1016/j.ecss.2012.09.017</w:t>
        </w:r>
      </w:hyperlink>
      <w:r>
        <w:t xml:space="preserve">.</w:t>
      </w:r>
    </w:p>
    <w:bookmarkEnd w:id="146"/>
    <w:bookmarkStart w:id="14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7">
        <w:r>
          <w:rPr>
            <w:rStyle w:val="Hyperlink"/>
          </w:rPr>
          <w:t xml:space="preserve">https://doi.org/10.1016/j.dsr2.2013.12.011</w:t>
        </w:r>
      </w:hyperlink>
      <w:r>
        <w:t xml:space="preserve">.</w:t>
      </w:r>
    </w:p>
    <w:bookmarkEnd w:id="148"/>
    <w:bookmarkStart w:id="15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9">
        <w:r>
          <w:rPr>
            <w:rStyle w:val="Hyperlink"/>
          </w:rPr>
          <w:t xml:space="preserve">https://doi.org/10.1016/j.cosust.2012.03.002</w:t>
        </w:r>
      </w:hyperlink>
      <w:r>
        <w:t xml:space="preserve">.</w:t>
      </w:r>
    </w:p>
    <w:bookmarkEnd w:id="150"/>
    <w:bookmarkStart w:id="152" w:name="ref-luther2022"/>
    <w:p>
      <w:pPr>
        <w:pStyle w:val="Bibliography"/>
      </w:pPr>
      <w:r>
        <w:t xml:space="preserve">Luther, M. E., and S. D. Meyers. 2022.</w:t>
      </w:r>
      <w:r>
        <w:t xml:space="preserve"> </w:t>
      </w:r>
      <w:hyperlink r:id="rId15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2"/>
    <w:bookmarkStart w:id="15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3">
        <w:r>
          <w:rPr>
            <w:rStyle w:val="Hyperlink"/>
          </w:rPr>
          <w:t xml:space="preserve">https://doi.org/10.2112/SI54-000.1</w:t>
        </w:r>
      </w:hyperlink>
      <w:r>
        <w:t xml:space="preserve">.</w:t>
      </w:r>
    </w:p>
    <w:bookmarkEnd w:id="154"/>
    <w:bookmarkStart w:id="15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5">
        <w:r>
          <w:rPr>
            <w:rStyle w:val="Hyperlink"/>
          </w:rPr>
          <w:t xml:space="preserve">https://doi.org/10.1002/2014JC010342</w:t>
        </w:r>
      </w:hyperlink>
      <w:r>
        <w:t xml:space="preserve">.</w:t>
      </w:r>
    </w:p>
    <w:bookmarkEnd w:id="156"/>
    <w:bookmarkStart w:id="158"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7">
        <w:r>
          <w:rPr>
            <w:rStyle w:val="Hyperlink"/>
          </w:rPr>
          <w:t xml:space="preserve">https://doi.org/10.1007/BF02798652</w:t>
        </w:r>
      </w:hyperlink>
      <w:r>
        <w:t xml:space="preserve">.</w:t>
      </w:r>
    </w:p>
    <w:bookmarkEnd w:id="158"/>
    <w:bookmarkStart w:id="15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9"/>
    <w:bookmarkStart w:id="16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0">
        <w:r>
          <w:rPr>
            <w:rStyle w:val="Hyperlink"/>
          </w:rPr>
          <w:t xml:space="preserve">https://doi.org/10.1007/s00267-010-9531-1</w:t>
        </w:r>
      </w:hyperlink>
      <w:r>
        <w:t xml:space="preserve">.</w:t>
      </w:r>
    </w:p>
    <w:bookmarkEnd w:id="161"/>
    <w:bookmarkStart w:id="16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2">
        <w:r>
          <w:rPr>
            <w:rStyle w:val="Hyperlink"/>
          </w:rPr>
          <w:t xml:space="preserve">https://doi.org/10.1021/acs.est.1c05388</w:t>
        </w:r>
      </w:hyperlink>
      <w:r>
        <w:t xml:space="preserve">.</w:t>
      </w:r>
    </w:p>
    <w:bookmarkEnd w:id="163"/>
    <w:bookmarkStart w:id="16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4">
        <w:r>
          <w:rPr>
            <w:rStyle w:val="Hyperlink"/>
          </w:rPr>
          <w:t xml:space="preserve">https://doi.org/10.1016/j.envsoft.2019.03.027</w:t>
        </w:r>
      </w:hyperlink>
      <w:r>
        <w:t xml:space="preserve">.</w:t>
      </w:r>
    </w:p>
    <w:bookmarkEnd w:id="165"/>
    <w:bookmarkStart w:id="166" w:name="ref-nadp2022"/>
    <w:p>
      <w:pPr>
        <w:pStyle w:val="Bibliography"/>
      </w:pPr>
      <w:r>
        <w:t xml:space="preserve">NADP. 2022. National atmospheric deposition program (NRSP-3). NADP program office, wisconsin state laboratory of hygiene, 465 henry mall, madison, WI 53706.</w:t>
      </w:r>
    </w:p>
    <w:bookmarkEnd w:id="166"/>
    <w:bookmarkStart w:id="168"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7">
        <w:r>
          <w:rPr>
            <w:rStyle w:val="Hyperlink"/>
          </w:rPr>
          <w:t xml:space="preserve">https://doi.org/10.1080/00785236.1995.10422044</w:t>
        </w:r>
      </w:hyperlink>
      <w:r>
        <w:t xml:space="preserve">.</w:t>
      </w:r>
    </w:p>
    <w:bookmarkEnd w:id="168"/>
    <w:bookmarkStart w:id="170"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9">
        <w:r>
          <w:rPr>
            <w:rStyle w:val="Hyperlink"/>
          </w:rPr>
          <w:t xml:space="preserve">https://doi.org/10.1007/s00267-004-0034-9</w:t>
        </w:r>
      </w:hyperlink>
      <w:r>
        <w:t xml:space="preserve">.</w:t>
      </w:r>
    </w:p>
    <w:bookmarkEnd w:id="170"/>
    <w:bookmarkStart w:id="171"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1"/>
    <w:bookmarkStart w:id="173"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2">
        <w:r>
          <w:rPr>
            <w:rStyle w:val="Hyperlink"/>
          </w:rPr>
          <w:t xml:space="preserve">https://doi.org/10.1016/j.rsma.2015.11.007</w:t>
        </w:r>
      </w:hyperlink>
      <w:r>
        <w:t xml:space="preserve">.</w:t>
      </w:r>
    </w:p>
    <w:bookmarkEnd w:id="173"/>
    <w:bookmarkStart w:id="175"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4">
        <w:r>
          <w:rPr>
            <w:rStyle w:val="Hyperlink"/>
          </w:rPr>
          <w:t xml:space="preserve">https://doi.org/10.7717/peerj.16073</w:t>
        </w:r>
      </w:hyperlink>
      <w:r>
        <w:t xml:space="preserve">.</w:t>
      </w:r>
    </w:p>
    <w:bookmarkEnd w:id="175"/>
    <w:bookmarkStart w:id="177" w:name="ref-sherwood2015"/>
    <w:p>
      <w:pPr>
        <w:pStyle w:val="Bibliography"/>
      </w:pPr>
      <w:r>
        <w:t xml:space="preserve">Sherwood, E. T., H. S. Greening, L. Garcia, K. Kaufman, A. J. Janicki, R. Pribble, B. Cunningham, et al. 2015.</w:t>
      </w:r>
      <w:r>
        <w:t xml:space="preserve"> </w:t>
      </w:r>
      <w:hyperlink r:id="rId17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7"/>
    <w:bookmarkStart w:id="179"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8">
        <w:r>
          <w:rPr>
            <w:rStyle w:val="Hyperlink"/>
          </w:rPr>
          <w:t xml:space="preserve">https://doi.org/10.1016/j.rsma.2015.05.005</w:t>
        </w:r>
      </w:hyperlink>
      <w:r>
        <w:t xml:space="preserve">.</w:t>
      </w:r>
    </w:p>
    <w:bookmarkEnd w:id="179"/>
    <w:bookmarkStart w:id="18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0">
        <w:r>
          <w:rPr>
            <w:rStyle w:val="Hyperlink"/>
          </w:rPr>
          <w:t xml:space="preserve">https://doi.org/10.1353/sgo.2017.0026</w:t>
        </w:r>
      </w:hyperlink>
      <w:r>
        <w:t xml:space="preserve">.</w:t>
      </w:r>
    </w:p>
    <w:bookmarkEnd w:id="181"/>
    <w:bookmarkStart w:id="18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2">
        <w:r>
          <w:rPr>
            <w:rStyle w:val="Hyperlink"/>
          </w:rPr>
          <w:t xml:space="preserve">https://doi.org/10.32614/CRAN.package.gratia</w:t>
        </w:r>
      </w:hyperlink>
      <w:r>
        <w:t xml:space="preserve">.</w:t>
      </w:r>
    </w:p>
    <w:bookmarkEnd w:id="183"/>
    <w:bookmarkStart w:id="185"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4">
        <w:r>
          <w:rPr>
            <w:rStyle w:val="Hyperlink"/>
          </w:rPr>
          <w:t xml:space="preserve">https://doi.org/10.2307/1352982</w:t>
        </w:r>
      </w:hyperlink>
      <w:r>
        <w:t xml:space="preserve">.</w:t>
      </w:r>
    </w:p>
    <w:bookmarkEnd w:id="185"/>
    <w:bookmarkStart w:id="187" w:name="ref-SWFWMD25"/>
    <w:p>
      <w:pPr>
        <w:pStyle w:val="Bibliography"/>
      </w:pPr>
      <w:r>
        <w:t xml:space="preserve">Southwest Florida Water Management District. 2025.</w:t>
      </w:r>
      <w:r>
        <w:t xml:space="preserve"> </w:t>
      </w:r>
      <w:hyperlink r:id="rId186">
        <w:r>
          <w:rPr>
            <w:rStyle w:val="Hyperlink"/>
          </w:rPr>
          <w:t xml:space="preserve">2023 land use land cover shapefile for SWFWMD</w:t>
        </w:r>
      </w:hyperlink>
      <w:r>
        <w:t xml:space="preserve">.</w:t>
      </w:r>
    </w:p>
    <w:bookmarkEnd w:id="187"/>
    <w:bookmarkStart w:id="189"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8">
        <w:r>
          <w:rPr>
            <w:rStyle w:val="Hyperlink"/>
          </w:rPr>
          <w:t xml:space="preserve">https://doi.org/10.1016/j.scitotenv.2011.09.088</w:t>
        </w:r>
      </w:hyperlink>
      <w:r>
        <w:t xml:space="preserve">.</w:t>
      </w:r>
    </w:p>
    <w:bookmarkEnd w:id="189"/>
    <w:bookmarkStart w:id="191" w:name="ref-tbep0310"/>
    <w:p>
      <w:pPr>
        <w:pStyle w:val="Bibliography"/>
      </w:pPr>
      <w:r>
        <w:t xml:space="preserve">Tampa Bay Nitrogen Management Consortium. 2010.</w:t>
      </w:r>
      <w:r>
        <w:t xml:space="preserve"> </w:t>
      </w:r>
      <w:hyperlink r:id="rId190">
        <w:r>
          <w:rPr>
            <w:rStyle w:val="Hyperlink"/>
            <w:i/>
            <w:iCs/>
          </w:rPr>
          <w:t xml:space="preserve">2009 reasonable assurance addendum: Allocation and assessment report</w:t>
        </w:r>
      </w:hyperlink>
      <w:r>
        <w:t xml:space="preserve">. Technical report 03-10. St. Petersburg, Florida: Tampa Bay Estuary Program.</w:t>
      </w:r>
    </w:p>
    <w:bookmarkEnd w:id="191"/>
    <w:bookmarkStart w:id="193"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2">
        <w:r>
          <w:rPr>
            <w:rStyle w:val="Hyperlink"/>
          </w:rPr>
          <w:t xml:space="preserve">https://doi.org/10.1111/1752-1688.70070</w:t>
        </w:r>
      </w:hyperlink>
      <w:r>
        <w:t xml:space="preserve">.</w:t>
      </w:r>
    </w:p>
    <w:bookmarkEnd w:id="193"/>
    <w:bookmarkStart w:id="195"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4">
        <w:r>
          <w:rPr>
            <w:rStyle w:val="Hyperlink"/>
          </w:rPr>
          <w:t xml:space="preserve">https://doi.org/10.1007/978-0-387-21706-2</w:t>
        </w:r>
      </w:hyperlink>
      <w:r>
        <w:t xml:space="preserve">.</w:t>
      </w:r>
    </w:p>
    <w:bookmarkEnd w:id="195"/>
    <w:bookmarkStart w:id="197"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6">
        <w:r>
          <w:rPr>
            <w:rStyle w:val="Hyperlink"/>
          </w:rPr>
          <w:t xml:space="preserve">https://doi.org/10.1016/j.jhydrol.2025.134851</w:t>
        </w:r>
      </w:hyperlink>
      <w:r>
        <w:t xml:space="preserve">.</w:t>
      </w:r>
    </w:p>
    <w:bookmarkEnd w:id="197"/>
    <w:bookmarkStart w:id="199"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8">
        <w:r>
          <w:rPr>
            <w:rStyle w:val="Hyperlink"/>
          </w:rPr>
          <w:t xml:space="preserve">https://doi.org/10.1006/ecss.1999.0490</w:t>
        </w:r>
      </w:hyperlink>
      <w:r>
        <w:t xml:space="preserve">.</w:t>
      </w:r>
    </w:p>
    <w:bookmarkEnd w:id="199"/>
    <w:bookmarkStart w:id="20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0">
        <w:r>
          <w:rPr>
            <w:rStyle w:val="Hyperlink"/>
          </w:rPr>
          <w:t xml:space="preserve">https://doi.org/10.1111/j.1467-9868.2010.00749.x</w:t>
        </w:r>
      </w:hyperlink>
      <w:r>
        <w:t xml:space="preserve">.</w:t>
      </w:r>
    </w:p>
    <w:bookmarkEnd w:id="201"/>
    <w:bookmarkStart w:id="20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2"/>
    <w:bookmarkStart w:id="204"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3">
        <w:r>
          <w:rPr>
            <w:rStyle w:val="Hyperlink"/>
          </w:rPr>
          <w:t xml:space="preserve">https://doi.org/10.1061/(ASCE)0733-9496(2003)129:4(295)</w:t>
        </w:r>
      </w:hyperlink>
      <w:r>
        <w:t xml:space="preserve">.</w:t>
      </w:r>
    </w:p>
    <w:bookmarkEnd w:id="204"/>
    <w:bookmarkStart w:id="206" w:name="ref-tbep0511"/>
    <w:p>
      <w:pPr>
        <w:pStyle w:val="Bibliography"/>
      </w:pPr>
      <w:r>
        <w:t xml:space="preserve">Yates, K., H. Greening, and G. Morrison. 2011.</w:t>
      </w:r>
      <w:r>
        <w:t xml:space="preserve"> </w:t>
      </w:r>
      <w:hyperlink r:id="rId205">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6"/>
    <w:bookmarkStart w:id="208" w:name="ref-tbep0494"/>
    <w:p>
      <w:pPr>
        <w:pStyle w:val="Bibliography"/>
      </w:pPr>
      <w:r>
        <w:t xml:space="preserve">Zarbock, H. W., A. J. Janicki, D. L. Wade, and D. G. Heimbuch. 1994.</w:t>
      </w:r>
      <w:r>
        <w:t xml:space="preserve"> </w:t>
      </w:r>
      <w:hyperlink r:id="rId2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8"/>
    <w:bookmarkEnd w:id="209"/>
    <w:bookmarkEnd w:id="2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2026-06-12T18:23:37Z</dcterms:created>
  <dcterms:modified xsi:type="dcterms:W3CDTF">2026-06-12T18:23:37Z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