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reviewers for providing useful comments on our manuscript. We have made every effort to address these concerns. Please see the responses below. Line numbers in responses refer to the revised manuscript and those from reviewers are from the original manuscript.</w:t>
      </w:r>
    </w:p>
    <w:bookmarkStart w:id="23"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This is a valid comment and one that we considered during early analyses of the data. As it turns out, the results in the current manuscript actually use surface salinity. The text description of averaging by depth was mistakenly included from an earlier draft and we have corrected the text to indicate that only surface salinity was used. Regardless, results using surface salinity vs depth-averaged were very similar and did not make a large difference for model performance. Deviance explained of the GAMs for each bay segment were the same using surface or depth-averaged, the exception being LTB where deviance explained was 0.61 using surface values and 0.59 using depth-averaged. So, there is an improvement in fit using surface values for LTB, but it is marginal.</w:t>
      </w:r>
    </w:p>
    <w:p>
      <w:pPr>
        <w:pStyle w:val="BodyText"/>
      </w:pPr>
      <w:r>
        <w:rPr>
          <w:i/>
          <w:iCs/>
        </w:rPr>
        <w:t xml:space="preserve">The following was added for additional context (lines 181-188):</w:t>
      </w:r>
      <w:r>
        <w:rPr>
          <w:i/>
          <w:iCs/>
        </w:rPr>
        <w:t xml:space="preserve"> </w:t>
      </w:r>
      <w:r>
        <w:rPr>
          <w:i/>
          <w:iCs/>
        </w:rPr>
        <w:t xml:space="preserve">“Surface chlorophyll-a and salinity observations at each station were averaged by month for each bay segment (annual averages by bay segment are shown in Figure2a, b). Salinity is measured at surface, mid, and bottom depths at each station, whereas only surface salinity was used for analysis given similar sampling depth as chlorophyll-a.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Yes, we agree that the derivation of future loading scenarios doesn’t align conceptually with our future scenarios for salinity. Our target audience for this paper, beyond the typical academic readers, is resource managers and we thought it useful to present the loading scenarios in this general, more coarse context, rather than projected trends (or lack of, see below). The intent is to motivate action for OTB, i.e., do something now rather than continuing status quo activities that currently contribute to loading that is above the federal threshold.</w:t>
      </w:r>
    </w:p>
    <w:p>
      <w:pPr>
        <w:pStyle w:val="BodyText"/>
      </w:pPr>
      <w:r>
        <w:rPr>
          <w:i/>
          <w:iCs/>
        </w:rPr>
        <w:t xml:space="preserve">We also agree that the gross percentage changes (i.e., half TMDL, twice TMDL) may not represent realistic scenarios for the reasons the reviewer mentions. However, we believe these assessments are useful as a thought exercise to put meaningful bounds on how</w:t>
      </w:r>
      <w:r>
        <w:rPr>
          <w:i/>
          <w:iCs/>
        </w:rPr>
        <w:t xml:space="preserve"> </w:t>
      </w:r>
      <w:r>
        <w:rPr>
          <w:i/>
          <w:iCs/>
        </w:rPr>
        <w:t xml:space="preserve">“high”</w:t>
      </w:r>
      <w:r>
        <w:rPr>
          <w:i/>
          <w:iCs/>
        </w:rPr>
        <w:t xml:space="preserve"> </w:t>
      </w:r>
      <w:r>
        <w:rPr>
          <w:i/>
          <w:iCs/>
        </w:rPr>
        <w:t xml:space="preserve">or</w:t>
      </w:r>
      <w:r>
        <w:rPr>
          <w:i/>
          <w:iCs/>
        </w:rPr>
        <w:t xml:space="preserve"> </w:t>
      </w:r>
      <w:r>
        <w:rPr>
          <w:i/>
          <w:iCs/>
        </w:rPr>
        <w:t xml:space="preserve">“low”</w:t>
      </w:r>
      <w:r>
        <w:rPr>
          <w:i/>
          <w:iCs/>
        </w:rPr>
        <w:t xml:space="preserve"> </w:t>
      </w:r>
      <w:r>
        <w:rPr>
          <w:i/>
          <w:iCs/>
        </w:rPr>
        <w:t xml:space="preserve">loading scenarios may affect the likelihoods of exceeding thresholds relative to changing salinities. In reality, loading has remained relatively constant for the contemporary period evaluated (2012-2024, although we acknowledge inter-annual variability), thus reinforcing the concept that the status quo may not be sufficient to protect water quality in the future. The figure below shows current loading trends. None of the individual regressions are significant and we’ve added a supplemental table with these results (Table S8).</w:t>
      </w:r>
    </w:p>
    <w:p>
      <w:pPr>
        <w:pStyle w:val="BodyText"/>
      </w:pPr>
      <w:r>
        <w:drawing>
          <wp:inline>
            <wp:extent cx="5943600" cy="4245428"/>
            <wp:effectExtent b="0" l="0" r="0" t="0"/>
            <wp:docPr descr="" title="" id="21" name="Picture"/>
            <a:graphic>
              <a:graphicData uri="http://schemas.openxmlformats.org/drawingml/2006/picture">
                <pic:pic>
                  <pic:nvPicPr>
                    <pic:cNvPr descr="../figs/loadtrends.png" id="22" name="Picture"/>
                    <pic:cNvPicPr>
                      <a:picLocks noChangeArrowheads="1" noChangeAspect="1"/>
                    </pic:cNvPicPr>
                  </pic:nvPicPr>
                  <pic:blipFill>
                    <a:blip r:embed="rId20"/>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i/>
          <w:iCs/>
        </w:rPr>
        <w:t xml:space="preserve">It’s also worth pointing out that we used long-term salinity trends for the entire period of record (1975 to present) to develop the projections for future salinity. Loading for the same period (1985, when estimates begin) also show a long-term decrease. However, understanding recent loading trends (e.g., 2012 to present) is more relevant in a management context given time frames within which nutrient reduction interventions may influence water quality, whereas the long-term reduction in salinity is consistent and cannot be easily modified with conventional management approaches. Thus, our justification for why we are using a contemporary period to evaluate loading changes and why we are retaining our original loading scenarios is strictly to present results that are better contextualized to how managers may react to changing baselines.</w:t>
      </w:r>
    </w:p>
    <w:p>
      <w:pPr>
        <w:pStyle w:val="BodyText"/>
      </w:pPr>
      <w:r>
        <w:rPr>
          <w:i/>
          <w:iCs/>
        </w:rPr>
        <w:t xml:space="preserve">In brief, we have added the following text to our description of the simulation scenarios (lines 365-372):</w:t>
      </w:r>
      <w:r>
        <w:rPr>
          <w:i/>
          <w:iCs/>
        </w:rPr>
        <w:t xml:space="preserve"> </w:t>
      </w:r>
      <w:r>
        <w:rPr>
          <w:i/>
          <w:iCs/>
        </w:rPr>
        <w:t xml:space="preserve">“Although long-term reductions in loading have been observed over several decades, evaluating upper and lower bounds of potential loads relative to the TMDL threshold for each bay segment provides a more contextualized assessment.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 status quo may not remain protective in the future is also a worthwhile assessment.”</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In general, we feel that it is important to first characterize these unique effects before using the models to simulate their effects under potential future conditions. In other words, objective 2 was necessary before we could pursue objective 3. Yes, we agree that there is some redundancy between what the conventional GAM results show (e.g., Table 1) and those in section 3.2, although it is worthwhile to consider the unique information provided by both. Conventional GAM results (Table 1, newly added supplemental figures S2 and S3) only demonstrate that an association exists and how that unique association can be parsed out from the smoothers. Our results in section 3.2 provide a more nuanced interpretation by disaggregating the effects over time. For example, Figure S3 provides some indication of how loading or salinity effects vary by time (e.g., second and fourth columns showing the bivariate smooths for salinity vs decimal time and loading vs decimal time, respectively). However, these effects plots do not provide a collective assessment in that the individual smoothers for salinity and loading must also be considered. Our normalized results in Figures 4-6 provide that information.</w:t>
      </w:r>
    </w:p>
    <w:p>
      <w:pPr>
        <w:pStyle w:val="BodyText"/>
      </w:pPr>
      <w:r>
        <w:rPr>
          <w:i/>
          <w:iCs/>
        </w:rPr>
        <w:t xml:space="preserve">To help clarify this distinction, we have added the following text (lines 297-303):</w:t>
      </w:r>
      <w:r>
        <w:rPr>
          <w:i/>
          <w:iCs/>
        </w:rPr>
        <w:t xml:space="preserve"> </w:t>
      </w:r>
      <w:r>
        <w:rPr>
          <w:i/>
          <w:iCs/>
        </w:rP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rPr>
          <w:i/>
          <w:iCs/>
        </w:rPr>
        <w:t xml:space="preserve"> </w:t>
      </w:r>
      <w:r>
        <w:rPr>
          <w:i/>
          <w:iCs/>
        </w:rPr>
        <w:t xml:space="preserve">(e.g., WRTDS, Hirsch et al., 2010; Beck &amp; Hagy, 2015)</w:t>
      </w:r>
      <w:r>
        <w:rPr>
          <w:i/>
          <w:iCs/>
        </w:rPr>
        <w:t xml:space="preserve">.”</w:t>
      </w:r>
    </w:p>
    <w:p>
      <w:pPr>
        <w:pStyle w:val="BodyText"/>
      </w:pPr>
      <w:r>
        <w:rPr>
          <w:i/>
          <w:iCs/>
        </w:rPr>
        <w:t xml:space="preserve">Figure S1 also demonstrates the normalization process describes in the methods. We have added an inset to panel (c) that provides further clarification on how the normalized results are estimated, with a new note in the text indicating as such (line 319).</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This is a completely valid point that is worth considering for future work and this was previously mentioned at the end of the discussion (i.e., lines 637-640). Truthfully, there is a management back-story as to why we focused on salinity, but it is specific to our local challenges and not relevant for this venue. Further, while we recognize temperature increase as a confounding factor that will challenge regulatory attainment in the future, hydrologic circulation and the longer residence times in OTB compared to the other bay segments have been a known issue for decades. Salinity as a proxy was a direct attempt at better understanding these long-standing issues, as well as describing its role along with nutrients in other bay segments. We fully intend on considering temperature changes similarly in future work.</w:t>
      </w:r>
    </w:p>
    <w:p>
      <w:pPr>
        <w:pStyle w:val="BodyText"/>
      </w:pPr>
      <w:r>
        <w:rPr>
          <w:i/>
          <w:iCs/>
        </w:rPr>
        <w:t xml:space="preserve">The following was added in the final paragraph of the introduction (lines 134-137):</w:t>
      </w:r>
      <w:r>
        <w:rPr>
          <w:i/>
          <w:iCs/>
        </w:rPr>
        <w:t xml:space="preserve"> </w:t>
      </w:r>
      <w:r>
        <w:rPr>
          <w:i/>
          <w:iCs/>
        </w:rPr>
        <w:t xml:space="preserve">“We focus primarily on salinity and not additional climate change stressors (i.e., temperature) given that Old Tampa Bay (northwest segment) has circulation issues contributing to regulatory exceedances</w:t>
      </w:r>
      <w:r>
        <w:rPr>
          <w:i/>
          <w:iCs/>
        </w:rPr>
        <w:t xml:space="preserve"> </w:t>
      </w:r>
      <w:r>
        <w:rPr>
          <w:i/>
          <w:iCs/>
        </w:rPr>
        <w:t xml:space="preserve">(Sherwood et al., 2015; Luther &amp; Meyers, 2022)</w:t>
      </w:r>
      <w:r>
        <w:rPr>
          <w:i/>
          <w:iCs/>
        </w:rPr>
        <w:t xml:space="preserve"> </w:t>
      </w:r>
      <w:r>
        <w:rPr>
          <w:i/>
          <w:iCs/>
        </w:rPr>
        <w:t xml:space="preserve">and salinity can serve as a proxy to better understand these effects.”</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 </w:t>
      </w:r>
      <w:r>
        <w:rPr>
          <w:i/>
          <w:iCs/>
        </w:rPr>
        <w:t xml:space="preserve">(line 169).</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 (lines 107-123).</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Murphy et al. (2019)</w:t>
      </w:r>
      <w:r>
        <w:rPr>
          <w:i/>
          <w:iCs/>
        </w:rPr>
        <w:t xml:space="preserve"> </w:t>
      </w:r>
      <w:r>
        <w:rPr>
          <w:i/>
          <w:iCs/>
        </w:rPr>
        <w:t xml:space="preserve">was added since this was the origin of the concept (line 220).</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 (Table S2).</w:t>
      </w:r>
    </w:p>
    <w:p>
      <w:pPr>
        <w:pStyle w:val="BodyText"/>
      </w:pPr>
      <w:r>
        <w:rPr>
          <w:i/>
          <w:iCs/>
        </w:rPr>
        <w:t xml:space="preserve">Lines 240-242:</w:t>
      </w:r>
      <w:r>
        <w:rPr>
          <w:i/>
          <w:iCs/>
        </w:rPr>
        <w:t xml:space="preserve"> </w:t>
      </w:r>
      <w:r>
        <w:rPr>
          <w:i/>
          <w:iCs/>
        </w:rPr>
        <w:t xml:space="preserve">“Models using a Gaussian distribution with a log-link function were also evaluated, although using a Gamma distribution was superior when compared with AIC</w:t>
      </w:r>
      <w:r>
        <w:rPr>
          <w:i/>
          <w:iCs/>
        </w:rPr>
        <w:t xml:space="preserve"> </w:t>
      </w:r>
      <w:r>
        <w:rPr>
          <w:i/>
          <w:iCs/>
        </w:rPr>
        <w:t xml:space="preserve">(Table S2, Akaike, 1974)</w:t>
      </w:r>
      <w:r>
        <w:rPr>
          <w:i/>
          <w:iCs/>
        </w:rPr>
        <w:t xml:space="preserve">.”</w:t>
      </w:r>
    </w:p>
    <w:p>
      <w:pPr>
        <w:pStyle w:val="BodyText"/>
      </w:pPr>
      <w:r>
        <w:t xml:space="preserve">8. Ln 269: minimum and maximum observed over what time-period?</w:t>
      </w:r>
    </w:p>
    <w:p>
      <w:pPr>
        <w:pStyle w:val="BodyText"/>
      </w:pPr>
      <w:r>
        <w:rPr>
          <w:i/>
          <w:iCs/>
        </w:rPr>
        <w:t xml:space="preserve">Text was modified to</w:t>
      </w:r>
      <w:r>
        <w:rPr>
          <w:i/>
          <w:iCs/>
        </w:rPr>
        <w:t xml:space="preserve"> </w:t>
      </w:r>
      <w:r>
        <w:rPr>
          <w:i/>
          <w:iCs/>
        </w:rPr>
        <w:t xml:space="preserve">“minimum and maximum observed over the period of record for each bay segment”</w:t>
      </w:r>
      <w:r>
        <w:rPr>
          <w:i/>
          <w:iCs/>
        </w:rPr>
        <w:t xml:space="preserve"> </w:t>
      </w:r>
      <w:r>
        <w:rPr>
          <w:i/>
          <w:iCs/>
        </w:rPr>
        <w:t xml:space="preserve">(lines 283-284).</w:t>
      </w:r>
    </w:p>
    <w:p>
      <w:pPr>
        <w:pStyle w:val="BodyText"/>
      </w:pPr>
      <w:r>
        <w:t xml:space="preserve">9. Ln 274: over what time period was the mean loading computed?</w:t>
      </w:r>
    </w:p>
    <w:p>
      <w:pPr>
        <w:pStyle w:val="BodyText"/>
      </w:pPr>
      <w:r>
        <w:rPr>
          <w:i/>
          <w:iCs/>
        </w:rPr>
        <w:t xml:space="preserve">This was also the mean loading for the period of record for each bay segment, similar to salinity. Text was modified similarly as the previous response (lines 291-292).</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Yes, the chlorophyll-a thresholds are FDEP standards under the bay’s Reasonable Assurance Plan. A citation to Figure 2 was included and</w:t>
      </w:r>
      <w:r>
        <w:rPr>
          <w:i/>
          <w:iCs/>
        </w:rPr>
        <w:t xml:space="preserve"> </w:t>
      </w:r>
      <w:r>
        <w:rPr>
          <w:i/>
          <w:iCs/>
        </w:rPr>
        <w:t xml:space="preserve">“regulatory”</w:t>
      </w:r>
      <w:r>
        <w:rPr>
          <w:i/>
          <w:iCs/>
        </w:rPr>
        <w:t xml:space="preserve"> </w:t>
      </w:r>
      <w:r>
        <w:rPr>
          <w:i/>
          <w:iCs/>
        </w:rPr>
        <w:t xml:space="preserve">was added as a text qualifier for the chlorophyll-a thresholds (lines 345-349).</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Please see our response to the first general comment.</w:t>
      </w:r>
    </w:p>
    <w:p>
      <w:pPr>
        <w:pStyle w:val="BodyText"/>
      </w:pPr>
      <w:r>
        <w:t xml:space="preserve">12. Ln 353 - 356: I believe this is determined by the p-value, which should be clarified in the text.</w:t>
      </w:r>
    </w:p>
    <w:p>
      <w:pPr>
        <w:pStyle w:val="BodyText"/>
      </w:pPr>
      <w:r>
        <w:rPr>
          <w:i/>
          <w:iCs/>
        </w:rPr>
        <w:t xml:space="preserve">Yes, this is correct, although we note that the journal discourages general statements about p-values. We revised the sentence to include more detail about these main effects (lines 383-387):</w:t>
      </w:r>
      <w:r>
        <w:rPr>
          <w:i/>
          <w:iCs/>
        </w:rPr>
        <w:t xml:space="preserve"> </w:t>
      </w:r>
      <w:r>
        <w:rPr>
          <w:i/>
          <w:iCs/>
        </w:rPr>
        <w:t xml:space="preserve">“All bay segments had individual smoothers for decimal time, day of year, and salinity that explained a unique portion of the variance in chlorophyll-a (Table 1), although the defined relationships varied from linear (estimated degrees of freedom, edf = 1; e.g., decimal time for OTB, salinity for OTB and HB) to highly non-linear (edf &gt;&gt; 1; day of year for all bay segments).”</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Since stratification does not occur regularly in Tampa Bay, the decreased fit in the wet season is likely due to higher variability in chlorophyll-a and additional factors beyond those included in the model that could influence primary productivity. Conversely, it is very possible that chlorophyll-a during the dry season is captured more fully by the time variables in the model (decimal time, day of year) as other parameters have less of an influence outside of the growing season. We agree, though, that these results are not particularly surprising, but it is worth explaining times when the models performed better or worse to help the reader understand factors that could influence chlorophyll-a dynamics.</w:t>
      </w:r>
    </w:p>
    <w:p>
      <w:pPr>
        <w:pStyle w:val="BodyText"/>
      </w:pPr>
      <w:r>
        <w:t xml:space="preserve">14. Figure 5: Consider showing the effect plots for the original GAM instead of the salinity-normalized analysis.</w:t>
      </w:r>
    </w:p>
    <w:p>
      <w:pPr>
        <w:pStyle w:val="BodyText"/>
      </w:pPr>
      <w:r>
        <w:rPr>
          <w:i/>
          <w:iCs/>
        </w:rPr>
        <w:t xml:space="preserve">We retain figure 5 because it is central to the second objective of the paper to identify how these models can be used to disambiguate the individual effects of salinity and loading, particularly over time as in the current figures (effects plots from standard GAM output show the effects across the ranges of the parameters, not time). However, we have included conventional GAM effects plots for each model in the supplement to help the reader better visualize the smoothers and their interactions (Figures S2 and S3).</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For subfigure (a), we retain the separate scaling because we feel it is important to help visualize differences between years within each bay segment. However, we have removed the path connection between years to help declutter the plots. For subfigure (b), the axes are now fixed to better emphasize scale comparisons between sub-segments. The caption was updated to describe this rationale (line 655):</w:t>
      </w:r>
      <w:r>
        <w:rPr>
          <w:i/>
          <w:iCs/>
        </w:rPr>
        <w:t xml:space="preserve"> </w:t>
      </w:r>
      <w:r>
        <w:rPr>
          <w:i/>
          <w:iCs/>
        </w:rPr>
        <w:t xml:space="preserve">“The axis scales are not fixed in (a) to better visualize inter-annual changes within each bay segment, whereas the scales are fixed in (b) to emphasize differences in the magnitude of the drivers between bay segments.”</w:t>
      </w:r>
      <w:r>
        <w:rPr>
          <w:i/>
          <w:iCs/>
        </w:rPr>
        <w:t xml:space="preserve">. Regarding color, we feel that using these broad annual groupings helps visually discriminate temporal shifts in drivers of chlorophyll-a (salinity v loading) and the categories align with other comparisons throughout the manuscript (i.e., tables 2 and 3, simulation time period), so they are retained as is.</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Yes, this sentence is a little misleading given those that follow. We removed the part about tidal exchange and just shortened the sentence to</w:t>
      </w:r>
      <w:r>
        <w:rPr>
          <w:i/>
          <w:iCs/>
        </w:rPr>
        <w:t xml:space="preserve"> </w:t>
      </w:r>
      <w:r>
        <w:rPr>
          <w:i/>
          <w:iCs/>
        </w:rPr>
        <w:t xml:space="preserve">“The opposite could be true during periods of high salinity (…”</w:t>
      </w:r>
      <w:r>
        <w:rPr>
          <w:i/>
          <w:iCs/>
        </w:rPr>
        <w:t xml:space="preserve"> </w:t>
      </w:r>
      <w:r>
        <w:rPr>
          <w:i/>
          <w:iCs/>
        </w:rPr>
        <w:t xml:space="preserve">(line 586). As is the premise of this paragraph, the specific causal mechanism for which salinity serves as a proxy cannot be known without additional data. Our interpretation in this paragraph elucidates some potential reasons to allow the reader to make a more informed assessment as to how multiple factors influence phytoplankton growth. Salinity is simply a rough measure for these drivers, as stated throughout.</w:t>
      </w:r>
    </w:p>
    <w:bookmarkEnd w:id="23"/>
    <w:bookmarkStart w:id="24"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Thank you for these comments. In response to comments from the first reviewer, we have provided justification or further explanation for our decisions on which variables were chosen, including salinity rather than other chlorophyll-a drivers (i.e., temperature) and surface salinity rather than depth-averaged. We also provide justification for the Gamma distribution for model errors. Additional supplementary figures further provide better descriptions of the model output, specifically Figures S2 and S3, which show the effects plots for the individual and bivariate smoothers. These additions improve transparency of the model output to allow the reader to better contextualize the results.</w:t>
      </w:r>
    </w:p>
    <w:p>
      <w:pPr>
        <w:pStyle w:val="BodyText"/>
      </w:pPr>
      <w:r>
        <w:rPr>
          <w:i/>
          <w:iCs/>
        </w:rPr>
        <w:t xml:space="preserve">That being said, none of these additions speak directly to EDA, variable selection, or model structure. The reviewer rightfully points out that we did not sufficiently justify the chosen form of the model. However, our initial analyses did indeed evaluate different forms of the predictors, particularly in how loadings were evaluated (as lags or not) and if model fit could be improved by attempting to remove seasonality or the effects of one predictor within another (i.e., taking the residuals of a fit of loading against salinity to remove the effects of the latter from the former). We also evaluated if constraining the number of knots in the decimal time smoother allowed the variation in chlorophyll to be better explained by the other smoothers. The results of these exploratory analyses were included in supplemental tables. Model fit was not improved using different derivations of the input parameters and smoothing constraints. Our chosen model, therefore, represents the results of this initial exploratory analysis as described in section 2.2.</w:t>
      </w:r>
    </w:p>
    <w:p>
      <w:pPr>
        <w:pStyle w:val="BodyText"/>
      </w:pPr>
      <w:r>
        <w:rPr>
          <w:i/>
          <w:iCs/>
        </w:rPr>
        <w:t xml:space="preserve">What we did not evaluate in our initial exploratory analyses was whether including all variables and smoothers is appropriate. GAM methods in mgcv provide tools for doing so and we provide some new comparisons to further justify our model form. The same models were fit using the option</w:t>
      </w:r>
      <w:r>
        <w:rPr>
          <w:i/>
          <w:iCs/>
        </w:rPr>
        <w:t xml:space="preserve"> </w:t>
      </w:r>
      <w:r>
        <w:rPr>
          <w:rStyle w:val="VerbatimChar"/>
          <w:i/>
          <w:iCs/>
        </w:rPr>
        <w:t xml:space="preserve">select = T</w:t>
      </w:r>
      <w:r>
        <w:rPr>
          <w:i/>
          <w:iCs/>
        </w:rPr>
        <w:t xml:space="preserve">. From the</w:t>
      </w:r>
      <w:r>
        <w:rPr>
          <w:i/>
          <w:iCs/>
        </w:rPr>
        <w:t xml:space="preserve"> </w:t>
      </w:r>
      <w:r>
        <w:rPr>
          <w:rStyle w:val="VerbatimChar"/>
          <w:i/>
          <w:iCs/>
        </w:rPr>
        <w:t xml:space="preserve">gam()</w:t>
      </w:r>
      <w:r>
        <w:rPr>
          <w:i/>
          <w:iCs/>
        </w:rPr>
        <w:t xml:space="preserve"> </w:t>
      </w:r>
      <w:r>
        <w:rPr>
          <w:i/>
          <w:iCs/>
        </w:rPr>
        <w:t xml:space="preserve">function documentation:</w:t>
      </w:r>
      <w:r>
        <w:rPr>
          <w:i/>
          <w:iCs/>
        </w:rPr>
        <w:t xml:space="preserve"> </w:t>
      </w:r>
      <w:r>
        <w:rPr>
          <w:i/>
          <w:iCs/>
        </w:rPr>
        <w:t xml:space="preserve">“If this is TRUE then gam can add an extra penalty to each term so that it can be penalized to zero. This means that the smoothing parameter estimation that is part of fitting can completely remove terms from the model.”</w:t>
      </w:r>
      <w:r>
        <w:rPr>
          <w:i/>
          <w:iCs/>
        </w:rPr>
        <w:t xml:space="preserve"> </w:t>
      </w:r>
      <w:r>
        <w:rPr>
          <w:i/>
          <w:iCs/>
        </w:rPr>
        <w:t xml:space="preserve">This is similar to parameter selection and allows us to evaluate if the model can be improved by removing any of the smoothers. The results comparing the full model with those using</w:t>
      </w:r>
      <w:r>
        <w:rPr>
          <w:i/>
          <w:iCs/>
        </w:rPr>
        <w:t xml:space="preserve"> </w:t>
      </w:r>
      <w:r>
        <w:rPr>
          <w:rStyle w:val="VerbatimChar"/>
          <w:i/>
          <w:iCs/>
        </w:rPr>
        <w:t xml:space="preserve">select = T</w:t>
      </w:r>
      <w:r>
        <w:rPr>
          <w:i/>
          <w:iCs/>
        </w:rPr>
        <w:t xml:space="preserve"> </w:t>
      </w:r>
      <w:r>
        <w:rPr>
          <w:i/>
          <w:iCs/>
        </w:rPr>
        <w:t xml:space="preserve">are included in supplemental Table S1. The differences are minor when comparing the full models with those using select, with the largest delta AIC being less than 3. Functionally, our full models are nearly identical to those where parameter and smoother influences are allowed to be removed if they have negligible effects. Further, using</w:t>
      </w:r>
      <w:r>
        <w:rPr>
          <w:i/>
          <w:iCs/>
        </w:rPr>
        <w:t xml:space="preserve"> </w:t>
      </w:r>
      <w:r>
        <w:rPr>
          <w:rStyle w:val="VerbatimChar"/>
          <w:i/>
          <w:iCs/>
        </w:rPr>
        <w:t xml:space="preserve">method = "REML"</w:t>
      </w:r>
      <w:r>
        <w:rPr>
          <w:i/>
          <w:iCs/>
        </w:rPr>
        <w:t xml:space="preserve">, as in the original models, is also similar to variable selection by penalizing</w:t>
      </w:r>
      <w:r>
        <w:rPr>
          <w:i/>
          <w:iCs/>
        </w:rPr>
        <w:t xml:space="preserve"> </w:t>
      </w:r>
      <w:r>
        <w:rPr>
          <w:i/>
          <w:iCs/>
        </w:rPr>
        <w:t xml:space="preserve">“wiggliness”</w:t>
      </w:r>
      <w:r>
        <w:rPr>
          <w:i/>
          <w:iCs/>
        </w:rPr>
        <w:t xml:space="preserve"> </w:t>
      </w:r>
      <w:r>
        <w:rPr>
          <w:i/>
          <w:iCs/>
        </w:rPr>
        <w:t xml:space="preserve">or unnecessary terms, so we believe our existing approach and this new comparison supports use of our full models.</w:t>
      </w:r>
    </w:p>
    <w:p>
      <w:pPr>
        <w:pStyle w:val="BodyText"/>
      </w:pPr>
      <w:r>
        <w:rPr>
          <w:i/>
          <w:iCs/>
        </w:rPr>
        <w:t xml:space="preserve">The following was added to the methods to further justify the existing models:</w:t>
      </w:r>
    </w:p>
    <w:p>
      <w:pPr>
        <w:pStyle w:val="BodyText"/>
      </w:pPr>
      <w:r>
        <w:rPr>
          <w:i/>
          <w:iCs/>
        </w:rPr>
        <w:t xml:space="preserve">Lines 226-230:</w:t>
      </w:r>
      <w:r>
        <w:rPr>
          <w:i/>
          <w:iCs/>
        </w:rPr>
        <w:t xml:space="preserve"> </w:t>
      </w:r>
      <w:r>
        <w:rPr>
          <w:i/>
          <w:iCs/>
        </w:rPr>
        <w:t xml:space="preserve">“Model structure was evaluated using the select option from the mgcv R package</w:t>
      </w:r>
      <w:r>
        <w:rPr>
          <w:i/>
          <w:iCs/>
        </w:rPr>
        <w:t xml:space="preserve"> </w:t>
      </w:r>
      <w:r>
        <w:rPr>
          <w:i/>
          <w:iCs/>
        </w:rPr>
        <w:t xml:space="preserve">(Wood, 2017)</w:t>
      </w:r>
      <w:r>
        <w:rPr>
          <w:i/>
          <w:iCs/>
        </w:rPr>
        <w:t xml:space="preserve">, which allows the influence of individual smoothers to be removed by penalizing them to zero if they have negligible effects. Comparisons of the full models with those using the select option showed minimal differences</w:t>
      </w:r>
      <w:r>
        <w:rPr>
          <w:i/>
          <w:iCs/>
        </w:rPr>
        <w:t xml:space="preserve"> </w:t>
      </w:r>
      <w:r>
        <w:rPr>
          <w:i/>
          <w:iCs/>
        </w:rPr>
        <w:t xml:space="preserve">(Table S1, using differences in Akaike information criterion or AIC,</w:t>
      </w:r>
      <w:r>
        <w:rPr>
          <w:i/>
          <w:iCs/>
        </w:rPr>
        <w:t xml:space="preserve"> </w:t>
      </w:r>
      <m:oMath>
        <m:r>
          <m:t>Δ</m:t>
        </m:r>
      </m:oMath>
      <w:r>
        <w:rPr>
          <w:i/>
          <w:iCs/>
        </w:rPr>
        <w:t xml:space="preserve">AIC &lt; 3 for all models, Akaike, 1974)</w:t>
      </w:r>
      <w:r>
        <w:rPr>
          <w:i/>
          <w:iCs/>
        </w:rPr>
        <w:t xml:space="preserve"> </w:t>
      </w:r>
      <w:r>
        <w:rPr>
          <w:i/>
          <w:iCs/>
        </w:rPr>
        <w:t xml:space="preserve">and the full models are used throughout.”</w:t>
      </w:r>
    </w:p>
    <w:p>
      <w:pPr>
        <w:pStyle w:val="BodyText"/>
      </w:pPr>
      <w:r>
        <w:rPr>
          <w:i/>
          <w:iCs/>
        </w:rPr>
        <w:t xml:space="preserve">Additional description of the REML method was also included:</w:t>
      </w:r>
    </w:p>
    <w:p>
      <w:pPr>
        <w:pStyle w:val="BodyText"/>
      </w:pPr>
      <w:r>
        <w:rPr>
          <w:i/>
          <w:iCs/>
        </w:rPr>
        <w:t xml:space="preserve">Lines 248-251:</w:t>
      </w:r>
      <w:r>
        <w:rPr>
          <w:i/>
          <w:iCs/>
        </w:rPr>
        <w:t xml:space="preserve"> </w:t>
      </w:r>
      <w:r>
        <w:rPr>
          <w:i/>
          <w:iCs/>
        </w:rPr>
        <w:t xml:space="preserve">“Smoothing parameters were estimated using restricted maximum likelihood using the</w:t>
      </w:r>
      <w:r>
        <w:rPr>
          <w:i/>
          <w:iCs/>
        </w:rPr>
        <w:t xml:space="preserve"> </w:t>
      </w:r>
      <w:r>
        <w:rPr>
          <w:rStyle w:val="VerbatimChar"/>
          <w:i/>
          <w:iCs/>
        </w:rPr>
        <w:t xml:space="preserve">gam()</w:t>
      </w:r>
      <w:r>
        <w:rPr>
          <w:i/>
          <w:iCs/>
        </w:rPr>
        <w:t xml:space="preserve"> </w:t>
      </w:r>
      <w:r>
        <w:rPr>
          <w:i/>
          <w:iCs/>
        </w:rPr>
        <w:t xml:space="preserve">function from mgcv</w:t>
      </w:r>
      <w:r>
        <w:rPr>
          <w:i/>
          <w:iCs/>
        </w:rPr>
        <w:t xml:space="preserve"> </w:t>
      </w:r>
      <w:r>
        <w:rPr>
          <w:i/>
          <w:iCs/>
        </w:rPr>
        <w:t xml:space="preserve">(Wood, 2017)</w:t>
      </w:r>
      <w:r>
        <w:rPr>
          <w:i/>
          <w:iCs/>
        </w:rPr>
        <w:t xml:space="preserve">, which can further impose constraints by penalizing</w:t>
      </w:r>
      <w:r>
        <w:rPr>
          <w:i/>
          <w:iCs/>
        </w:rPr>
        <w:t xml:space="preserve"> </w:t>
      </w:r>
      <w:r>
        <w:rPr>
          <w:i/>
          <w:iCs/>
        </w:rPr>
        <w:t xml:space="preserve">‘wiggliness’</w:t>
      </w:r>
      <w:r>
        <w:rPr>
          <w:i/>
          <w:iCs/>
        </w:rPr>
        <w:t xml:space="preserve"> </w:t>
      </w:r>
      <w:r>
        <w:rPr>
          <w:i/>
          <w:iCs/>
        </w:rPr>
        <w:t xml:space="preserve">for smoothers that minimally influence the results</w:t>
      </w:r>
      <w:r>
        <w:rPr>
          <w:i/>
          <w:iCs/>
        </w:rPr>
        <w:t xml:space="preserve"> </w:t>
      </w:r>
      <w:r>
        <w:rPr>
          <w:i/>
          <w:iCs/>
        </w:rPr>
        <w:t xml:space="preserve">(Wood, 2011)</w:t>
      </w:r>
      <w:r>
        <w:rPr>
          <w:i/>
          <w:iCs/>
        </w:rPr>
        <w:t xml:space="preserv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p>
    <w:p>
      <w:pPr>
        <w:pStyle w:val="BodyText"/>
      </w:pPr>
      <w:r>
        <w:rPr>
          <w:i/>
          <w:iCs/>
        </w:rPr>
        <w:t xml:space="preserve">For your first point, we believe the additional content described above on comparing the full models to those using the select option addresses this concern. Use of these two terms to describe time also has precedent in</w:t>
      </w:r>
      <w:r>
        <w:rPr>
          <w:i/>
          <w:iCs/>
        </w:rPr>
        <w:t xml:space="preserve"> </w:t>
      </w:r>
      <w:r>
        <w:rPr>
          <w:i/>
          <w:iCs/>
        </w:rPr>
        <w:t xml:space="preserve">Murphy et al. (2019)</w:t>
      </w:r>
      <w:r>
        <w:rPr>
          <w:i/>
          <w:iCs/>
        </w:rPr>
        <w:t xml:space="preserve"> </w:t>
      </w:r>
      <w:r>
        <w:rPr>
          <w:i/>
          <w:iCs/>
        </w:rPr>
        <w:t xml:space="preserve">(a citation was added to line 220 to make this connection). The interactions of the other parameters with the different time variables were also considered important given what we suspect about changing ecological baselines in Tampa Bay, e.g., loading effects may vary over time either through changes long-term or seasonally. The addition of Figure S3 helps visualize these modeled interactions.</w:t>
      </w:r>
    </w:p>
    <w:p>
      <w:pPr>
        <w:pStyle w:val="BodyText"/>
      </w:pPr>
      <w:r>
        <w:rPr>
          <w:i/>
          <w:iCs/>
        </w:rPr>
        <w:t xml:space="preserve">For your second point, we have removed the statement. Although this work was motivated by</w:t>
      </w:r>
      <w:r>
        <w:rPr>
          <w:i/>
          <w:iCs/>
        </w:rPr>
        <w:t xml:space="preserve"> </w:t>
      </w:r>
      <w:r>
        <w:rPr>
          <w:i/>
          <w:iCs/>
        </w:rPr>
        <w:t xml:space="preserve">Beck et al. (2024)</w:t>
      </w:r>
      <w:r>
        <w:rPr>
          <w:i/>
          <w:iCs/>
        </w:rPr>
        <w:t xml:space="preserve">, stating it as</w:t>
      </w:r>
      <w:r>
        <w:rPr>
          <w:i/>
          <w:iCs/>
        </w:rPr>
        <w:t xml:space="preserve"> </w:t>
      </w:r>
      <w:r>
        <w:rPr>
          <w:i/>
          <w:iCs/>
        </w:rPr>
        <w:t xml:space="preserve">“an explicit follow-up”</w:t>
      </w:r>
      <w:r>
        <w:rPr>
          <w:i/>
          <w:iCs/>
        </w:rPr>
        <w:t xml:space="preserve"> </w:t>
      </w:r>
      <w:r>
        <w:rPr>
          <w:i/>
          <w:iCs/>
        </w:rPr>
        <w:t xml:space="preserve">is a little heavy-handed. The sentence was simplified as</w:t>
      </w:r>
      <w:r>
        <w:rPr>
          <w:i/>
          <w:iCs/>
        </w:rPr>
        <w:t xml:space="preserve"> </w:t>
      </w:r>
      <w:r>
        <w:rPr>
          <w:i/>
          <w:iCs/>
        </w:rPr>
        <w:t xml:space="preserve">“This study provides a quantitative assessment of the relative risk of exceeding regulatory standards under future climate change”</w:t>
      </w:r>
      <w:r>
        <w:rPr>
          <w:i/>
          <w:iCs/>
        </w:rPr>
        <w:t xml:space="preserve"> </w:t>
      </w:r>
      <w:r>
        <w:rPr>
          <w:i/>
          <w:iCs/>
        </w:rPr>
        <w:t xml:space="preserve">(lines 68-69).</w:t>
      </w:r>
    </w:p>
    <w:p>
      <w:pPr>
        <w:pStyle w:val="BodyText"/>
      </w:pPr>
      <w:r>
        <w:t xml:space="preserve">Overall, this is a great study and could be improved by adding some form of EDA that readers can take away from this study.</w:t>
      </w:r>
    </w:p>
    <w:p>
      <w:pPr>
        <w:pStyle w:val="BodyText"/>
      </w:pPr>
      <w:r>
        <w:rPr>
          <w:i/>
          <w:iCs/>
        </w:rPr>
        <w:t xml:space="preserve">Thank you, we hope our revisions have addressed your comments.</w:t>
      </w:r>
    </w:p>
    <w:bookmarkEnd w:id="24"/>
    <w:bookmarkStart w:id="46" w:name="references"/>
    <w:p>
      <w:pPr>
        <w:pStyle w:val="Heading2"/>
      </w:pPr>
      <w:r>
        <w:t xml:space="preserve">References</w:t>
      </w:r>
    </w:p>
    <w:bookmarkStart w:id="45" w:name="refs"/>
    <w:bookmarkStart w:id="26"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5">
        <w:r>
          <w:rPr>
            <w:rStyle w:val="Hyperlink"/>
          </w:rPr>
          <w:t xml:space="preserve">https://doi.org/10.1109/TAC.1974.1100705</w:t>
        </w:r>
      </w:hyperlink>
      <w:r>
        <w:t xml:space="preserve">.</w:t>
      </w:r>
    </w:p>
    <w:bookmarkEnd w:id="26"/>
    <w:bookmarkStart w:id="2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27">
        <w:r>
          <w:rPr>
            <w:rStyle w:val="Hyperlink"/>
          </w:rPr>
          <w:t xml:space="preserve">https://doi.org/10.1007/s12237-024-01385-0</w:t>
        </w:r>
      </w:hyperlink>
      <w:r>
        <w:t xml:space="preserve">.</w:t>
      </w:r>
    </w:p>
    <w:bookmarkEnd w:id="28"/>
    <w:bookmarkStart w:id="3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29">
        <w:r>
          <w:rPr>
            <w:rStyle w:val="Hyperlink"/>
          </w:rPr>
          <w:t xml:space="preserve">https://doi.org/10.1007/s10666-015-9452-8</w:t>
        </w:r>
      </w:hyperlink>
      <w:r>
        <w:t xml:space="preserve">.</w:t>
      </w:r>
    </w:p>
    <w:bookmarkEnd w:id="30"/>
    <w:bookmarkStart w:id="32"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31">
        <w:r>
          <w:rPr>
            <w:rStyle w:val="Hyperlink"/>
          </w:rPr>
          <w:t xml:space="preserve">https://doi.org/10.1111/j.1752-1688.2010.00482.x</w:t>
        </w:r>
      </w:hyperlink>
      <w:r>
        <w:t xml:space="preserve">.</w:t>
      </w:r>
    </w:p>
    <w:bookmarkEnd w:id="32"/>
    <w:bookmarkStart w:id="33"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33"/>
    <w:bookmarkStart w:id="35" w:name="ref-luther2022"/>
    <w:p>
      <w:pPr>
        <w:pStyle w:val="Bibliography"/>
      </w:pPr>
      <w:r>
        <w:t xml:space="preserve">Luther, M. E., and S. D. Meyers. 2022.</w:t>
      </w:r>
      <w:r>
        <w:t xml:space="preserve"> </w:t>
      </w:r>
      <w:hyperlink r:id="rId34">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35"/>
    <w:bookmarkStart w:id="3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36">
        <w:r>
          <w:rPr>
            <w:rStyle w:val="Hyperlink"/>
          </w:rPr>
          <w:t xml:space="preserve">https://doi.org/10.1016/j.envsoft.2019.03.027</w:t>
        </w:r>
      </w:hyperlink>
      <w:r>
        <w:t xml:space="preserve">.</w:t>
      </w:r>
    </w:p>
    <w:bookmarkEnd w:id="37"/>
    <w:bookmarkStart w:id="39" w:name="ref-sherwood2015"/>
    <w:p>
      <w:pPr>
        <w:pStyle w:val="Bibliography"/>
      </w:pPr>
      <w:r>
        <w:t xml:space="preserve">Sherwood, E. T., H. S. Greening, L. Garcia, K. Kaufman, A. J. Janicki, R. Pribble, B. Cunningham, et al. 2015.</w:t>
      </w:r>
      <w:r>
        <w:t xml:space="preserve"> </w:t>
      </w:r>
      <w:hyperlink r:id="rId38">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39"/>
    <w:bookmarkStart w:id="4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40">
        <w:r>
          <w:rPr>
            <w:rStyle w:val="Hyperlink"/>
          </w:rPr>
          <w:t xml:space="preserve">https://doi.org/10.1111/j.1467-9868.2010.00749.x</w:t>
        </w:r>
      </w:hyperlink>
      <w:r>
        <w:t xml:space="preserve">.</w:t>
      </w:r>
    </w:p>
    <w:bookmarkEnd w:id="41"/>
    <w:bookmarkStart w:id="4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42"/>
    <w:bookmarkStart w:id="44" w:name="ref-tbep0494"/>
    <w:p>
      <w:pPr>
        <w:pStyle w:val="Bibliography"/>
      </w:pPr>
      <w:r>
        <w:t xml:space="preserve">Zarbock, H. W., A. J. Janicki, D. L. Wade, and D. G. Heimbuch. 1994.</w:t>
      </w:r>
      <w:r>
        <w:t xml:space="preserve"> </w:t>
      </w:r>
      <w:hyperlink r:id="rId43">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44"/>
    <w:bookmarkEnd w:id="45"/>
    <w:bookmarkEnd w:id="46"/>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9" Target="https://doi.org/10.1007/s10666-015-9452-8" TargetMode="External" /><Relationship Type="http://schemas.openxmlformats.org/officeDocument/2006/relationships/hyperlink" Id="rId27" Target="https://doi.org/10.1007/s12237-024-01385-0" TargetMode="External" /><Relationship Type="http://schemas.openxmlformats.org/officeDocument/2006/relationships/hyperlink" Id="rId36" Target="https://doi.org/10.1016/j.envsoft.2019.03.027" TargetMode="External" /><Relationship Type="http://schemas.openxmlformats.org/officeDocument/2006/relationships/hyperlink" Id="rId25" Target="https://doi.org/10.1109/TAC.1974.1100705" TargetMode="External" /><Relationship Type="http://schemas.openxmlformats.org/officeDocument/2006/relationships/hyperlink" Id="rId40" Target="https://doi.org/10.1111/j.1467-9868.2010.00749.x" TargetMode="External" /><Relationship Type="http://schemas.openxmlformats.org/officeDocument/2006/relationships/hyperlink" Id="rId31" Target="https://doi.org/10.1111/j.1752-1688.2010.00482.x" TargetMode="External" /><Relationship Type="http://schemas.openxmlformats.org/officeDocument/2006/relationships/hyperlink" Id="rId34" Target="https://drive.google.com/file/d/1-1Jq9vly5EvVwEp698brlBucXjSMDbNn/view?usp=sharing" TargetMode="External" /><Relationship Type="http://schemas.openxmlformats.org/officeDocument/2006/relationships/hyperlink" Id="rId38" Target="https://drive.google.com/file/d/1BCviGfLykVX-p1tA3b0306deP3pKMagr/view?usp=drivesdk" TargetMode="External" /><Relationship Type="http://schemas.openxmlformats.org/officeDocument/2006/relationships/hyperlink" Id="rId43"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s10666-015-9452-8" TargetMode="External" /><Relationship Type="http://schemas.openxmlformats.org/officeDocument/2006/relationships/hyperlink" Id="rId27" Target="https://doi.org/10.1007/s12237-024-01385-0" TargetMode="External" /><Relationship Type="http://schemas.openxmlformats.org/officeDocument/2006/relationships/hyperlink" Id="rId36" Target="https://doi.org/10.1016/j.envsoft.2019.03.027" TargetMode="External" /><Relationship Type="http://schemas.openxmlformats.org/officeDocument/2006/relationships/hyperlink" Id="rId25" Target="https://doi.org/10.1109/TAC.1974.1100705" TargetMode="External" /><Relationship Type="http://schemas.openxmlformats.org/officeDocument/2006/relationships/hyperlink" Id="rId40" Target="https://doi.org/10.1111/j.1467-9868.2010.00749.x" TargetMode="External" /><Relationship Type="http://schemas.openxmlformats.org/officeDocument/2006/relationships/hyperlink" Id="rId31" Target="https://doi.org/10.1111/j.1752-1688.2010.00482.x" TargetMode="External" /><Relationship Type="http://schemas.openxmlformats.org/officeDocument/2006/relationships/hyperlink" Id="rId34" Target="https://drive.google.com/file/d/1-1Jq9vly5EvVwEp698brlBucXjSMDbNn/view?usp=sharing" TargetMode="External" /><Relationship Type="http://schemas.openxmlformats.org/officeDocument/2006/relationships/hyperlink" Id="rId38" Target="https://drive.google.com/file/d/1BCviGfLykVX-p1tA3b0306deP3pKMagr/view?usp=drivesdk" TargetMode="External" /><Relationship Type="http://schemas.openxmlformats.org/officeDocument/2006/relationships/hyperlink" Id="rId43"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2026-06-12T18:23:22Z</dcterms:created>
  <dcterms:modified xsi:type="dcterms:W3CDTF">2026-06-12T18:23:22Z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