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8.png" ContentType="image/png"/>
  <Override PartName="/word/media/rId5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Rebecca Murphy</w:t>
      </w:r>
      <w:r>
        <w:rPr>
          <w:vertAlign w:val="superscript"/>
        </w:rPr>
        <w:t xml:space="preserve">2</w:t>
      </w:r>
      <w:r>
        <w:t xml:space="preserve">, Kerry Flaherty-Walia</w:t>
      </w:r>
      <w:r>
        <w:rPr>
          <w:vertAlign w:val="superscript"/>
        </w:rPr>
        <w:t xml:space="preserve">1</w:t>
      </w:r>
      <w:r>
        <w:t xml:space="preserve">, Qian Zhang</w:t>
      </w:r>
      <w:r>
        <w:rPr>
          <w:vertAlign w:val="superscript"/>
        </w:rPr>
        <w:t xml:space="preserve">2</w:t>
      </w:r>
      <w:r>
        <w:t xml:space="preserve">, Blake A Simmons</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~20% over a fifty-year simulation. The results suggested that current nutrient loads should be reduced by approximately half of the federally-recognized TMDL to maintain a likelihood in the future that is similar to present. By understanding the effects of largely unmanageable characteristics of the Bay, water quality managers can reassess efforts on limiting factors they can control to account for those they cannot.</w:t>
      </w:r>
    </w:p>
    <w:p>
      <w:pPr>
        <w:pStyle w:val="BodyText"/>
      </w:pPr>
      <w:r>
        <w:rPr>
          <w:i/>
          <w:iCs/>
        </w:rPr>
        <w:t xml:space="preserve">Key words</w:t>
      </w:r>
      <w:r>
        <w:t xml:space="preserve">: chlorophyll-a; Generalized Additive Models; nutrients; salinity; Tampa Bay</w:t>
      </w:r>
    </w:p>
    <w:p>
      <w:r>
        <w:br w:type="page"/>
      </w:r>
    </w:p>
    <w:bookmarkEnd w:id="21"/>
    <w:bookmarkStart w:id="22"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 (Clean Water Act). Similar mandates under the European Water Framework Directive define processes for identifying and remediating unacceptable water quality conditions.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and Landman 1993; Moss and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(Gerold Morrison et al. 2006; Beck and Hagy 2015; Karlen et al. 2023)</w:t>
      </w:r>
      <w:r>
        <w:t xml:space="preserve"> </w:t>
      </w:r>
      <w:r>
        <w:t xml:space="preserve">and have also contributed to the development of regulatory standards for different parts of the Bay</w:t>
      </w:r>
      <w:r>
        <w:t xml:space="preserve"> </w:t>
      </w:r>
      <w:r>
        <w:t xml:space="preserve">(Janicki and Wade 1996; Janicki et al. 2000)</w:t>
      </w:r>
      <w:r>
        <w:t xml:space="preserve"> </w:t>
      </w:r>
      <w:r>
        <w:t xml:space="preserve">Similarly, monthly long-term estimates of external nutrient inputs are also available and have been used to monitor the effectiveness of management interventions to reduce excess loads to the Bay</w:t>
      </w:r>
      <w:r>
        <w:t xml:space="preserve"> </w:t>
      </w:r>
      <w:r>
        <w:t xml:space="preserve">(Greening and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has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dissolved content in surficial waters via groundwater flow</w:t>
      </w:r>
      <w:r>
        <w:t xml:space="preserve"> </w:t>
      </w:r>
      <w:r>
        <w:t xml:space="preserve">(P. F. 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and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and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and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In particular, we use model predictions and differences with the normalized results to evaluate the relative effects of different drivers on chlorophyll-a dynamics.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chlorophyll-a trends for informing the management of water quality under past and contemporary conditions, with a generalized framework that could be applied in other locations with long-term data.</w:t>
      </w:r>
    </w:p>
    <w:bookmarkEnd w:id="22"/>
    <w:bookmarkStart w:id="27" w:name="methods"/>
    <w:p>
      <w:pPr>
        <w:pStyle w:val="Heading2"/>
      </w:pPr>
      <w:r>
        <w:t xml:space="preserve">2 Methods</w:t>
      </w:r>
    </w:p>
    <w:p>
      <w:pPr>
        <w:pStyle w:val="FirstParagraph"/>
      </w:pPr>
      <w:r>
        <w:t xml:space="preserve">Tampa Bay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G. Morrison and Yates 2011)</w:t>
      </w:r>
      <w:r>
        <w:t xml:space="preserve">, with substantial variation by location. Major inflows enter HB via the Hillsborough and Alafia Rivers, MTB via the Little Manatee river, and LTB via the Manatee River. LTB that exchanges with the Gulf has the shortest residence time of a few days, whereas OTB and HB have the longest. However, HB flushes relatively rapidly compared to OTB due to major freshwater inflows and enhanced baroclinic circulation via the main dredge channel that extends from the mouth of the Bay to upper HB</w:t>
      </w:r>
      <w:r>
        <w:t xml:space="preserve"> </w:t>
      </w:r>
      <w:r>
        <w:t xml:space="preserve">(G. Morrison and Yates 2011)</w:t>
      </w:r>
      <w:r>
        <w:t xml:space="preserve">. More importantly, OTB has three major bridges with substantial causeways that are known impediments to circulation</w:t>
      </w:r>
      <w:r>
        <w:t xml:space="preserve"> </w:t>
      </w:r>
      <w:r>
        <w:t xml:space="preserve">(Luther and Meyers 2022)</w:t>
      </w:r>
      <w:r>
        <w:t xml:space="preserve">.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compliance assessments and water quality improvement efforts are reported to the Florida Department of Environmental Protection. Regulatory criteria for chlorophyll-a apply to each bay segment, such that exceedances for more than two consecutive years require an assessment of a bay segment’s assimilative capacity. The assimilative capacity for each bay segment is currently defined by a maximum annual nitrogen loading beyond which water quality outcomes detrimental to seagrasses are expected. Similarly, chlorophyll-a thresholds for each bay segment were established to maintain a light environment supportive of seagrass growth. Efforts of the TBNMC to manage external nutrient loads have contributed to the long-term recovery of Tampa Bay. However, current ecology and physical conditions of the Bay compared to past conditions from which regulatory thresholds were developed have been the focus of recent discussions by the TBNMC and have also motivated this current work. Chlorophyll-a and total load thresholds for each bay segment are evaluated for objective three using the GAMs for scenario assessments under expected future changes and management actions.</w:t>
      </w:r>
    </w:p>
    <w:bookmarkStart w:id="23"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permitted entity in the Tampa Bay watershed. Conversely, non-point source loads were estimated from gauged and ungauged portions of the watershed by combining rainfall and flow estimates with event mean concentration data by land use and soil type. Atmospheric deposition was estimated using rainfall and airshed chemical constituent data obtained from the Verna well-field long-term air quality monitoring site. Groundwater loading was estimated from aquifer concentration data combined with potentiometric sub-surface flow data, whereas springs loadings were calculated directly from discharge and concentration data measured at each spring. Finally, material losses were based on a loss factor per unit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3"/>
    <w:bookmarkStart w:id="24"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 Loading was evaluated during the same month of the chlorophyll-a sample. Previous work has suggested cumulative monthly sums of preceding loading may better explain variation in chlorophyll-a</w:t>
      </w:r>
      <w:r>
        <w:t xml:space="preserve"> </w:t>
      </w:r>
      <w:r>
        <w:t xml:space="preserve">(Janicki and Wade 1996)</w:t>
      </w:r>
      <w:r>
        <w:t xml:space="preserve">, although initial analyses did not indicate improved model fit (Table S1). Each predictor was evaluated as an additive smooth to quantify an individual association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was used to account for an increase in variance with the mean, which is a reasonable expectation for chlorophyll-a data.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 Collinearity among model predictors was evaluated with variance inflation factors (VIFs), all of which were sufficiently low for inclusion</w:t>
      </w:r>
      <w:r>
        <w:t xml:space="preserve"> </w:t>
      </w:r>
      <w:r>
        <w:t xml:space="preserve">(all VIF &lt; 2, Fox and Weisberg 2018)</w:t>
      </w:r>
      <w:r>
        <w:t xml:space="preserve">.</w:t>
      </w:r>
    </w:p>
    <w:p>
      <w:pPr>
        <w:pStyle w:val="BodyText"/>
      </w:pPr>
      <w:r>
        <w:t xml:space="preserve">The K values (number of basis functions) for each smoother were chosen to allow sufficient degrees of freedom to describe the association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(1985-1999, 2000-2014, 2015-2024) and seasonal periods (annual, JFM, AMJ, JAS, OND) to assess when model fit may differ relative to the entire time series.</w:t>
      </w:r>
    </w:p>
    <w:bookmarkEnd w:id="24"/>
    <w:bookmarkStart w:id="25" w:name="X980420fcf80dde065bca57fdab17b815f83f6bb"/>
    <w:p>
      <w:pPr>
        <w:pStyle w:val="Heading3"/>
      </w:pPr>
      <w:r>
        <w:t xml:space="preserve">2.3 Partitioning Drivers of Chlorophyll-a Change</w:t>
      </w:r>
    </w:p>
    <w:p>
      <w:pPr>
        <w:pStyle w:val="FirstParagraph"/>
      </w:pPr>
      <w:r>
        <w:t xml:space="preserve">The second objective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(positive being more oligohaline effect, negative being more euhaline effect) and the y-axis showed the loading effects (positive being higher loading effect, negative being lower loading effect).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(1985-1999, 2000-2014, 2015-2024) and seasonal periods (annual, JFM, AMJ, JAS, OND) to further evaluate periods of time when salinity and/or loading had differing effects on chlorophyll-a.</w:t>
      </w:r>
    </w:p>
    <w:bookmarkEnd w:id="25"/>
    <w:bookmarkStart w:id="26" w:name="X82026799b3307457963ec31cd05ff83c81fd279"/>
    <w:p>
      <w:pPr>
        <w:pStyle w:val="Heading3"/>
      </w:pPr>
      <w:r>
        <w:t xml:space="preserve">2.4 Likelihood of Exceeding Regulatory Criteria</w:t>
      </w:r>
    </w:p>
    <w:p>
      <w:pPr>
        <w:pStyle w:val="FirstParagraph"/>
      </w:pPr>
      <w:r>
        <w:t xml:space="preserve">The third objective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thresholds for each bay segment are 9.3, 15.0, 8.5, and 5.1</w:t>
      </w:r>
      <w:r>
        <w:t xml:space="preserve"> </w:t>
      </w:r>
      <m:oMath>
        <m:r>
          <m:t>μ</m:t>
        </m:r>
      </m:oMath>
      <w:r>
        <w:t xml:space="preserve">g/L and external loading thresholds for the federally-recognized TMDL are 486, 1451, 799, 349 tons per year for OTB, HB, MTB, and LTB, respectively</w:t>
      </w:r>
      <w:r>
        <w:t xml:space="preserve"> </w:t>
      </w:r>
      <w:r>
        <w:t xml:space="preserve">(Janicki and Wade 1996; Janicki et al. 2000; Tampa Bay Nitrogen Management Consortium 2010)</w:t>
      </w:r>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Loading scenarios were assessed under four different conditions - current load, loading at the TMDL threshold, half the threshold, and twice the threshold. The simulations and scenarios were applied to the 2015-2024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all other conditions within the chosen year period persisted for fifty years into the future.</w:t>
      </w:r>
    </w:p>
    <w:bookmarkEnd w:id="26"/>
    <w:bookmarkEnd w:id="27"/>
    <w:bookmarkStart w:id="31" w:name="results"/>
    <w:p>
      <w:pPr>
        <w:pStyle w:val="Heading2"/>
      </w:pPr>
      <w:r>
        <w:t xml:space="preserve">3 Results</w:t>
      </w:r>
    </w:p>
    <w:bookmarkStart w:id="28" w:name="model-performance"/>
    <w:p>
      <w:pPr>
        <w:pStyle w:val="Heading3"/>
      </w:pPr>
      <w:r>
        <w:t xml:space="preserve">3.1 Model Performance</w:t>
      </w:r>
    </w:p>
    <w:p>
      <w:pPr>
        <w:pStyle w:val="FirstParagraph"/>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significant (</w:t>
      </w:r>
      <m:oMath>
        <m:r>
          <m:t>p</m:t>
        </m:r>
      </m:oMath>
      <w:r>
        <w:t xml:space="preserve"> </w:t>
      </w:r>
      <w:r>
        <w:t xml:space="preserve">&lt; 0.05) individual smoothers for decimal time, day of year, and salinity, whereas none of the bay segments had a significant smoother for nitrogen loading</w:t>
      </w:r>
      <w:r>
        <w:t xml:space="preserve"> </w:t>
      </w:r>
      <w:hyperlink w:anchor="tbl-gamtab">
        <w:r>
          <w:rPr>
            <w:rStyle w:val="Hyperlink"/>
          </w:rPr>
          <w:t xml:space="preserve">Table 1</w:t>
        </w:r>
      </w:hyperlink>
      <w:r>
        <w:t xml:space="preserve">. However, every bay segment except MTB had at least one significant interaction smoother for nitrogen loading suggesting an effect of loading on chlorophyll-a that was dependent on values of other predictors (loading and decimal time for OTB; loading and decimal time for HB; and loading and salinity for LTB). MTB had a nearly significant interaction smoother for loading and salinity (</w:t>
      </w:r>
      <m:oMath>
        <m:r>
          <m:t>p</m:t>
        </m:r>
      </m:oMath>
      <w:r>
        <w:t xml:space="preserve"> </w:t>
      </w:r>
      <w:r>
        <w:t xml:space="preserve">= 0.053)</w:t>
      </w:r>
    </w:p>
    <w:p>
      <w:pPr>
        <w:pStyle w:val="BodyText"/>
      </w:pPr>
      <w:r>
        <w:t xml:space="preserve">Differences in correlations between observed and predicted chlorophyll-a were also shown by annual groupings and seasonal periods (</w:t>
      </w:r>
      <w:hyperlink w:anchor="tbl-gamcrtab">
        <w:r>
          <w:rPr>
            <w:rStyle w:val="Hyperlink"/>
          </w:rPr>
          <w:t xml:space="preserve">Table 2</w:t>
        </w:r>
      </w:hyperlink>
      <w:r>
        <w:t xml:space="preserve">), suggesting fit varied by time in each bay segment. Annual groupings by bay segment had correlations greater than 0.7, although LTB had slightly lower correlations than the other bay segments. The highest annual grouping correlation was observed for 2015 to 2024 for OTB (</w:t>
      </w:r>
      <m:oMath>
        <m:r>
          <m:t>ρ</m:t>
        </m:r>
      </m:oMath>
      <w:r>
        <w:t xml:space="preserve"> </w:t>
      </w:r>
      <w:r>
        <w:t xml:space="preserve">= 0.90), whereas the lowest was observed for 2000 to 2014 for LTB (</w:t>
      </w:r>
      <m:oMath>
        <m:r>
          <m:t>ρ</m:t>
        </m:r>
      </m:oMath>
      <w:r>
        <w:t xml:space="preserve"> </w:t>
      </w:r>
      <w:r>
        <w:t xml:space="preserve">= 0.72). By season, the October, November, December (OND) period generally had higher correlations across annual groupings and bay segments (mean</w:t>
      </w:r>
      <w:r>
        <w:t xml:space="preserve"> </w:t>
      </w:r>
      <m:oMath>
        <m:r>
          <m:t>ρ</m:t>
        </m:r>
      </m:oMath>
      <w:r>
        <w:t xml:space="preserve"> </w:t>
      </w:r>
      <w:r>
        <w:t xml:space="preserve">= 0.74), with the exception of OND for the 2000 - 2014 and 2015 - 2024 annual groupings for LTB (</w:t>
      </w:r>
      <m:oMath>
        <m:r>
          <m:t>ρ</m:t>
        </m:r>
      </m:oMath>
      <w:r>
        <w:t xml:space="preserve"> </w:t>
      </w:r>
      <w:r>
        <w:t xml:space="preserve">= 0.42, 0.44, respectively). Mean correlations were similar between bay segments and annual groupings for all other seasons (mean</w:t>
      </w:r>
      <w:r>
        <w:t xml:space="preserve"> </w:t>
      </w:r>
      <m:oMath>
        <m:r>
          <m:t>ρ</m:t>
        </m:r>
      </m:oMath>
      <w:r>
        <w:t xml:space="preserve"> </w:t>
      </w:r>
      <w:r>
        <w:t xml:space="preserve">= 0.61, 0.62, 0.63 for JFM, AMJ, and JAS, respectively). The lowest seasonal correlation was observed for the JFM period for OTB in 2000-2014 (</w:t>
      </w:r>
      <m:oMath>
        <m:r>
          <m:t>ρ</m:t>
        </m:r>
      </m:oMath>
      <w:r>
        <w:t xml:space="preserve"> </w:t>
      </w:r>
      <w:r>
        <w:t xml:space="preserve">= 0.24). The highest seasonal correlation was observed for the OND period for OTB in 2015-2024 (</w:t>
      </w:r>
      <m:oMath>
        <m:r>
          <m:t>ρ</m:t>
        </m:r>
      </m:oMath>
      <w:r>
        <w:t xml:space="preserve"> </w:t>
      </w:r>
      <w:r>
        <w:t xml:space="preserve">= 0.92).</w:t>
      </w:r>
    </w:p>
    <w:bookmarkEnd w:id="28"/>
    <w:bookmarkStart w:id="29"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loading was less important for MTB and LTB. The unique effects of loading in OTB were most notable later in the time series, as indicated by larger deviations of the solid red lines from the dashed blue lines. Comparing MTB and LTB suggests that salinity had a larger influence on chlorophyll-a in the former, whereas loading was not a key driver in both.</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in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the opposite trend was observed.</w:t>
      </w:r>
    </w:p>
    <w:p>
      <w:pPr>
        <w:pStyle w:val="BodyText"/>
      </w:pPr>
      <w:r>
        <w:t xml:space="preserve">The relative differences in the predictions, salinity-normalized results, and salinity-normalized results at mean loading were further evaluated by annual groupings and seasons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salinity showed more of a positive effect (freshening) on chlorophyll through time, particularly in the JJA seasonal period for all bay segments. Similarly, loading effects increased over time, although the effects varied by season. The largest seasonal effects, particularly in OTB and HB, were observed for the JJA period where the effect increased across year groupings, whereas other seasonal groupings showed the opposite trend (e.g., AMJ).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(1985-1999, 2000-2014, and 2015-2024), OTB suggested a shift towards more load-dominated and lower salinity influence on chlorophyll-a in 2015-2024 as shown by a shift in the mean effects towards the upper right of the plot (</w:t>
      </w:r>
      <w:hyperlink w:anchor="fig-statespace">
        <w:r>
          <w:rPr>
            <w:rStyle w:val="Hyperlink"/>
          </w:rPr>
          <w:t xml:space="preserve">Figure 6</w:t>
        </w:r>
      </w:hyperlink>
      <w:r>
        <w:t xml:space="preserve">b). A shift towards the right on the x-axis for the 2015-2024 grouping for all bay segments suggested chlorophyll-a was also influenced by more oligohaline conditions.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Similarly, years with higher than normal loading effects were seen as outliers in 2024 on the y-axis for OTB and HB.</w:t>
      </w:r>
    </w:p>
    <w:bookmarkEnd w:id="29"/>
    <w:bookmarkStart w:id="30" w:name="X14f6928a225a3ff958e23c9722a7666d8f7bace"/>
    <w:p>
      <w:pPr>
        <w:pStyle w:val="Heading3"/>
      </w:pPr>
      <w:r>
        <w:t xml:space="preserve">3.3 Likelihood of Exceeding Regulatory Criteria</w:t>
      </w:r>
    </w:p>
    <w:p>
      <w:pPr>
        <w:pStyle w:val="FirstParagraph"/>
      </w:pPr>
      <w:r>
        <w:t xml:space="preserve">Scenario assessments for recent years (2015-2024)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That is, reductions in salinity in HB, MTB, and LTB suggested an increased likelihood although overall likelihoods were minimal (&lt; 10% likelihood over 50 years). One exception is HB when the loading was doubled, such that the likelihood of exceeding the regulatory threshold rose from ~1% at the current load to 12% at present and 16%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were observed from 2015-2024 (five years in this period), the likelihood at present under observed salinity and loading was approximately 42% (</w:t>
      </w:r>
      <w:hyperlink w:anchor="tbl-liktab">
        <w:r>
          <w:rPr>
            <w:rStyle w:val="Hyperlink"/>
          </w:rPr>
          <w:t xml:space="preserve">Table 4</w:t>
        </w:r>
      </w:hyperlink>
      <w:r>
        <w:t xml:space="preserve">). Any changes in salinity and loading had non-trivial effects on the overall likelihood.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18% by year 50 to ~60%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2015-2024) showed that the likelihood of exceeding the regulatory criteria increases from 36% to 56% by year 50 with expected changes in salinity.</w:t>
      </w:r>
    </w:p>
    <w:bookmarkEnd w:id="30"/>
    <w:bookmarkEnd w:id="31"/>
    <w:bookmarkStart w:id="33"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based on conditions of the Bay in the 1990s</w:t>
      </w:r>
      <w:r>
        <w:t xml:space="preserve"> </w:t>
      </w:r>
      <w:r>
        <w:t xml:space="preserve">(Janicki and Wade 1996; Janicki et al. 2000)</w:t>
      </w:r>
      <w:r>
        <w:t xml:space="preserve">. It is understood that conditions have changed and the primary objective of this work was to assess the time-varying effects of loading and salinity on water quality in Tampa Bay.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for estuarine restoration, whereas salinity controls typically are not. In anticipation of future salinity conditions, additional load reductions may be needed.</w:t>
      </w:r>
    </w:p>
    <w:p>
      <w:pPr>
        <w:pStyle w:val="BodyText"/>
      </w:pPr>
      <w:r>
        <w:t xml:space="preserve">The simulation results suggested an increased likelihood of exceeding regulatory thresholds with future reductions in salinity. These analyses also underscored the continuing role that nutrient loads have for affecting water quality. In OTB, where regulatory exceedances have occurred in several past years, changing salinity conditions may require further load reductions beyond the federally-established TMDL to maintain water quality in the future. Even if the nutrient TMDL is maintained (it is currently exceeded by 6 tons for the last assessment period based on a five year average), the likelihood that the chlorophyll-a threshold will be exceeded increases by 9% in 25 years and by 18% in fifty years to an overall likelihood of 60%. These increases must also be considered relative to potential future loading trends if no actions are taken to mitigate sources.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addressed, will further increase the likelihood of exceeding regulatory criteria in the future. The simulation models suggest that current total loading should be reduced by at least 50% to achieve a similar likelihood at present of exceeding the regulatory criteria in fifty years to account for the largely unmanageable effects of reduced salinity on chlorophyll-a.</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was influenced by neither. These relationships were also variable over time, particularly in OTB, where pure loading effects appear to have recently increased in importance. This result has management implications where exceedances of the chlorophyll-a threshold have been observed in recent years. Compliance assessment for the nutrient loadings in each bay segment was established as a loading ratio, where loads are scaled based on hydrologic inputs</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exceedances of the chlorophyll-a threshold in OTB and non-attainment of the loading ratio presents a mismatch in compliance assessment.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H. Wang et al. 2026)</w:t>
      </w:r>
      <w:r>
        <w:t xml:space="preserve">.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loading is unimportant in these bay segments. Rather, the results must be interpreted relatively between bay segments such that a general conclusion can be made that loading is more important for driving chlorophyll-a in the upper segments, not that it is wholly unimportant for the lower bay segments. The GAM structure was selected specifically to isolate the effects of key drivers and is a relatively simplistic interpretation compared to a more mechanistic description of factors driving chlorophyll-a. Controlling external nitrogen loads to each bay segment will continue to be a key focus for management efforts to maintain or improve water quality in Tampa Bay.</w:t>
      </w:r>
    </w:p>
    <w:p>
      <w:pPr>
        <w:pStyle w:val="BodyText"/>
      </w:pPr>
      <w:r>
        <w:t xml:space="preserve">Recognizing what salinity represents as a proxy of causal mechanisms of chlorophyll-a dynamics in each bay segment is critical for the interpretation of the results. Salinity is not independent from loading such that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 as to prevent both from being used as unique predictors in the models (VIFs were sufficiently low). Given the varying importance of either in the models for each bay segment, salinity can be interpreted as having a unique effect on chlorophyll-a independent of loading. The most likely interpretation is that salinity is a proxy for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and Gan 2015)</w:t>
      </w:r>
      <w:r>
        <w:t xml:space="preserve">. This may not be the case in Tampa Bay, particularly for OTB, given the association of higher chlorophyll-a with more oligohaline conditions. Rather, periods of low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when tidal exchange is high (i.e., predictions well below the solid red lines).</w:t>
      </w:r>
    </w:p>
    <w:p>
      <w:pPr>
        <w:pStyle w:val="BodyText"/>
      </w:pPr>
      <w:r>
        <w:t xml:space="preserve">Our approach offers a relatively novel application of GAMs to describe long-term trends in chlorophyll-a and how drivers have changed. We build off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less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for scenario assessment.</w:t>
      </w:r>
    </w:p>
    <w:p>
      <w:pPr>
        <w:pStyle w:val="BodyText"/>
      </w:pPr>
      <w:r>
        <w:t xml:space="preserve">Finally, the scenario assessments using simulated results from the GAMs also assumed that current chlorophyll-a standards are and will continue to support a light environment for seagrasses. These chlorophyll-a thresholds, much like the loading thresholds, were developed with data from the 1990s and current conditions suggest analysis is needed to determine if they are still appropriate. Optical models, in situ light measurements, and current seagrass coverage maps cross-referenced with bathymetry need to be leveraged to determine if these thresholds are still sufficient to maintain light environments at the deep edge of seagrass for each bay segment</w:t>
      </w:r>
      <w:r>
        <w:t xml:space="preserve"> </w:t>
      </w:r>
      <w:r>
        <w:t xml:space="preserve">(Johansson 2022)</w:t>
      </w:r>
      <w:r>
        <w:t xml:space="preserve">. Evaluating other water quality factors that attenuate light may also be important, such as color and turbidity</w:t>
      </w:r>
      <w:r>
        <w:t xml:space="preserve"> </w:t>
      </w:r>
      <w:r>
        <w:t xml:space="preserve">(Chen, Hu, and Muller-Karger 2007; Le et al. 2013)</w:t>
      </w:r>
      <w:r>
        <w:t xml:space="preserve">. Although there are no standards to support the light environment other than chlorophyll-a, evaluating the roles of alternative drivers of light attenuation can help develop expectations of times when seagrasses may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seagrass growth are not well understood in Tampa Bay.</w:t>
      </w:r>
    </w:p>
    <w:bookmarkStart w:id="32"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reduced by half of the current TMDL to maintain a sufficiently low likelihood of exceeding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Future work should evaluate the role of additional stressors, like temperature, to better guide how Bay management should proceed to protect critical resources. Our approach can also be leveraged in other estuarine systems where the effectiveness of conventional management paradigms should be assessed relative to changing baselines.</w:t>
      </w:r>
    </w:p>
    <w:p>
      <w:r>
        <w:br w:type="page"/>
      </w:r>
    </w:p>
    <w:bookmarkEnd w:id="32"/>
    <w:bookmarkEnd w:id="33"/>
    <w:bookmarkStart w:id="62"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7" w:name="fig-map"/>
          <w:p>
            <w:pPr>
              <w:pStyle w:val="Compact"/>
              <w:jc w:val="center"/>
            </w:pPr>
            <w:r>
              <w:drawing>
                <wp:inline>
                  <wp:extent cx="3669832" cy="4587290"/>
                  <wp:effectExtent b="0" l="0" r="0" t="0"/>
                  <wp:docPr descr="" title="" id="35" name="Picture"/>
                  <a:graphic>
                    <a:graphicData uri="http://schemas.openxmlformats.org/drawingml/2006/picture">
                      <pic:pic>
                        <pic:nvPicPr>
                          <pic:cNvPr descr="figs/map.png" id="36" name="Picture"/>
                          <pic:cNvPicPr>
                            <a:picLocks noChangeArrowheads="1" noChangeAspect="1"/>
                          </pic:cNvPicPr>
                        </pic:nvPicPr>
                        <pic:blipFill>
                          <a:blip r:embed="rId34"/>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Points show long-term monitoring stations from the Environmental Protection Commission of Hillsborough County where chlorophyll-a and salinity data were used for modeling. OTB: Old Tampa Bay; HB: Hillsborough Bay; MTB: Middle Tampa Bay; LTB: Lower Tampa Bay.</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obsdat"/>
          <w:p>
            <w:pPr>
              <w:pStyle w:val="Compact"/>
              <w:jc w:val="center"/>
            </w:pPr>
            <w:r>
              <w:drawing>
                <wp:inline>
                  <wp:extent cx="5943600" cy="5943600"/>
                  <wp:effectExtent b="0" l="0" r="0" t="0"/>
                  <wp:docPr descr="" title="" id="39" name="Picture"/>
                  <a:graphic>
                    <a:graphicData uri="http://schemas.openxmlformats.org/drawingml/2006/picture">
                      <pic:pic>
                        <pic:nvPicPr>
                          <pic:cNvPr descr="figs/obsdat.png" id="40" name="Picture"/>
                          <pic:cNvPicPr>
                            <a:picLocks noChangeArrowheads="1" noChangeAspect="1"/>
                          </pic:cNvPicPr>
                        </pic:nvPicPr>
                        <pic:blipFill>
                          <a:blip r:embed="rId3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obsprd"/>
          <w:p>
            <w:pPr>
              <w:pStyle w:val="Compact"/>
              <w:jc w:val="center"/>
            </w:pPr>
            <w:r>
              <w:drawing>
                <wp:inline>
                  <wp:extent cx="5943600" cy="6686549"/>
                  <wp:effectExtent b="0" l="0" r="0" t="0"/>
                  <wp:docPr descr="" title="" id="43" name="Picture"/>
                  <a:graphic>
                    <a:graphicData uri="http://schemas.openxmlformats.org/drawingml/2006/picture">
                      <pic:pic>
                        <pic:nvPicPr>
                          <pic:cNvPr descr="figs/obsprd.png" id="44" name="Picture"/>
                          <pic:cNvPicPr>
                            <a:picLocks noChangeArrowheads="1" noChangeAspect="1"/>
                          </pic:cNvPicPr>
                        </pic:nvPicPr>
                        <pic:blipFill>
                          <a:blip r:embed="rId42"/>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9" w:name="fig-prdnrm"/>
          <w:p>
            <w:pPr>
              <w:pStyle w:val="Compact"/>
              <w:jc w:val="center"/>
            </w:pPr>
            <w:r>
              <w:drawing>
                <wp:inline>
                  <wp:extent cx="5943600" cy="4245428"/>
                  <wp:effectExtent b="0" l="0" r="0" t="0"/>
                  <wp:docPr descr="" title="" id="47" name="Picture"/>
                  <a:graphic>
                    <a:graphicData uri="http://schemas.openxmlformats.org/drawingml/2006/picture">
                      <pic:pic>
                        <pic:nvPicPr>
                          <pic:cNvPr descr="figs/prdnrm.png" id="48" name="Picture"/>
                          <pic:cNvPicPr>
                            <a:picLocks noChangeArrowheads="1" noChangeAspect="1"/>
                          </pic:cNvPicPr>
                        </pic:nvPicPr>
                        <pic:blipFill>
                          <a:blip r:embed="rId4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9"/>
        </w:tc>
      </w:tr>
    </w:tbl>
    <w:p>
      <w:r>
        <w:br w:type="page"/>
      </w:r>
    </w:p>
    <w:tbl>
      <w:tblPr>
        <w:tblStyle w:val="Table"/>
        <w:tblW w:type="pct" w:w="5000"/>
        <w:tblLayout w:type="fixed"/>
        <w:tblLook w:firstRow="0" w:lastRow="0" w:firstColumn="0" w:lastColumn="0" w:noHBand="0" w:noVBand="0" w:val="0000"/>
      </w:tblPr>
      <w:tblGrid>
        <w:gridCol w:w="7920"/>
      </w:tblGrid>
      <w:tr>
        <w:tc>
          <w:tcPr/>
          <w:bookmarkStart w:id="53" w:name="fig-salvload"/>
          <w:p>
            <w:pPr>
              <w:pStyle w:val="Compact"/>
              <w:jc w:val="center"/>
            </w:pPr>
            <w:r>
              <w:drawing>
                <wp:inline>
                  <wp:extent cx="5943600" cy="5094514"/>
                  <wp:effectExtent b="0" l="0" r="0" t="0"/>
                  <wp:docPr descr="" title="" id="51" name="Picture"/>
                  <a:graphic>
                    <a:graphicData uri="http://schemas.openxmlformats.org/drawingml/2006/picture">
                      <pic:pic>
                        <pic:nvPicPr>
                          <pic:cNvPr descr="figs/salvload.png" id="52" name="Picture"/>
                          <pic:cNvPicPr>
                            <a:picLocks noChangeArrowheads="1" noChangeAspect="1"/>
                          </pic:cNvPicPr>
                        </pic:nvPicPr>
                        <pic:blipFill>
                          <a:blip r:embed="rId50"/>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represent values for a given year where the model predictions minus the salinity-normalized results show the effect of salinity (a) and the salinity-normalized results minus the normalized results at mean loading show the effect of loading (b). Linear trends and standard error across years are also shown. OTB: Old Tampa Bay; HB: Hillsborough Bay; MTB: Middle Tampa Bay; LTB: Lower Tampa Bay.</w:t>
            </w:r>
          </w:p>
          <w:bookmarkEnd w:id="53"/>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fig-statespace"/>
          <w:p>
            <w:pPr>
              <w:pStyle w:val="Compact"/>
              <w:jc w:val="center"/>
            </w:pPr>
            <w:r>
              <w:drawing>
                <wp:inline>
                  <wp:extent cx="5943600" cy="7528559"/>
                  <wp:effectExtent b="0" l="0" r="0" t="0"/>
                  <wp:docPr descr="" title="" id="55" name="Picture"/>
                  <a:graphic>
                    <a:graphicData uri="http://schemas.openxmlformats.org/drawingml/2006/picture">
                      <pic:pic>
                        <pic:nvPicPr>
                          <pic:cNvPr descr="figs/statespace.png" id="56" name="Picture"/>
                          <pic:cNvPicPr>
                            <a:picLocks noChangeArrowheads="1" noChangeAspect="1"/>
                          </pic:cNvPicPr>
                        </pic:nvPicPr>
                        <pic:blipFill>
                          <a:blip r:embed="rId54"/>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 space representations of modelled annual chlorophyll-a response to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fig-simplo"/>
          <w:p>
            <w:pPr>
              <w:pStyle w:val="Compact"/>
              <w:jc w:val="center"/>
            </w:pPr>
            <w:r>
              <w:drawing>
                <wp:inline>
                  <wp:extent cx="5943600" cy="5943600"/>
                  <wp:effectExtent b="0" l="0" r="0" t="0"/>
                  <wp:docPr descr="" title="" id="59" name="Picture"/>
                  <a:graphic>
                    <a:graphicData uri="http://schemas.openxmlformats.org/drawingml/2006/picture">
                      <pic:pic>
                        <pic:nvPicPr>
                          <pic:cNvPr descr="figs/simplo.png" id="60" name="Picture"/>
                          <pic:cNvPicPr>
                            <a:picLocks noChangeArrowheads="1" noChangeAspect="1"/>
                          </pic:cNvPicPr>
                        </pic:nvPicPr>
                        <pic:blipFill>
                          <a:blip r:embed="rId5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2015-2024.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1"/>
        </w:tc>
      </w:tr>
    </w:tbl>
    <w:p>
      <w:r>
        <w:br w:type="page"/>
      </w:r>
    </w:p>
    <w:bookmarkEnd w:id="62"/>
    <w:bookmarkStart w:id="67"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3"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63"/>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8"/>
              <w:gridCol w:w="621"/>
            </w:tblGrid>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41414"/>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84848"/>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55555"/>
                    </w:rPr>
                    <w:t xml:space="preserve">0.56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0.83</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85858"/>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01010"/>
                    </w:rPr>
                    <w:t xml:space="preserve">0.84</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20202"/>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95959"/>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D1D1D"/>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06060"/>
                    </w:rPr>
                    <w:t xml:space="preserve">0.51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0.77</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F4F4F"/>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0.70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33333"/>
                    </w:rPr>
                    <w:t xml:space="preserve">0.69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E0E0E"/>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01010"/>
                    </w:rPr>
                    <w:t xml:space="preserve">0.84</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0101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95959"/>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85858"/>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0.83</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85858"/>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D1D1D"/>
                    </w:rPr>
                    <w:t xml:space="preserve">0.78</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85858"/>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17171"/>
                    </w:rPr>
                    <w:t xml:space="preserve">0.42</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D5D5D"/>
                    </w:rPr>
                    <w:t xml:space="preserve">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06060"/>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B0B0B"/>
                    </w:rPr>
                    <w:t xml:space="preserve">0.86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D6D6D"/>
                    </w:rPr>
                    <w:t xml:space="preserve">0.44</w:t>
                  </w:r>
                </w:p>
              </w:tc>
            </w:tr>
          </w:tbl>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5"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size is proportional to the magnitude of the effects, whereas colors show negative (blue) or positive (red) effects on chlorophyll-a.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602"/>
              <w:gridCol w:w="621"/>
              <w:gridCol w:w="792"/>
              <w:gridCol w:w="548"/>
              <w:gridCol w:w="584"/>
              <w:gridCol w:w="512"/>
              <w:gridCol w:w="621"/>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AB5B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AB5B0"/>
                    </w:rPr>
                    <w:t xml:space="preserve">0.09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FA9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FA9C3"/>
                    </w:rPr>
                    <w:t xml:space="preserve">-0.22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A0AA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A0AAC3"/>
                    </w:rPr>
                    <w:t xml:space="preserve">-0.21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9AF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9AFC1"/>
                    </w:rPr>
                    <w:t xml:space="preserve">-0.15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3AC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3ACC2"/>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DBD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DBDBE"/>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9E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9EC5"/>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C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CC5"/>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6B8B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6B8B5"/>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3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3C1"/>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60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6044"/>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9E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9EC5"/>
                    </w:rPr>
                    <w:t xml:space="preserve">-0.33</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C8B"/>
                    </w:rPr>
                    <w:t xml:space="preserve">0.34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E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EB1AA"/>
                    </w:rPr>
                    <w:t xml:space="preserve">0.13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17C"/>
                    </w:rPr>
                    <w:t xml:space="preserve">0.44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E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E42"/>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A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A0"/>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A1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A1C4"/>
                    </w:rPr>
                    <w:t xml:space="preserve">-0.30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AA6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AA6C3"/>
                    </w:rPr>
                    <w:t xml:space="preserve">-0.25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FF0000"/>
                    </w:rPr>
                    <w:t xml:space="preserve">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AA6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AA6C3"/>
                    </w:rPr>
                    <w:t xml:space="preserve">-0.25</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92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92C7"/>
                    </w:rPr>
                    <w:t xml:space="preserve">-0.46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D8D7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D8D77"/>
                    </w:rPr>
                    <w:t xml:space="preserve">0.47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-2.41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AB5B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AB5B0"/>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1AFA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1AFA7"/>
                    </w:rPr>
                    <w:t xml:space="preserve">0.15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1AFA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1AFA7"/>
                    </w:rPr>
                    <w:t xml:space="preserve">0.15</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C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CC5"/>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398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398C6"/>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D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D9DC5"/>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A0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A0C5"/>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81C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81CB"/>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77EC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77ECB"/>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B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B3E"/>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B74C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B74CD"/>
                    </w:rPr>
                    <w:t xml:space="preserve">-0.80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284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2846C"/>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F"/>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D8C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D8C76"/>
                    </w:rPr>
                    <w:t xml:space="preserve">0.48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284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2846C"/>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2"/>
                    </w:rPr>
                    <w:t xml:space="preserve">0.73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0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0B4C0"/>
                    </w:rPr>
                    <w:t xml:space="preserve">-0.10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66D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66D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51E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51E4"/>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2.11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6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69AC6"/>
                    </w:rPr>
                    <w:t xml:space="preserve">-0.38</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A1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A1C4"/>
                    </w:rPr>
                    <w:t xml:space="preserve">-0.30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BB4A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BB4AF"/>
                    </w:rPr>
                    <w:t xml:space="preserve">0.10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642E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642EC"/>
                    </w:rPr>
                    <w:t xml:space="preserve">-1.30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0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0C1"/>
                    </w:rPr>
                    <w:t xml:space="preserve">-0.14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1BCB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1BCBB"/>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4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49B89"/>
                    </w:rPr>
                    <w:t xml:space="preserve">0.35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3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3C1"/>
                    </w:rPr>
                    <w:t xml:space="preserve">-0.11</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CA7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CA7C3"/>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3AC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3ACC2"/>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89B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89BC6"/>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9A5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9A5C4"/>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2B5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2B5C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BA59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BA598"/>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F"/>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AB5B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AB5B0"/>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F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F33"/>
                    </w:rPr>
                    <w:t xml:space="preserve">1.07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F"/>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BBC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BBCBE"/>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6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6B8BF"/>
                    </w:rPr>
                    <w:t xml:space="preserve">-0.06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2BBB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2BBB9"/>
                    </w:rPr>
                    <w:t xml:space="preserve">0.03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99B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99BC6"/>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AA69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AA69A"/>
                    </w:rPr>
                    <w:t xml:space="preserve">0.24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2B5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2B5C0"/>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9BA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9BABF"/>
                    </w:rPr>
                    <w:t xml:space="preserve">-0.04</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3AC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3ACC2"/>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CA7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CA7C3"/>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6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6B8BF"/>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6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6B8BF"/>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0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0B4C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6B8B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6B8B5"/>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1AFA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1AFA7"/>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FBDB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FBDBC"/>
                    </w:rPr>
                    <w:t xml:space="preserve">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C8B"/>
                    </w:rPr>
                    <w:t xml:space="preserve">0.34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BBC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BBCBE"/>
                    </w:rPr>
                    <w:t xml:space="preserve">-0.02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r>
          </w:tbl>
          <w:bookmarkEnd w:id="65"/>
        </w:tc>
      </w:tr>
    </w:tbl>
    <w:p>
      <w:r>
        <w:br w:type="page"/>
      </w:r>
    </w:p>
    <w:tbl>
      <w:tblPr>
        <w:tblStyle w:val="Table"/>
        <w:tblW w:type="pct" w:w="5000"/>
        <w:tblLayout w:type="fixed"/>
        <w:tblLook w:firstRow="0" w:lastRow="0" w:firstColumn="0" w:lastColumn="0" w:noHBand="0" w:noVBand="0" w:val="0000"/>
      </w:tblPr>
      <w:tblGrid>
        <w:gridCol w:w="7920"/>
      </w:tblGrid>
      <w:tr>
        <w:tc>
          <w:tcPr/>
          <w:bookmarkStart w:id="66"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2015-2024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71"/>
              <w:gridCol w:w="1171"/>
              <w:gridCol w:w="1061"/>
            </w:tblGrid>
            <w:tr>
              <w:trPr>
                <w:trHeight w:val="30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↑8)</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 ↑18.1)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↑18.6)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 ↑20.1)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 ↑15.7)</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(6.3, ↑1.6)</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 ↑3.6)</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↑0.2)</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 ↑2.4)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↑1.5)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↑0.4)</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↑1.5)</w:t>
                  </w:r>
                </w:p>
              </w:tc>
            </w:tr>
            <w:tr>
              <w:trPr>
                <w:trHeight w:val="4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↑4.2)</w:t>
                  </w:r>
                </w:p>
              </w:tc>
            </w:tr>
          </w:tbl>
          <w:bookmarkEnd w:id="66"/>
        </w:tc>
      </w:tr>
    </w:tbl>
    <w:p>
      <w:r>
        <w:br w:type="page"/>
      </w:r>
    </w:p>
    <w:bookmarkEnd w:id="67"/>
    <w:bookmarkStart w:id="69"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8">
        <w:r>
          <w:rPr>
            <w:rStyle w:val="Hyperlink"/>
          </w:rPr>
          <w:t xml:space="preserve">https://github.com/tbep-tech/chlhydro-manu</w:t>
        </w:r>
      </w:hyperlink>
      <w:r>
        <w:t xml:space="preserve">.</w:t>
      </w:r>
    </w:p>
    <w:bookmarkEnd w:id="69"/>
    <w:bookmarkStart w:id="70"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 We also thank Dr. Ray Pribble for extensive support with the loading estimates.</w:t>
      </w:r>
    </w:p>
    <w:bookmarkEnd w:id="70"/>
    <w:bookmarkStart w:id="74" w:name="statements-and-declarations"/>
    <w:p>
      <w:pPr>
        <w:pStyle w:val="Heading2"/>
      </w:pPr>
      <w:r>
        <w:t xml:space="preserve">Statements and Declarations</w:t>
      </w:r>
    </w:p>
    <w:bookmarkStart w:id="71" w:name="author-contributions"/>
    <w:p>
      <w:pPr>
        <w:pStyle w:val="Heading3"/>
      </w:pPr>
      <w:r>
        <w:t xml:space="preserve">Author Contributions</w:t>
      </w:r>
    </w:p>
    <w:p>
      <w:pPr>
        <w:pStyle w:val="FirstParagraph"/>
      </w:pPr>
      <w:r>
        <w:t xml:space="preserve">Conceptualization: all authors; Data Curation: Marcus W Beck; Methodology: Marcus W Beck, Edward T Sherwood; Formal analysis and investigation: Marcus W Beck; Writing - original draft preparation: Marcus W Beck; Writing - review and editing: all authors; Funding acquisition: Edward T Sherwood.</w:t>
      </w:r>
    </w:p>
    <w:bookmarkEnd w:id="71"/>
    <w:bookmarkStart w:id="72"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72"/>
    <w:bookmarkStart w:id="73"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73"/>
    <w:bookmarkEnd w:id="74"/>
    <w:bookmarkStart w:id="189" w:name="references"/>
    <w:p>
      <w:pPr>
        <w:pStyle w:val="Heading2"/>
      </w:pPr>
      <w:r>
        <w:t xml:space="preserve">References</w:t>
      </w:r>
    </w:p>
    <w:bookmarkStart w:id="188" w:name="refs"/>
    <w:bookmarkStart w:id="75"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75"/>
    <w:bookmarkStart w:id="77"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76">
        <w:r>
          <w:rPr>
            <w:rStyle w:val="Hyperlink"/>
          </w:rPr>
          <w:t xml:space="preserve">https://doi.org/10.1029/2004GB002229</w:t>
        </w:r>
      </w:hyperlink>
      <w:r>
        <w:t xml:space="preserve">.</w:t>
      </w:r>
    </w:p>
    <w:bookmarkEnd w:id="77"/>
    <w:bookmarkStart w:id="79"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78">
        <w:r>
          <w:rPr>
            <w:rStyle w:val="Hyperlink"/>
          </w:rPr>
          <w:t xml:space="preserve">https://doi.org/10.1016/j.scitotenv.2021.149927</w:t>
        </w:r>
      </w:hyperlink>
      <w:r>
        <w:t xml:space="preserve">.</w:t>
      </w:r>
    </w:p>
    <w:bookmarkEnd w:id="79"/>
    <w:bookmarkStart w:id="81"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80">
        <w:r>
          <w:rPr>
            <w:rStyle w:val="Hyperlink"/>
          </w:rPr>
          <w:t xml:space="preserve">https://doi.org/10.1007/s12237-024-01385-0</w:t>
        </w:r>
      </w:hyperlink>
      <w:r>
        <w:t xml:space="preserve">.</w:t>
      </w:r>
    </w:p>
    <w:bookmarkEnd w:id="81"/>
    <w:bookmarkStart w:id="83"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82">
        <w:r>
          <w:rPr>
            <w:rStyle w:val="Hyperlink"/>
          </w:rPr>
          <w:t xml:space="preserve">https://doi.org/10.1007/s10666-015-9452-8</w:t>
        </w:r>
      </w:hyperlink>
      <w:r>
        <w:t xml:space="preserve">.</w:t>
      </w:r>
    </w:p>
    <w:bookmarkEnd w:id="83"/>
    <w:bookmarkStart w:id="85"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84">
        <w:r>
          <w:rPr>
            <w:rStyle w:val="Hyperlink"/>
          </w:rPr>
          <w:t xml:space="preserve">https://doi.org/10.1111/1752-1688.12489</w:t>
        </w:r>
      </w:hyperlink>
      <w:r>
        <w:t xml:space="preserve">.</w:t>
      </w:r>
    </w:p>
    <w:bookmarkEnd w:id="85"/>
    <w:bookmarkStart w:id="87"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86">
        <w:r>
          <w:rPr>
            <w:rStyle w:val="Hyperlink"/>
          </w:rPr>
          <w:t xml:space="preserve">https://doi.org/10.13031/2013.21742</w:t>
        </w:r>
      </w:hyperlink>
      <w:r>
        <w:t xml:space="preserve">.</w:t>
      </w:r>
    </w:p>
    <w:bookmarkEnd w:id="87"/>
    <w:bookmarkStart w:id="89"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88">
        <w:r>
          <w:rPr>
            <w:rStyle w:val="Hyperlink"/>
          </w:rPr>
          <w:t xml:space="preserve">https://doi.org/10.1021/es011246m</w:t>
        </w:r>
      </w:hyperlink>
      <w:r>
        <w:t xml:space="preserve">.</w:t>
      </w:r>
    </w:p>
    <w:bookmarkEnd w:id="89"/>
    <w:bookmarkStart w:id="90"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90"/>
    <w:bookmarkStart w:id="91"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91"/>
    <w:bookmarkStart w:id="93"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92">
        <w:r>
          <w:rPr>
            <w:rStyle w:val="Hyperlink"/>
          </w:rPr>
          <w:t xml:space="preserve">https://doi.org/10.1016/j.marchem.2006.12.007</w:t>
        </w:r>
      </w:hyperlink>
      <w:r>
        <w:t xml:space="preserve">.</w:t>
      </w:r>
    </w:p>
    <w:bookmarkEnd w:id="93"/>
    <w:bookmarkStart w:id="95"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94">
        <w:r>
          <w:rPr>
            <w:rStyle w:val="Hyperlink"/>
          </w:rPr>
          <w:t xml:space="preserve">https://doi.org/10.1016/j.rse.2006.12.019</w:t>
        </w:r>
      </w:hyperlink>
      <w:r>
        <w:t xml:space="preserve">.</w:t>
      </w:r>
    </w:p>
    <w:bookmarkEnd w:id="95"/>
    <w:bookmarkStart w:id="97"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96">
        <w:r>
          <w:rPr>
            <w:rStyle w:val="Hyperlink"/>
          </w:rPr>
          <w:t xml:space="preserve">https://doi.org/10.3354/meps210223</w:t>
        </w:r>
      </w:hyperlink>
      <w:r>
        <w:t xml:space="preserve">.</w:t>
      </w:r>
    </w:p>
    <w:bookmarkEnd w:id="97"/>
    <w:bookmarkStart w:id="99"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98">
        <w:r>
          <w:rPr>
            <w:rStyle w:val="Hyperlink"/>
          </w:rPr>
          <w:t xml:space="preserve">https://doi.org/10.1007/s10750-004-7102-2</w:t>
        </w:r>
      </w:hyperlink>
      <w:r>
        <w:t xml:space="preserve">.</w:t>
      </w:r>
    </w:p>
    <w:bookmarkEnd w:id="99"/>
    <w:bookmarkStart w:id="100" w:name="ref-fox2018"/>
    <w:p>
      <w:pPr>
        <w:pStyle w:val="Bibliography"/>
      </w:pPr>
      <w:r>
        <w:t xml:space="preserve">Fox, J., and S. Weisberg. 2018.</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w:t>
      </w:r>
    </w:p>
    <w:bookmarkEnd w:id="100"/>
    <w:bookmarkStart w:id="102"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01">
        <w:r>
          <w:rPr>
            <w:rStyle w:val="Hyperlink"/>
          </w:rPr>
          <w:t xml:space="preserve">https://doi.org/10.1007/s00267-005-0079-4</w:t>
        </w:r>
      </w:hyperlink>
      <w:r>
        <w:t xml:space="preserve">.</w:t>
      </w:r>
    </w:p>
    <w:bookmarkEnd w:id="102"/>
    <w:bookmarkStart w:id="104"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03">
        <w:r>
          <w:rPr>
            <w:rStyle w:val="Hyperlink"/>
          </w:rPr>
          <w:t xml:space="preserve">https://doi.org/10.1016/j.ecss.2014.10.003</w:t>
        </w:r>
      </w:hyperlink>
      <w:r>
        <w:t xml:space="preserve">.</w:t>
      </w:r>
    </w:p>
    <w:bookmarkEnd w:id="104"/>
    <w:bookmarkStart w:id="106"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05">
        <w:r>
          <w:rPr>
            <w:rStyle w:val="Hyperlink"/>
          </w:rPr>
          <w:t xml:space="preserve">https://doi.org/10.2307/1353325</w:t>
        </w:r>
      </w:hyperlink>
      <w:r>
        <w:t xml:space="preserve">.</w:t>
      </w:r>
    </w:p>
    <w:bookmarkEnd w:id="106"/>
    <w:bookmarkStart w:id="108"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07">
        <w:r>
          <w:rPr>
            <w:rStyle w:val="Hyperlink"/>
          </w:rPr>
          <w:t xml:space="preserve">https://doi.org/10.1111/j.1752-1688.2010.00482.x</w:t>
        </w:r>
      </w:hyperlink>
      <w:r>
        <w:t xml:space="preserve">.</w:t>
      </w:r>
    </w:p>
    <w:bookmarkEnd w:id="108"/>
    <w:bookmarkStart w:id="109"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09"/>
    <w:bookmarkStart w:id="111" w:name="ref-tbep0696"/>
    <w:p>
      <w:pPr>
        <w:pStyle w:val="Bibliography"/>
      </w:pPr>
      <w:r>
        <w:t xml:space="preserve">Janicki, A. J., and D. L. Wade. 1996.</w:t>
      </w:r>
      <w:r>
        <w:t xml:space="preserve"> </w:t>
      </w:r>
      <w:hyperlink r:id="rId110">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estuary: An empirically based approach to setting management targets</w:t>
        </w:r>
      </w:hyperlink>
      <w:r>
        <w:t xml:space="preserve">. Technical report 06-96. St. Petersburg, Florida: Tampa Bay Estuary Program.</w:t>
      </w:r>
    </w:p>
    <w:bookmarkEnd w:id="111"/>
    <w:bookmarkStart w:id="113" w:name="ref-tbep0400"/>
    <w:p>
      <w:pPr>
        <w:pStyle w:val="Bibliography"/>
      </w:pPr>
      <w:r>
        <w:t xml:space="preserve">Janicki, A. J., D. L. Wade, and J. R. Pribble. 2000.</w:t>
      </w:r>
      <w:r>
        <w:t xml:space="preserve"> </w:t>
      </w:r>
      <w:hyperlink r:id="rId112">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13"/>
    <w:bookmarkStart w:id="115" w:name="ref-tbep1115"/>
    <w:p>
      <w:pPr>
        <w:pStyle w:val="Bibliography"/>
      </w:pPr>
      <w:r>
        <w:t xml:space="preserve">Janicki Environmental, Inc. 2015.</w:t>
      </w:r>
      <w:r>
        <w:t xml:space="preserve"> </w:t>
      </w:r>
      <w:hyperlink r:id="rId114">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15"/>
    <w:bookmarkStart w:id="117" w:name="ref-tbep0623"/>
    <w:p>
      <w:pPr>
        <w:pStyle w:val="Bibliography"/>
      </w:pPr>
      <w:r>
        <w:t xml:space="preserve">Janicki Environmental, Inc. 2023.</w:t>
      </w:r>
      <w:r>
        <w:t xml:space="preserve"> </w:t>
      </w:r>
      <w:hyperlink r:id="rId116">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06-23. St. Petersburg, Florida: Tampa Bay Estuary Program.</w:t>
      </w:r>
    </w:p>
    <w:bookmarkEnd w:id="117"/>
    <w:bookmarkStart w:id="119" w:name="ref-tbep0622"/>
    <w:p>
      <w:pPr>
        <w:pStyle w:val="Bibliography"/>
      </w:pPr>
      <w:r>
        <w:t xml:space="preserve">Johansson, J. O. R. 2022.</w:t>
      </w:r>
      <w:r>
        <w:t xml:space="preserve"> </w:t>
      </w:r>
      <w:hyperlink r:id="rId118">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19"/>
    <w:bookmarkStart w:id="120"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20"/>
    <w:bookmarkStart w:id="122"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21">
        <w:r>
          <w:rPr>
            <w:rStyle w:val="Hyperlink"/>
          </w:rPr>
          <w:t xml:space="preserve">https://doi.org/10.2307/1351884</w:t>
        </w:r>
      </w:hyperlink>
      <w:r>
        <w:t xml:space="preserve">.</w:t>
      </w:r>
    </w:p>
    <w:bookmarkEnd w:id="122"/>
    <w:bookmarkStart w:id="124"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23">
        <w:r>
          <w:rPr>
            <w:rStyle w:val="Hyperlink"/>
          </w:rPr>
          <w:t xml:space="preserve">https://doi.org/10.1016/j.jembe.2009.10.014</w:t>
        </w:r>
      </w:hyperlink>
      <w:r>
        <w:t xml:space="preserve">.</w:t>
      </w:r>
    </w:p>
    <w:bookmarkEnd w:id="124"/>
    <w:bookmarkStart w:id="126"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25">
        <w:r>
          <w:rPr>
            <w:rStyle w:val="Hyperlink"/>
          </w:rPr>
          <w:t xml:space="preserve">https://doi.org/10.1016/j.ecss.2012.09.017</w:t>
        </w:r>
      </w:hyperlink>
      <w:r>
        <w:t xml:space="preserve">.</w:t>
      </w:r>
    </w:p>
    <w:bookmarkEnd w:id="126"/>
    <w:bookmarkStart w:id="128"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27">
        <w:r>
          <w:rPr>
            <w:rStyle w:val="Hyperlink"/>
          </w:rPr>
          <w:t xml:space="preserve">https://doi.org/10.1016/j.dsr2.2013.12.011</w:t>
        </w:r>
      </w:hyperlink>
      <w:r>
        <w:t xml:space="preserve">.</w:t>
      </w:r>
    </w:p>
    <w:bookmarkEnd w:id="128"/>
    <w:bookmarkStart w:id="130"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29">
        <w:r>
          <w:rPr>
            <w:rStyle w:val="Hyperlink"/>
          </w:rPr>
          <w:t xml:space="preserve">https://doi.org/10.1016/j.cosust.2012.03.002</w:t>
        </w:r>
      </w:hyperlink>
      <w:r>
        <w:t xml:space="preserve">.</w:t>
      </w:r>
    </w:p>
    <w:bookmarkEnd w:id="130"/>
    <w:bookmarkStart w:id="132" w:name="ref-luther2022"/>
    <w:p>
      <w:pPr>
        <w:pStyle w:val="Bibliography"/>
      </w:pPr>
      <w:r>
        <w:t xml:space="preserve">Luther, M. E., and S. D. Meyers. 2022.</w:t>
      </w:r>
      <w:r>
        <w:t xml:space="preserve"> </w:t>
      </w:r>
      <w:hyperlink r:id="rId131">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32"/>
    <w:bookmarkStart w:id="134"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33">
        <w:r>
          <w:rPr>
            <w:rStyle w:val="Hyperlink"/>
          </w:rPr>
          <w:t xml:space="preserve">https://doi.org/10.2112/SI54-000.1</w:t>
        </w:r>
      </w:hyperlink>
      <w:r>
        <w:t xml:space="preserve">.</w:t>
      </w:r>
    </w:p>
    <w:bookmarkEnd w:id="134"/>
    <w:bookmarkStart w:id="136"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35">
        <w:r>
          <w:rPr>
            <w:rStyle w:val="Hyperlink"/>
          </w:rPr>
          <w:t xml:space="preserve">https://doi.org/10.1002/2014JC010342</w:t>
        </w:r>
      </w:hyperlink>
      <w:r>
        <w:t xml:space="preserve">.</w:t>
      </w:r>
    </w:p>
    <w:bookmarkEnd w:id="136"/>
    <w:bookmarkStart w:id="138" w:name="ref-morrison2006"/>
    <w:p>
      <w:pPr>
        <w:pStyle w:val="Bibliography"/>
      </w:pPr>
      <w:r>
        <w:t xml:space="preserve">Morrison, Gerold, E. T. Sherwood, R. Boler, and J. Barron. 2006. Variations in water clarity and chlorophylla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w:t>
      </w:r>
      <w:r>
        <w:t xml:space="preserve">2004.</w:t>
      </w:r>
      <w:r>
        <w:t xml:space="preserve"> </w:t>
      </w:r>
      <w:r>
        <w:rPr>
          <w:i/>
          <w:iCs/>
        </w:rPr>
        <w:t xml:space="preserve">Estuaries and Coasts</w:t>
      </w:r>
      <w:r>
        <w:t xml:space="preserve"> </w:t>
      </w:r>
      <w:r>
        <w:t xml:space="preserve">29: 926–931.</w:t>
      </w:r>
      <w:r>
        <w:t xml:space="preserve"> </w:t>
      </w:r>
      <w:hyperlink r:id="rId137">
        <w:r>
          <w:rPr>
            <w:rStyle w:val="Hyperlink"/>
          </w:rPr>
          <w:t xml:space="preserve">https://doi.org/10.1007/bf02798652</w:t>
        </w:r>
      </w:hyperlink>
      <w:r>
        <w:t xml:space="preserve">.</w:t>
      </w:r>
    </w:p>
    <w:bookmarkEnd w:id="138"/>
    <w:bookmarkStart w:id="139"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39"/>
    <w:bookmarkStart w:id="141"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40">
        <w:r>
          <w:rPr>
            <w:rStyle w:val="Hyperlink"/>
          </w:rPr>
          <w:t xml:space="preserve">https://doi.org/10.1007/s00267-010-9531-1</w:t>
        </w:r>
      </w:hyperlink>
      <w:r>
        <w:t xml:space="preserve">.</w:t>
      </w:r>
    </w:p>
    <w:bookmarkEnd w:id="141"/>
    <w:bookmarkStart w:id="143"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42">
        <w:r>
          <w:rPr>
            <w:rStyle w:val="Hyperlink"/>
          </w:rPr>
          <w:t xml:space="preserve">https://doi.org/10.1021/acs.est.1c05388</w:t>
        </w:r>
      </w:hyperlink>
      <w:r>
        <w:t xml:space="preserve">.</w:t>
      </w:r>
    </w:p>
    <w:bookmarkEnd w:id="143"/>
    <w:bookmarkStart w:id="145"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44">
        <w:r>
          <w:rPr>
            <w:rStyle w:val="Hyperlink"/>
          </w:rPr>
          <w:t xml:space="preserve">https://doi.org/10.1016/j.envsoft.2019.03.027</w:t>
        </w:r>
      </w:hyperlink>
      <w:r>
        <w:t xml:space="preserve">.</w:t>
      </w:r>
    </w:p>
    <w:bookmarkEnd w:id="145"/>
    <w:bookmarkStart w:id="147"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46">
        <w:r>
          <w:rPr>
            <w:rStyle w:val="Hyperlink"/>
          </w:rPr>
          <w:t xml:space="preserve">https://doi.org/10.1080/00785236.1995.10422044</w:t>
        </w:r>
      </w:hyperlink>
      <w:r>
        <w:t xml:space="preserve">.</w:t>
      </w:r>
    </w:p>
    <w:bookmarkEnd w:id="147"/>
    <w:bookmarkStart w:id="149"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48">
        <w:r>
          <w:rPr>
            <w:rStyle w:val="Hyperlink"/>
          </w:rPr>
          <w:t xml:space="preserve">https://doi.org/10.1007/s00267-004-0034-9</w:t>
        </w:r>
      </w:hyperlink>
      <w:r>
        <w:t xml:space="preserve">.</w:t>
      </w:r>
    </w:p>
    <w:bookmarkEnd w:id="149"/>
    <w:bookmarkStart w:id="150"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50"/>
    <w:bookmarkStart w:id="152"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51">
        <w:r>
          <w:rPr>
            <w:rStyle w:val="Hyperlink"/>
          </w:rPr>
          <w:t xml:space="preserve">https://doi.org/10.1016/j.rsma.2015.11.007</w:t>
        </w:r>
      </w:hyperlink>
      <w:r>
        <w:t xml:space="preserve">.</w:t>
      </w:r>
    </w:p>
    <w:bookmarkEnd w:id="152"/>
    <w:bookmarkStart w:id="154"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53">
        <w:r>
          <w:rPr>
            <w:rStyle w:val="Hyperlink"/>
          </w:rPr>
          <w:t xml:space="preserve">https://doi.org/10.7717/peerj.16073</w:t>
        </w:r>
      </w:hyperlink>
      <w:r>
        <w:t xml:space="preserve">.</w:t>
      </w:r>
    </w:p>
    <w:bookmarkEnd w:id="154"/>
    <w:bookmarkStart w:id="156" w:name="ref-sherwood2015"/>
    <w:p>
      <w:pPr>
        <w:pStyle w:val="Bibliography"/>
      </w:pPr>
      <w:r>
        <w:t xml:space="preserve">Sherwood, E. T., H. S. Greening, L. Garcia, K. Kaufman, A. J. Janicki, R. Pribble, B. Cunningham, et al. 2015.</w:t>
      </w:r>
      <w:r>
        <w:t xml:space="preserve"> </w:t>
      </w:r>
      <w:hyperlink r:id="rId155">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56"/>
    <w:bookmarkStart w:id="158"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57">
        <w:r>
          <w:rPr>
            <w:rStyle w:val="Hyperlink"/>
          </w:rPr>
          <w:t xml:space="preserve">https://doi.org/10.1016/j.rsma.2015.05.005</w:t>
        </w:r>
      </w:hyperlink>
      <w:r>
        <w:t xml:space="preserve">.</w:t>
      </w:r>
    </w:p>
    <w:bookmarkEnd w:id="158"/>
    <w:bookmarkStart w:id="160"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59">
        <w:r>
          <w:rPr>
            <w:rStyle w:val="Hyperlink"/>
          </w:rPr>
          <w:t xml:space="preserve">https://doi.org/10.1353/sgo.2017.0026</w:t>
        </w:r>
      </w:hyperlink>
      <w:r>
        <w:t xml:space="preserve">.</w:t>
      </w:r>
    </w:p>
    <w:bookmarkEnd w:id="160"/>
    <w:bookmarkStart w:id="162"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61">
        <w:r>
          <w:rPr>
            <w:rStyle w:val="Hyperlink"/>
          </w:rPr>
          <w:t xml:space="preserve">https://doi.org/10.32614/CRAN.package.gratia</w:t>
        </w:r>
      </w:hyperlink>
      <w:r>
        <w:t xml:space="preserve">.</w:t>
      </w:r>
    </w:p>
    <w:bookmarkEnd w:id="162"/>
    <w:bookmarkStart w:id="164"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63">
        <w:r>
          <w:rPr>
            <w:rStyle w:val="Hyperlink"/>
          </w:rPr>
          <w:t xml:space="preserve">https://doi.org/10.2307/1352982</w:t>
        </w:r>
      </w:hyperlink>
      <w:r>
        <w:t xml:space="preserve">.</w:t>
      </w:r>
    </w:p>
    <w:bookmarkEnd w:id="164"/>
    <w:bookmarkStart w:id="166" w:name="ref-SWFWMD25"/>
    <w:p>
      <w:pPr>
        <w:pStyle w:val="Bibliography"/>
      </w:pPr>
      <w:r>
        <w:t xml:space="preserve">Southwest Florida Water Management District. 2025.</w:t>
      </w:r>
      <w:r>
        <w:t xml:space="preserve"> </w:t>
      </w:r>
      <w:hyperlink r:id="rId165">
        <w:r>
          <w:rPr>
            <w:rStyle w:val="Hyperlink"/>
          </w:rPr>
          <w:t xml:space="preserve">2023 land use land cover shapefile for SWFWMD</w:t>
        </w:r>
      </w:hyperlink>
      <w:r>
        <w:t xml:space="preserve">.</w:t>
      </w:r>
    </w:p>
    <w:bookmarkEnd w:id="166"/>
    <w:bookmarkStart w:id="168"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67">
        <w:r>
          <w:rPr>
            <w:rStyle w:val="Hyperlink"/>
          </w:rPr>
          <w:t xml:space="preserve">https://doi.org/10.1016/j.scitotenv.2011.09.088</w:t>
        </w:r>
      </w:hyperlink>
      <w:r>
        <w:t xml:space="preserve">.</w:t>
      </w:r>
    </w:p>
    <w:bookmarkEnd w:id="168"/>
    <w:bookmarkStart w:id="170" w:name="ref-tbep0310"/>
    <w:p>
      <w:pPr>
        <w:pStyle w:val="Bibliography"/>
      </w:pPr>
      <w:r>
        <w:t xml:space="preserve">Tampa Bay Nitrogen Management Consortium. 2010.</w:t>
      </w:r>
      <w:r>
        <w:t xml:space="preserve"> </w:t>
      </w:r>
      <w:hyperlink r:id="rId169">
        <w:r>
          <w:rPr>
            <w:rStyle w:val="Hyperlink"/>
            <w:i/>
            <w:iCs/>
          </w:rPr>
          <w:t xml:space="preserve">2009 reasonable assurance addendum: Allocation and assessment report</w:t>
        </w:r>
      </w:hyperlink>
      <w:r>
        <w:t xml:space="preserve">. Technical report 03-10. St. Petersburg, Florida: Tampa Bay Estuary Program.</w:t>
      </w:r>
    </w:p>
    <w:bookmarkEnd w:id="170"/>
    <w:bookmarkStart w:id="172"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71">
        <w:r>
          <w:rPr>
            <w:rStyle w:val="Hyperlink"/>
          </w:rPr>
          <w:t xml:space="preserve">https://doi.org/10.1111/1752-1688.70070</w:t>
        </w:r>
      </w:hyperlink>
      <w:r>
        <w:t xml:space="preserve">.</w:t>
      </w:r>
    </w:p>
    <w:bookmarkEnd w:id="172"/>
    <w:bookmarkStart w:id="174"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73">
        <w:r>
          <w:rPr>
            <w:rStyle w:val="Hyperlink"/>
          </w:rPr>
          <w:t xml:space="preserve">https://doi.org/10.1007/978-0-387-21706-2</w:t>
        </w:r>
      </w:hyperlink>
      <w:r>
        <w:t xml:space="preserve">.</w:t>
      </w:r>
    </w:p>
    <w:bookmarkEnd w:id="174"/>
    <w:bookmarkStart w:id="176"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75">
        <w:r>
          <w:rPr>
            <w:rStyle w:val="Hyperlink"/>
          </w:rPr>
          <w:t xml:space="preserve">https://doi.org/10.1016/j.jhydrol.2025.134851</w:t>
        </w:r>
      </w:hyperlink>
      <w:r>
        <w:t xml:space="preserve">.</w:t>
      </w:r>
    </w:p>
    <w:bookmarkEnd w:id="176"/>
    <w:bookmarkStart w:id="178"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77">
        <w:r>
          <w:rPr>
            <w:rStyle w:val="Hyperlink"/>
          </w:rPr>
          <w:t xml:space="preserve">https://doi.org/10.1006/ecss.1999.0490</w:t>
        </w:r>
      </w:hyperlink>
      <w:r>
        <w:t xml:space="preserve">.</w:t>
      </w:r>
    </w:p>
    <w:bookmarkEnd w:id="178"/>
    <w:bookmarkStart w:id="180"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79">
        <w:r>
          <w:rPr>
            <w:rStyle w:val="Hyperlink"/>
          </w:rPr>
          <w:t xml:space="preserve">https://doi.org/10.1111/j.1467-9868.2010.00749.x</w:t>
        </w:r>
      </w:hyperlink>
      <w:r>
        <w:t xml:space="preserve">.</w:t>
      </w:r>
    </w:p>
    <w:bookmarkEnd w:id="180"/>
    <w:bookmarkStart w:id="181"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81"/>
    <w:bookmarkStart w:id="183"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182">
        <w:r>
          <w:rPr>
            <w:rStyle w:val="Hyperlink"/>
          </w:rPr>
          <w:t xml:space="preserve">https://doi.org/10.1061/(ASCE)0733-9496(2003)129:4(295)</w:t>
        </w:r>
      </w:hyperlink>
      <w:r>
        <w:t xml:space="preserve">.</w:t>
      </w:r>
    </w:p>
    <w:bookmarkEnd w:id="183"/>
    <w:bookmarkStart w:id="185" w:name="ref-tbep0511"/>
    <w:p>
      <w:pPr>
        <w:pStyle w:val="Bibliography"/>
      </w:pPr>
      <w:r>
        <w:t xml:space="preserve">Yates, K., H. Greening, and G. Morrison. 2011.</w:t>
      </w:r>
      <w:r>
        <w:t xml:space="preserve"> </w:t>
      </w:r>
      <w:hyperlink r:id="rId184">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185"/>
    <w:bookmarkStart w:id="187" w:name="ref-tbep0494"/>
    <w:p>
      <w:pPr>
        <w:pStyle w:val="Bibliography"/>
      </w:pPr>
      <w:r>
        <w:t xml:space="preserve">Zarbock, H. W., A. J. Janicki, D. L. Wade, and D. G. Heimbuch. 1994.</w:t>
      </w:r>
      <w:r>
        <w:t xml:space="preserve"> </w:t>
      </w:r>
      <w:hyperlink r:id="rId186">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87"/>
    <w:bookmarkEnd w:id="188"/>
    <w:bookmarkEnd w:id="189"/>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hyperlink" Id="rId184" Target="http://pubs.usgs.gov/circ/1348/" TargetMode="External" /><Relationship Type="http://schemas.openxmlformats.org/officeDocument/2006/relationships/hyperlink" Id="rId135" Target="https://doi.org/10.1002/2014JC010342" TargetMode="External" /><Relationship Type="http://schemas.openxmlformats.org/officeDocument/2006/relationships/hyperlink" Id="rId177" Target="https://doi.org/10.1006/ecss.1999.0490" TargetMode="External" /><Relationship Type="http://schemas.openxmlformats.org/officeDocument/2006/relationships/hyperlink" Id="rId173" Target="https://doi.org/10.1007/978-0-387-21706-2" TargetMode="External" /><Relationship Type="http://schemas.openxmlformats.org/officeDocument/2006/relationships/hyperlink" Id="rId137" Target="https://doi.org/10.1007/bf02798652" TargetMode="External" /><Relationship Type="http://schemas.openxmlformats.org/officeDocument/2006/relationships/hyperlink" Id="rId148" Target="https://doi.org/10.1007/s00267-004-0034-9" TargetMode="External" /><Relationship Type="http://schemas.openxmlformats.org/officeDocument/2006/relationships/hyperlink" Id="rId101" Target="https://doi.org/10.1007/s00267-005-0079-4" TargetMode="External" /><Relationship Type="http://schemas.openxmlformats.org/officeDocument/2006/relationships/hyperlink" Id="rId140" Target="https://doi.org/10.1007/s00267-010-9531-1" TargetMode="External" /><Relationship Type="http://schemas.openxmlformats.org/officeDocument/2006/relationships/hyperlink" Id="rId82" Target="https://doi.org/10.1007/s10666-015-9452-8" TargetMode="External" /><Relationship Type="http://schemas.openxmlformats.org/officeDocument/2006/relationships/hyperlink" Id="rId98" Target="https://doi.org/10.1007/s10750-004-7102-2" TargetMode="External" /><Relationship Type="http://schemas.openxmlformats.org/officeDocument/2006/relationships/hyperlink" Id="rId80" Target="https://doi.org/10.1007/s12237-024-01385-0" TargetMode="External" /><Relationship Type="http://schemas.openxmlformats.org/officeDocument/2006/relationships/hyperlink" Id="rId129" Target="https://doi.org/10.1016/j.cosust.2012.03.002" TargetMode="External" /><Relationship Type="http://schemas.openxmlformats.org/officeDocument/2006/relationships/hyperlink" Id="rId127" Target="https://doi.org/10.1016/j.dsr2.2013.12.011" TargetMode="External" /><Relationship Type="http://schemas.openxmlformats.org/officeDocument/2006/relationships/hyperlink" Id="rId125" Target="https://doi.org/10.1016/j.ecss.2012.09.017" TargetMode="External" /><Relationship Type="http://schemas.openxmlformats.org/officeDocument/2006/relationships/hyperlink" Id="rId103" Target="https://doi.org/10.1016/j.ecss.2014.10.003" TargetMode="External" /><Relationship Type="http://schemas.openxmlformats.org/officeDocument/2006/relationships/hyperlink" Id="rId144" Target="https://doi.org/10.1016/j.envsoft.2019.03.027" TargetMode="External" /><Relationship Type="http://schemas.openxmlformats.org/officeDocument/2006/relationships/hyperlink" Id="rId123" Target="https://doi.org/10.1016/j.jembe.2009.10.014" TargetMode="External" /><Relationship Type="http://schemas.openxmlformats.org/officeDocument/2006/relationships/hyperlink" Id="rId175" Target="https://doi.org/10.1016/j.jhydrol.2025.134851" TargetMode="External" /><Relationship Type="http://schemas.openxmlformats.org/officeDocument/2006/relationships/hyperlink" Id="rId92" Target="https://doi.org/10.1016/j.marchem.2006.12.007" TargetMode="External" /><Relationship Type="http://schemas.openxmlformats.org/officeDocument/2006/relationships/hyperlink" Id="rId94" Target="https://doi.org/10.1016/j.rse.2006.12.019" TargetMode="External" /><Relationship Type="http://schemas.openxmlformats.org/officeDocument/2006/relationships/hyperlink" Id="rId157" Target="https://doi.org/10.1016/j.rsma.2015.05.005" TargetMode="External" /><Relationship Type="http://schemas.openxmlformats.org/officeDocument/2006/relationships/hyperlink" Id="rId151" Target="https://doi.org/10.1016/j.rsma.2015.11.007" TargetMode="External" /><Relationship Type="http://schemas.openxmlformats.org/officeDocument/2006/relationships/hyperlink" Id="rId167" Target="https://doi.org/10.1016/j.scitotenv.2011.09.088" TargetMode="External" /><Relationship Type="http://schemas.openxmlformats.org/officeDocument/2006/relationships/hyperlink" Id="rId78" Target="https://doi.org/10.1016/j.scitotenv.2021.149927" TargetMode="External" /><Relationship Type="http://schemas.openxmlformats.org/officeDocument/2006/relationships/hyperlink" Id="rId142" Target="https://doi.org/10.1021/acs.est.1c05388" TargetMode="External" /><Relationship Type="http://schemas.openxmlformats.org/officeDocument/2006/relationships/hyperlink" Id="rId88" Target="https://doi.org/10.1021/es011246m" TargetMode="External" /><Relationship Type="http://schemas.openxmlformats.org/officeDocument/2006/relationships/hyperlink" Id="rId76" Target="https://doi.org/10.1029/2004GB002229" TargetMode="External" /><Relationship Type="http://schemas.openxmlformats.org/officeDocument/2006/relationships/hyperlink" Id="rId182" Target="https://doi.org/10.1061/(ASCE)0733-9496(2003)129:4(295)" TargetMode="External" /><Relationship Type="http://schemas.openxmlformats.org/officeDocument/2006/relationships/hyperlink" Id="rId146" Target="https://doi.org/10.1080/00785236.1995.10422044" TargetMode="External" /><Relationship Type="http://schemas.openxmlformats.org/officeDocument/2006/relationships/hyperlink" Id="rId84" Target="https://doi.org/10.1111/1752-1688.12489" TargetMode="External" /><Relationship Type="http://schemas.openxmlformats.org/officeDocument/2006/relationships/hyperlink" Id="rId171" Target="https://doi.org/10.1111/1752-1688.70070" TargetMode="External" /><Relationship Type="http://schemas.openxmlformats.org/officeDocument/2006/relationships/hyperlink" Id="rId179" Target="https://doi.org/10.1111/j.1467-9868.2010.00749.x" TargetMode="External" /><Relationship Type="http://schemas.openxmlformats.org/officeDocument/2006/relationships/hyperlink" Id="rId107" Target="https://doi.org/10.1111/j.1752-1688.2010.00482.x" TargetMode="External" /><Relationship Type="http://schemas.openxmlformats.org/officeDocument/2006/relationships/hyperlink" Id="rId86" Target="https://doi.org/10.13031/2013.21742" TargetMode="External" /><Relationship Type="http://schemas.openxmlformats.org/officeDocument/2006/relationships/hyperlink" Id="rId159" Target="https://doi.org/10.1353/sgo.2017.0026" TargetMode="External" /><Relationship Type="http://schemas.openxmlformats.org/officeDocument/2006/relationships/hyperlink" Id="rId133" Target="https://doi.org/10.2112/SI54-000.1" TargetMode="External" /><Relationship Type="http://schemas.openxmlformats.org/officeDocument/2006/relationships/hyperlink" Id="rId121" Target="https://doi.org/10.2307/1351884" TargetMode="External" /><Relationship Type="http://schemas.openxmlformats.org/officeDocument/2006/relationships/hyperlink" Id="rId163" Target="https://doi.org/10.2307/1352982" TargetMode="External" /><Relationship Type="http://schemas.openxmlformats.org/officeDocument/2006/relationships/hyperlink" Id="rId105" Target="https://doi.org/10.2307/1353325" TargetMode="External" /><Relationship Type="http://schemas.openxmlformats.org/officeDocument/2006/relationships/hyperlink" Id="rId161" Target="https://doi.org/10.32614/CRAN.package.gratia" TargetMode="External" /><Relationship Type="http://schemas.openxmlformats.org/officeDocument/2006/relationships/hyperlink" Id="rId96" Target="https://doi.org/10.3354/meps210223" TargetMode="External" /><Relationship Type="http://schemas.openxmlformats.org/officeDocument/2006/relationships/hyperlink" Id="rId153" Target="https://doi.org/10.7717/peerj.16073" TargetMode="External" /><Relationship Type="http://schemas.openxmlformats.org/officeDocument/2006/relationships/hyperlink" Id="rId114" Target="https://drive.google.com/drive/folders/1-vIRAsuZQmQEXZk-0FwqsjhSex0GDu7-?usp=sharing" TargetMode="External" /><Relationship Type="http://schemas.openxmlformats.org/officeDocument/2006/relationships/hyperlink" Id="rId131" Target="https://drive.google.com/file/d/1-1Jq9vly5EvVwEp698brlBucXjSMDbNn/view?usp=sharing" TargetMode="External" /><Relationship Type="http://schemas.openxmlformats.org/officeDocument/2006/relationships/hyperlink" Id="rId169" Target="https://drive.google.com/file/d/10IjJAfcGFf007a5VdPXAUtUi4dx-cmsA/view?usp=drivesdk" TargetMode="External" /><Relationship Type="http://schemas.openxmlformats.org/officeDocument/2006/relationships/hyperlink" Id="rId155" Target="https://drive.google.com/file/d/1BCviGfLykVX-p1tA3b0306deP3pKMagr/view?usp=drivesdk" TargetMode="External" /><Relationship Type="http://schemas.openxmlformats.org/officeDocument/2006/relationships/hyperlink" Id="rId116" Target="https://drive.google.com/file/d/1KARuSC5fGx05MuT1wiOQFWNXysBokkQl/view?usp=share_link" TargetMode="External" /><Relationship Type="http://schemas.openxmlformats.org/officeDocument/2006/relationships/hyperlink" Id="rId112" Target="https://drive.google.com/file/d/1XMULU8w4syWcSv_ciOUOhnC_G4xt6GIF/view?usp=drivesdk" TargetMode="External" /><Relationship Type="http://schemas.openxmlformats.org/officeDocument/2006/relationships/hyperlink" Id="rId110" Target="https://drive.google.com/file/d/1kZkvuprvsMyN9nPS5PHYvXHyo1KQxKTr/view?usp=drivesdk" TargetMode="External" /><Relationship Type="http://schemas.openxmlformats.org/officeDocument/2006/relationships/hyperlink" Id="rId118" Target="https://drive.google.com/file/d/1qaM852mkVkRyjwU8yZjlmZqMy1ROpcZi/view?usp=sharing" TargetMode="External" /><Relationship Type="http://schemas.openxmlformats.org/officeDocument/2006/relationships/hyperlink" Id="rId186" Target="https://drive.google.com/file/d/1vNl3kvRmxQ7VW-2VYbykB__e_ESGSoVz/view?usp=drivesdk" TargetMode="External" /><Relationship Type="http://schemas.openxmlformats.org/officeDocument/2006/relationships/hyperlink" Id="rId68" Target="https://github.com/tbep-tech/chlhydro-manu" TargetMode="External" /><Relationship Type="http://schemas.openxmlformats.org/officeDocument/2006/relationships/hyperlink" Id="rId165"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84" Target="http://pubs.usgs.gov/circ/1348/" TargetMode="External" /><Relationship Type="http://schemas.openxmlformats.org/officeDocument/2006/relationships/hyperlink" Id="rId135" Target="https://doi.org/10.1002/2014JC010342" TargetMode="External" /><Relationship Type="http://schemas.openxmlformats.org/officeDocument/2006/relationships/hyperlink" Id="rId177" Target="https://doi.org/10.1006/ecss.1999.0490" TargetMode="External" /><Relationship Type="http://schemas.openxmlformats.org/officeDocument/2006/relationships/hyperlink" Id="rId173" Target="https://doi.org/10.1007/978-0-387-21706-2" TargetMode="External" /><Relationship Type="http://schemas.openxmlformats.org/officeDocument/2006/relationships/hyperlink" Id="rId137" Target="https://doi.org/10.1007/bf02798652" TargetMode="External" /><Relationship Type="http://schemas.openxmlformats.org/officeDocument/2006/relationships/hyperlink" Id="rId148" Target="https://doi.org/10.1007/s00267-004-0034-9" TargetMode="External" /><Relationship Type="http://schemas.openxmlformats.org/officeDocument/2006/relationships/hyperlink" Id="rId101" Target="https://doi.org/10.1007/s00267-005-0079-4" TargetMode="External" /><Relationship Type="http://schemas.openxmlformats.org/officeDocument/2006/relationships/hyperlink" Id="rId140" Target="https://doi.org/10.1007/s00267-010-9531-1" TargetMode="External" /><Relationship Type="http://schemas.openxmlformats.org/officeDocument/2006/relationships/hyperlink" Id="rId82" Target="https://doi.org/10.1007/s10666-015-9452-8" TargetMode="External" /><Relationship Type="http://schemas.openxmlformats.org/officeDocument/2006/relationships/hyperlink" Id="rId98" Target="https://doi.org/10.1007/s10750-004-7102-2" TargetMode="External" /><Relationship Type="http://schemas.openxmlformats.org/officeDocument/2006/relationships/hyperlink" Id="rId80" Target="https://doi.org/10.1007/s12237-024-01385-0" TargetMode="External" /><Relationship Type="http://schemas.openxmlformats.org/officeDocument/2006/relationships/hyperlink" Id="rId129" Target="https://doi.org/10.1016/j.cosust.2012.03.002" TargetMode="External" /><Relationship Type="http://schemas.openxmlformats.org/officeDocument/2006/relationships/hyperlink" Id="rId127" Target="https://doi.org/10.1016/j.dsr2.2013.12.011" TargetMode="External" /><Relationship Type="http://schemas.openxmlformats.org/officeDocument/2006/relationships/hyperlink" Id="rId125" Target="https://doi.org/10.1016/j.ecss.2012.09.017" TargetMode="External" /><Relationship Type="http://schemas.openxmlformats.org/officeDocument/2006/relationships/hyperlink" Id="rId103" Target="https://doi.org/10.1016/j.ecss.2014.10.003" TargetMode="External" /><Relationship Type="http://schemas.openxmlformats.org/officeDocument/2006/relationships/hyperlink" Id="rId144" Target="https://doi.org/10.1016/j.envsoft.2019.03.027" TargetMode="External" /><Relationship Type="http://schemas.openxmlformats.org/officeDocument/2006/relationships/hyperlink" Id="rId123" Target="https://doi.org/10.1016/j.jembe.2009.10.014" TargetMode="External" /><Relationship Type="http://schemas.openxmlformats.org/officeDocument/2006/relationships/hyperlink" Id="rId175" Target="https://doi.org/10.1016/j.jhydrol.2025.134851" TargetMode="External" /><Relationship Type="http://schemas.openxmlformats.org/officeDocument/2006/relationships/hyperlink" Id="rId92" Target="https://doi.org/10.1016/j.marchem.2006.12.007" TargetMode="External" /><Relationship Type="http://schemas.openxmlformats.org/officeDocument/2006/relationships/hyperlink" Id="rId94" Target="https://doi.org/10.1016/j.rse.2006.12.019" TargetMode="External" /><Relationship Type="http://schemas.openxmlformats.org/officeDocument/2006/relationships/hyperlink" Id="rId157" Target="https://doi.org/10.1016/j.rsma.2015.05.005" TargetMode="External" /><Relationship Type="http://schemas.openxmlformats.org/officeDocument/2006/relationships/hyperlink" Id="rId151" Target="https://doi.org/10.1016/j.rsma.2015.11.007" TargetMode="External" /><Relationship Type="http://schemas.openxmlformats.org/officeDocument/2006/relationships/hyperlink" Id="rId167" Target="https://doi.org/10.1016/j.scitotenv.2011.09.088" TargetMode="External" /><Relationship Type="http://schemas.openxmlformats.org/officeDocument/2006/relationships/hyperlink" Id="rId78" Target="https://doi.org/10.1016/j.scitotenv.2021.149927" TargetMode="External" /><Relationship Type="http://schemas.openxmlformats.org/officeDocument/2006/relationships/hyperlink" Id="rId142" Target="https://doi.org/10.1021/acs.est.1c05388" TargetMode="External" /><Relationship Type="http://schemas.openxmlformats.org/officeDocument/2006/relationships/hyperlink" Id="rId88" Target="https://doi.org/10.1021/es011246m" TargetMode="External" /><Relationship Type="http://schemas.openxmlformats.org/officeDocument/2006/relationships/hyperlink" Id="rId76" Target="https://doi.org/10.1029/2004GB002229" TargetMode="External" /><Relationship Type="http://schemas.openxmlformats.org/officeDocument/2006/relationships/hyperlink" Id="rId182" Target="https://doi.org/10.1061/(ASCE)0733-9496(2003)129:4(295)" TargetMode="External" /><Relationship Type="http://schemas.openxmlformats.org/officeDocument/2006/relationships/hyperlink" Id="rId146" Target="https://doi.org/10.1080/00785236.1995.10422044" TargetMode="External" /><Relationship Type="http://schemas.openxmlformats.org/officeDocument/2006/relationships/hyperlink" Id="rId84" Target="https://doi.org/10.1111/1752-1688.12489" TargetMode="External" /><Relationship Type="http://schemas.openxmlformats.org/officeDocument/2006/relationships/hyperlink" Id="rId171" Target="https://doi.org/10.1111/1752-1688.70070" TargetMode="External" /><Relationship Type="http://schemas.openxmlformats.org/officeDocument/2006/relationships/hyperlink" Id="rId179" Target="https://doi.org/10.1111/j.1467-9868.2010.00749.x" TargetMode="External" /><Relationship Type="http://schemas.openxmlformats.org/officeDocument/2006/relationships/hyperlink" Id="rId107" Target="https://doi.org/10.1111/j.1752-1688.2010.00482.x" TargetMode="External" /><Relationship Type="http://schemas.openxmlformats.org/officeDocument/2006/relationships/hyperlink" Id="rId86" Target="https://doi.org/10.13031/2013.21742" TargetMode="External" /><Relationship Type="http://schemas.openxmlformats.org/officeDocument/2006/relationships/hyperlink" Id="rId159" Target="https://doi.org/10.1353/sgo.2017.0026" TargetMode="External" /><Relationship Type="http://schemas.openxmlformats.org/officeDocument/2006/relationships/hyperlink" Id="rId133" Target="https://doi.org/10.2112/SI54-000.1" TargetMode="External" /><Relationship Type="http://schemas.openxmlformats.org/officeDocument/2006/relationships/hyperlink" Id="rId121" Target="https://doi.org/10.2307/1351884" TargetMode="External" /><Relationship Type="http://schemas.openxmlformats.org/officeDocument/2006/relationships/hyperlink" Id="rId163" Target="https://doi.org/10.2307/1352982" TargetMode="External" /><Relationship Type="http://schemas.openxmlformats.org/officeDocument/2006/relationships/hyperlink" Id="rId105" Target="https://doi.org/10.2307/1353325" TargetMode="External" /><Relationship Type="http://schemas.openxmlformats.org/officeDocument/2006/relationships/hyperlink" Id="rId161" Target="https://doi.org/10.32614/CRAN.package.gratia" TargetMode="External" /><Relationship Type="http://schemas.openxmlformats.org/officeDocument/2006/relationships/hyperlink" Id="rId96" Target="https://doi.org/10.3354/meps210223" TargetMode="External" /><Relationship Type="http://schemas.openxmlformats.org/officeDocument/2006/relationships/hyperlink" Id="rId153" Target="https://doi.org/10.7717/peerj.16073" TargetMode="External" /><Relationship Type="http://schemas.openxmlformats.org/officeDocument/2006/relationships/hyperlink" Id="rId114" Target="https://drive.google.com/drive/folders/1-vIRAsuZQmQEXZk-0FwqsjhSex0GDu7-?usp=sharing" TargetMode="External" /><Relationship Type="http://schemas.openxmlformats.org/officeDocument/2006/relationships/hyperlink" Id="rId131" Target="https://drive.google.com/file/d/1-1Jq9vly5EvVwEp698brlBucXjSMDbNn/view?usp=sharing" TargetMode="External" /><Relationship Type="http://schemas.openxmlformats.org/officeDocument/2006/relationships/hyperlink" Id="rId169" Target="https://drive.google.com/file/d/10IjJAfcGFf007a5VdPXAUtUi4dx-cmsA/view?usp=drivesdk" TargetMode="External" /><Relationship Type="http://schemas.openxmlformats.org/officeDocument/2006/relationships/hyperlink" Id="rId155" Target="https://drive.google.com/file/d/1BCviGfLykVX-p1tA3b0306deP3pKMagr/view?usp=drivesdk" TargetMode="External" /><Relationship Type="http://schemas.openxmlformats.org/officeDocument/2006/relationships/hyperlink" Id="rId116" Target="https://drive.google.com/file/d/1KARuSC5fGx05MuT1wiOQFWNXysBokkQl/view?usp=share_link" TargetMode="External" /><Relationship Type="http://schemas.openxmlformats.org/officeDocument/2006/relationships/hyperlink" Id="rId112" Target="https://drive.google.com/file/d/1XMULU8w4syWcSv_ciOUOhnC_G4xt6GIF/view?usp=drivesdk" TargetMode="External" /><Relationship Type="http://schemas.openxmlformats.org/officeDocument/2006/relationships/hyperlink" Id="rId110" Target="https://drive.google.com/file/d/1kZkvuprvsMyN9nPS5PHYvXHyo1KQxKTr/view?usp=drivesdk" TargetMode="External" /><Relationship Type="http://schemas.openxmlformats.org/officeDocument/2006/relationships/hyperlink" Id="rId118" Target="https://drive.google.com/file/d/1qaM852mkVkRyjwU8yZjlmZqMy1ROpcZi/view?usp=sharing" TargetMode="External" /><Relationship Type="http://schemas.openxmlformats.org/officeDocument/2006/relationships/hyperlink" Id="rId186" Target="https://drive.google.com/file/d/1vNl3kvRmxQ7VW-2VYbykB__e_ESGSoVz/view?usp=drivesdk" TargetMode="External" /><Relationship Type="http://schemas.openxmlformats.org/officeDocument/2006/relationships/hyperlink" Id="rId68" Target="https://github.com/tbep-tech/chlhydro-manu" TargetMode="External" /><Relationship Type="http://schemas.openxmlformats.org/officeDocument/2006/relationships/hyperlink" Id="rId165"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Rebecca Murphy2, Kerry Flaherty-Walia1, Qian Zhang2, Blake A Simmons1, Maya C Burke1, and Edward T Sherwood1</dc:creator>
  <cp:keywords/>
  <dcterms:created xsi:type="dcterms:W3CDTF">2026-02-25T16:36:23Z</dcterms:created>
  <dcterms:modified xsi:type="dcterms:W3CDTF">2026-02-25T16:36:23Z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