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inroduction"/>
    <w:p>
      <w:pPr>
        <w:pStyle w:val="Heading2"/>
      </w:pPr>
      <w:r>
        <w:t xml:space="preserve">1 Inroduction</w:t>
      </w:r>
    </w:p>
    <w:p>
      <w:pPr>
        <w:pStyle w:val="FirstParagraph"/>
      </w:pPr>
      <w:r>
        <w:t xml:space="preserve">(Testa et al. 2025)</w:t>
      </w:r>
    </w:p>
    <w:p>
      <w:pPr>
        <w:pStyle w:val="BodyText"/>
      </w:pPr>
      <w:r>
        <w:t xml:space="preserve">Nitrogen loads in Tampa Bay have been reduced substantially since the 1970s due to concerted efforts to quantify and manage external nutrient inputs.</w:t>
      </w:r>
    </w:p>
    <w:p>
      <w:pPr>
        <w:pStyle w:val="BodyText"/>
      </w:pPr>
      <w:r>
        <w:t xml:space="preserve">WRTDS vs GAMs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that focus on controlling external nutrient loading.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 trends for informing the management of water quality under past and contemporary conditions, with a generalized framework that could be applied in other locations with long-term data.</w:t>
      </w:r>
    </w:p>
    <w:bookmarkEnd w:id="21"/>
    <w:bookmarkStart w:id="26" w:name="methods"/>
    <w:p>
      <w:pPr>
        <w:pStyle w:val="Heading2"/>
      </w:pPr>
      <w:r>
        <w:t xml:space="preserve">2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bay is divided into four major segments defined by physical and natural boundaries, with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conditions, wind, and spatial scale. In general, baywide estimates range from 75 (Eulerian) to 159 (Lagrangian) days</w:t>
      </w:r>
      <w:r>
        <w:t xml:space="preserve"> </w:t>
      </w:r>
      <w:r>
        <w:t xml:space="preserve">(Burwell et al. 2000; Morrison and Yates 2011)</w:t>
      </w:r>
      <w:r>
        <w:t xml:space="preserve">, with substantial variation by location. Spatially, major inflows enter HB via the Hillsborough and Alafia Rivers, MTB via the Little Manatee river, and LTB via the Manatee River. Comprehensive estimates of residence time by bay segment do not exist, although time generally increases from the mouth of the bay towards the more oligohaline segments.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have been estimated at roughly three months</w:t>
      </w:r>
      <w:r>
        <w:t xml:space="preserve"> </w:t>
      </w:r>
      <w:r>
        <w:t xml:space="preserve">(Janicki Environmental, Inc. 2015)</w:t>
      </w:r>
      <w:r>
        <w:t xml:space="preserve">. Throughout, we consider salinity as a rough proxy for residence time, while also acknowledging that it reflects hydrologic inputs, tidal exchange, baroclinic circulation, and other factors that influence hydrodynanmics (e.g., persistent eddies, wind).</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primarily from wastewater treatment facilities with outfalls to the bay or receiving surface waters have been substantially reduced following upgrades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Ni~no vs La Ni~na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compliance assessments and water quality improvement efforts are reported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2"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fixed stations throughout the bay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Salinity and chlorophyll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(n = 480 for each bay segment).</w:t>
      </w:r>
    </w:p>
    <w:p>
      <w:pPr>
        <w:pStyle w:val="BodyText"/>
      </w:pPr>
      <w:r>
        <w:t xml:space="preserve">Monthly total nitrogen loading data to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2"/>
    <w:bookmarkStart w:id="23"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the best fitting model for observed chlorophyll-a by including the effects of salinity, nitrogen loading, and time. Time was expressed as two separate variables for each time step, first as continuous decimal time (e.g., July 1st 2017 is 2017.5) and as day of year to capture a seasonal component. Each predictor was evaluated as an additive smooth to quantify an individual assocation with chlorophyll-a, whereas interaction smoothers where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(by month). The decision to use a Gamma distribution as compared to a Gaussian with a log-link function was made given that the variance likely increases with the mean, which is a reasonable expectation for chlorophyll data. The log-transformed mean chlorophyll-a is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The K values (number of basis functions) for each smoother were chosen to allow sufficient degress of freedom to describe the assocation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for that time step. This produces a time series that can be considered the chlorophyll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These statistics included Generalized Cross-Validation scores and explained deviance, as well as estimated and reference degrees of freedom, F, and p-values for each smoother. Simple correlations between observed and predicted chlorophyll were also evaluated for different year groupings (1985-1999, 2000-2014, 2015-2024) and seasonal periods (annual, JFM, AMJ, JAS, OND) to assess when model fit may differ relative to the entire time series.</w:t>
      </w:r>
    </w:p>
    <w:bookmarkEnd w:id="23"/>
    <w:bookmarkStart w:id="24" w:name="X78e65be5e5fbd14b777bf2263ebd5a99d332eb8"/>
    <w:p>
      <w:pPr>
        <w:pStyle w:val="Heading3"/>
      </w:pPr>
      <w:r>
        <w:t xml:space="preserve">2.3 Partitioning Drivers of Chlorophyll Change</w:t>
      </w:r>
    </w:p>
    <w:p>
      <w:pPr>
        <w:pStyle w:val="FirstParagraph"/>
      </w:pPr>
      <w:r>
        <w:t xml:space="preserve">The second objective was to assess the relative effects of salinity and loading on chlorophyll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negative being more euhaline) and the y-axis showed the loading effects (positive being high loading associated with higher chlorophyll, negative being lower loading associated with lower chlorophyll). Individual years were plotted on the diagram to assess the relative effects of salinity changes and/or loading on the relative chlorophyll changes each year. Depending on where a year is located on the plot, conclusions can be made on which factor (or both) may or may not have influenced chlorophyll each year. Additionally, these differences were further evaluated for different year groupings (1985-1999, 2000-2014, 2015-2024) and seasonal periods (annual, JFM, AMJ, JAS, OND) to further evaluate periods of time when salinity and/or loading had differing effects on chlorophyll.</w:t>
      </w:r>
    </w:p>
    <w:bookmarkEnd w:id="24"/>
    <w:bookmarkStart w:id="25"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Generally, this was accomplished by repeated simulations from each GAM for the different scenarios.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t>
      </w:r>
      <w:r>
        <w:t xml:space="preserve">was used, which predicts randomized GAM outputs within the prediction interval of the model. For each scenario, 10,000 simulations were used to estimate chlorophyll,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and loading values for each bay segment. Chlorophyll thresholds for each bay segment are 9.3, 15.0, 8.5, and 5.1</w:t>
      </w:r>
      <w:r>
        <w:t xml:space="preserve"> </w:t>
      </w:r>
      <m:oMath>
        <m:r>
          <m:t>μ</m:t>
        </m:r>
      </m:oMath>
      <w:r>
        <w:t xml:space="preserve">g/L and external loading thresholds are 486, 1451, 799, 349 tons per year for OTB, HB, MTB, and LTB, respectively. These thresholds were defined as being supportive of seagrass by promoting a sufficient light environment for growth</w:t>
      </w:r>
      <w:r>
        <w:t xml:space="preserve"> </w:t>
      </w:r>
      <w:r>
        <w:t xml:space="preserve">(Janicki and Wade 1996; Janicki et al. 2000; Tampa Bay Nitrogen Management Consortium 2010)</w:t>
      </w:r>
      <w:r>
        <w:t xml:space="preserve">.</w:t>
      </w:r>
    </w:p>
    <w:p>
      <w:pPr>
        <w:pStyle w:val="BodyText"/>
      </w:pPr>
      <w:r>
        <w:t xml:space="preserve">Salinity changes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conditions within the chosen year period were to persist for fifty years into the future.</w:t>
      </w:r>
    </w:p>
    <w:bookmarkEnd w:id="25"/>
    <w:bookmarkEnd w:id="26"/>
    <w:bookmarkStart w:id="30" w:name="results"/>
    <w:p>
      <w:pPr>
        <w:pStyle w:val="Heading2"/>
      </w:pPr>
      <w:r>
        <w:t xml:space="preserve">3 Results</w:t>
      </w:r>
    </w:p>
    <w:bookmarkStart w:id="27" w:name="model-performance"/>
    <w:p>
      <w:pPr>
        <w:pStyle w:val="Heading3"/>
      </w:pPr>
      <w:r>
        <w:t xml:space="preserve">3.1 Model Performance</w:t>
      </w:r>
    </w:p>
    <w:p>
      <w:pPr>
        <w:pStyle w:val="FirstParagraph"/>
      </w:pPr>
      <w:r>
        <w:t xml:space="preserve">GAMs fit for each bay segment had generally high explained deviance for observed chlorophyll, although differences were observed (</w:t>
      </w:r>
      <w:hyperlink w:anchor="fig-obsprd">
        <w:r>
          <w:rPr>
            <w:rStyle w:val="Hyperlink"/>
          </w:rPr>
          <w:t xml:space="preserve">Figure 2</w:t>
        </w:r>
      </w:hyperlink>
      <w:r>
        <w:t xml:space="preserve">,</w:t>
      </w:r>
      <w:r>
        <w:t xml:space="preserve"> </w:t>
      </w:r>
      <w:hyperlink w:anchor="tbl-gamtab">
        <w:r>
          <w:rPr>
            <w:rStyle w:val="Hyperlink"/>
          </w:rPr>
          <w:t xml:space="preserve">Table 1</w:t>
        </w:r>
      </w:hyperlink>
      <w:r>
        <w:t xml:space="preserve">). All bay segments had overall explained deviance of at least 70% (OTB 74%, HB 70%, MTB 76%), whereas LTB had the lowest at 60%. Model predictions over time captured the seasonality of chlorophyll and substantial variation in the seasonality was observed between years. The long-term decreases in chlorophyll were notable in the upper bay segments, i.e., purple lines earlier in the time series generally higher chlorohpyll-a predictions than the green and yellow lines later in the time series for OTB and HB (</w:t>
      </w:r>
      <w:hyperlink w:anchor="fig-obsprd">
        <w:r>
          <w:rPr>
            <w:rStyle w:val="Hyperlink"/>
          </w:rPr>
          <w:t xml:space="preserve">Figure 2</w:t>
        </w:r>
      </w:hyperlink>
      <w:r>
        <w:t xml:space="preserve">b). All bay segments had significant (</w:t>
      </w:r>
      <m:oMath>
        <m:r>
          <m:t>p</m:t>
        </m:r>
      </m:oMath>
      <w:r>
        <w:t xml:space="preserve"> </w:t>
      </w:r>
      <w:r>
        <w:t xml:space="preserve">&lt; 0.05) individual smoothers for decimal time, day of year, and salinity, whereas only LTB had a significent smoother for nitrogen loading</w:t>
      </w:r>
      <w:r>
        <w:t xml:space="preserve"> </w:t>
      </w:r>
      <w:hyperlink w:anchor="tbl-gamtab">
        <w:r>
          <w:rPr>
            <w:rStyle w:val="Hyperlink"/>
          </w:rPr>
          <w:t xml:space="preserve">Table 1</w:t>
        </w:r>
      </w:hyperlink>
      <w:r>
        <w:t xml:space="preserve">. However, every bay segment had at least one significant interaction smoother for nitrogen loading suggesting an effect of loading on chlorophyll-a that was dependent on values of other predictors (loading and decimal time for OTB; loading and decimal time, day of year, and salinity for HB; and loading and day of year for MTB and LTB).</w:t>
      </w:r>
    </w:p>
    <w:p>
      <w:pPr>
        <w:pStyle w:val="BodyText"/>
      </w:pPr>
      <w:r>
        <w:t xml:space="preserve">Differences in correlations between observed and predicted chlorophyll were also shown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0.73). By season,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0.43, 0.41, respectively). Mean correlations were similar between bay segments and annual groupings for all other seasons (mean</w:t>
      </w:r>
      <w:r>
        <w:t xml:space="preserve"> </w:t>
      </w:r>
      <m:oMath>
        <m:r>
          <m:t>ρ</m:t>
        </m:r>
      </m:oMath>
      <w:r>
        <w:t xml:space="preserve"> </w:t>
      </w:r>
      <w:r>
        <w:t xml:space="preserve">= 0.61, 0.61, 0.74 for JFM, AMJ, and JAS, respectively). The lowest seasonal correlation was observed for the January, February, March period for OTB in 2000-2014 (</w:t>
      </w:r>
      <m:oMath>
        <m:r>
          <m:t>ρ</m:t>
        </m:r>
      </m:oMath>
      <w:r>
        <w:t xml:space="preserve"> </w:t>
      </w:r>
      <w:r>
        <w:t xml:space="preserve">= 0.22). The highest seasonal correlation was observed for the OND period for OTB in 2015-2024 (</w:t>
      </w:r>
      <m:oMath>
        <m:r>
          <m:t>ρ</m:t>
        </m:r>
      </m:oMath>
      <w:r>
        <w:t xml:space="preserve"> </w:t>
      </w:r>
      <w:r>
        <w:t xml:space="preserve">= 0.92).</w:t>
      </w:r>
    </w:p>
    <w:bookmarkEnd w:id="27"/>
    <w:bookmarkStart w:id="28" w:name="drivers-of-chlorophyll-change"/>
    <w:p>
      <w:pPr>
        <w:pStyle w:val="Heading3"/>
      </w:pPr>
      <w:r>
        <w:t xml:space="preserve">3.2 Drivers of Chlorophyll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 over time</w:t>
      </w:r>
      <w:r>
        <w:t xml:space="preserve"> </w:t>
      </w:r>
      <w:hyperlink w:anchor="fig-prdnrm">
        <w:r>
          <w:rPr>
            <w:rStyle w:val="Hyperlink"/>
          </w:rPr>
          <w:t xml:space="preserve">Figure 3</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chlorophll-a in this bay segment. Further, OTB and HB had salinity-normalized results that differed from the results at mean loading, whereas the results for MTB and LTB had salinity-normalized results that were similar to those at mean loading. This result suggested that loading had more unique effects on chlorophyll-a in OTB and HB, whereas loading was less important for MTB and LTB. The unique effects of loading in OTB and HB were most notable early and later in the time series, as indicated by larger deviations of the solid red lines from the dashed blue lines. Comparing MTB ad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3</w:t>
        </w:r>
      </w:hyperlink>
      <w:r>
        <w:t xml:space="preserve"> </w:t>
      </w:r>
      <w:r>
        <w:t xml:space="preserve">were further assessed by the relative differences in the predictions, salinity-normalized results, and salinity-normalized results at mean loading by annual groupings and seasons</w:t>
      </w:r>
      <w:r>
        <w:t xml:space="preserve"> </w:t>
      </w:r>
      <w:hyperlink w:anchor="tbl-prdnrmtab">
        <w:r>
          <w:rPr>
            <w:rStyle w:val="Hyperlink"/>
          </w:rPr>
          <w:t xml:space="preserve">Table 3</w:t>
        </w:r>
      </w:hyperlink>
      <w:r>
        <w:t xml:space="preserve">. The results are expressed as mean absolute differences in chlorophyll for the three types of predictions in</w:t>
      </w:r>
      <w:r>
        <w:t xml:space="preserve"> </w:t>
      </w:r>
      <w:hyperlink w:anchor="fig-prdnrm">
        <w:r>
          <w:rPr>
            <w:rStyle w:val="Hyperlink"/>
          </w:rPr>
          <w:t xml:space="preserve">Figure 3</w:t>
        </w:r>
      </w:hyperlink>
      <w:r>
        <w:t xml:space="preserve"> </w:t>
      </w:r>
      <w:r>
        <w:t xml:space="preserve">to quantitavely describe the unique effects of salinity (predictions minus salinity-normalized results) and loading (salnity-normalizd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salinity and loading had larger influences on chlorophyll-a for OTB and HB, salinity mostly influenced chlorophyll in MTB, and neither salinity nor loading had large influences in LTB. Annually, salinity had the largest influence in OTB, HB, and MTB from 1985-1999, whereas loading was most important in OTB and HB from 2015-2024, although the loading effect was smaller compared to the salinity effect in OTB during 2015-2024. By season, salinity effects were most prominent during the June, July, and August (JJA) periods in HB and MTB, whereas the OND period had the largest effect of salinity in OTB. Salinity effects for JJA for HB and MTB and for OND for OTB were largest from 1985-1999. Loading effects by season were most prominent during the JJA period in OTB and HB, with the largest seasonal effects for JJA observed during 2015-2024.</w:t>
      </w:r>
    </w:p>
    <w:p>
      <w:pPr>
        <w:pStyle w:val="BodyText"/>
      </w:pPr>
      <w:r>
        <w:t xml:space="preserve">The state-space representation provided a complementary interpretation of the effects of salinity and loading on chlorophyll-a over time</w:t>
      </w:r>
      <w:r>
        <w:t xml:space="preserve"> </w:t>
      </w:r>
      <w:hyperlink w:anchor="fig-salvload">
        <w:r>
          <w:rPr>
            <w:rStyle w:val="Hyperlink"/>
          </w:rPr>
          <w:t xml:space="preserve">Figure 4</w:t>
        </w:r>
      </w:hyperlink>
      <w:r>
        <w:t xml:space="preserve">. Differences in scale for each plot axis by bay segment provided a relative comparison of the importance of salinity and loading, i.e., OTB and HB had the largest scales, MTB had a small scale for loading but not salinity, and LTB had small scales for both salinity and loading. Overall by annual grouping (1985-1999, 2000-2014, and 2015-2024), OTB and HB suggested a shift towards more load-dominated influence on chlorophyll-a in 2015-2024 as shown by a shift in the mean effects higher on the y-axis (</w:t>
      </w:r>
      <w:hyperlink w:anchor="fig-salvload">
        <w:r>
          <w:rPr>
            <w:rStyle w:val="Hyperlink"/>
          </w:rPr>
          <w:t xml:space="preserve">Figure 4</w:t>
        </w:r>
      </w:hyperlink>
      <w:r>
        <w:t xml:space="preserve">b). A shift towards the right on the x-axis for the 2015-2024 grouping suggested loads were also influenced by more oligohaline conditions, but to a lesser degree than the loading effects. Although general trends by annual groupings were shown by the mean effects in</w:t>
      </w:r>
      <w:r>
        <w:t xml:space="preserve"> </w:t>
      </w:r>
      <w:hyperlink w:anchor="fig-salvload">
        <w:r>
          <w:rPr>
            <w:rStyle w:val="Hyperlink"/>
          </w:rPr>
          <w:t xml:space="preserve">Figure 4</w:t>
        </w:r>
      </w:hyperlink>
      <w:r>
        <w:t xml:space="preserve">b, substantial inter-annual variability was shown for some years (</w:t>
      </w:r>
      <w:hyperlink w:anchor="fig-salvload">
        <w:r>
          <w:rPr>
            <w:rStyle w:val="Hyperlink"/>
          </w:rPr>
          <w:t xml:space="preserve">Figure 4</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8"/>
    <w:bookmarkStart w:id="29"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(describd below) because thresholds have not been exceeded in recent years. That is, reductions in salinity in HB, MTB, and LTB suggested an increased likelihood although overall likelihoods were minimal (&lt; 10% likelihood over 50 years). One exception is HB when the loading was doubled, such that the likelihood of exceeding the regulatory threshold rose from ~1% at the current load to 24.9% at present and 28.4%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exceedences were observed from 2015-2024 (five years in this period), the likelihood at present under observed salinity and loading was approximately 42% (</w:t>
      </w:r>
      <w:hyperlink w:anchor="tbl-liktab">
        <w:r>
          <w:rPr>
            <w:rStyle w:val="Hyperlink"/>
          </w:rPr>
          <w:t xml:space="preserve">Table 4</w:t>
        </w:r>
      </w:hyperlink>
      <w:r>
        <w:t xml:space="preserve">). Any changes in salinity and loading had non-trivial effects on the overall likelihood.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5</w:t>
        </w:r>
      </w:hyperlink>
      <w:r>
        <w:t xml:space="preserve">a). The left column in</w:t>
      </w:r>
      <w:r>
        <w:t xml:space="preserve"> </w:t>
      </w:r>
      <w:hyperlink w:anchor="fig-simplo">
        <w:r>
          <w:rPr>
            <w:rStyle w:val="Hyperlink"/>
          </w:rPr>
          <w:t xml:space="preserve">Figure 5</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5</w:t>
        </w:r>
      </w:hyperlink>
      <w:r>
        <w:t xml:space="preserve">b). If current loadings are maintained, the likelihood of exceeding the regulatory thresholds increases by 17% by year 50 to ~60%.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29"/>
    <w:bookmarkEnd w:id="30"/>
    <w:bookmarkStart w:id="32"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been effective in supporting the long-term recovery of seagrass in Tampa Bay, whereas shifting baselines, both present and in the future, may diminish the effectiveness of this approach. The management paradigm for Tampa Bay was conceived over thirty years prior based on conditions of the Bay in the 1990s. It is understood that conditions have changed and the primary objective of this work was to assess the time-varying effects of loading and salinity on water quality in Tampa Bay given.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managament implications. Mitigating external nutrient loads has been a fundamental approach for estuarine restoration, whereas salinity controls typically are not. In anticipation of projected salinity conditions in the future, existing management paradigms may not be as effective as in the past to maintain water quality.</w:t>
      </w:r>
    </w:p>
    <w:p>
      <w:pPr>
        <w:pStyle w:val="BodyText"/>
      </w:pPr>
      <w:r>
        <w:t xml:space="preserve">The simulation results suggested an increased likelihood of exceeding regulatory thresholds in the future with reductions in salinity. These analyses also underscored the continuing role that nutrient loads have for affected water quality. In OTB, where regulatory exceedances have occurred in several past years, changing salinity conditions may require further load reductions beyond the federally-established TMDL to maintain water quality in the future. Even if the nutrient TMDL is maintained (it is currently exceeded), the likelihood that the chlorophyll-a threshold will be exceeded increases by 9% in 25 years and by 20% in fifty years to an overall likelihood of 56%. These increases must also be considered relative to potential future loading trends if no actions are taken to mitigate sources. Although total loads across all sources in OTB have been relatively stable since 1985 (with subsantial inter-annual variability), contributions from non-point sources (stormwater primarily) have increased at a rate of approximately 2.5 tons per year. These load increases, if not addressed, will further increase the likelihood of exceeding regulatory criteria in the future. The simulation models suggest that current total loading should be reduced by at least 50% to achieve a similar likelihood at present of exceeding the regulatory criteria in fifty years to account for the largely unmanageable effects of reduced salinity on chorophyll-a.</w:t>
      </w:r>
    </w:p>
    <w:p>
      <w:pPr>
        <w:pStyle w:val="BodyText"/>
      </w:pPr>
      <w:r>
        <w:t xml:space="preserve">Model predictions compared to salinity-normalized and salinity-normalized results at mean loading suggested that chlorophyll in 1) OTB and HB was influenced by both salinity and loading, 2) MTB was influenced primarily by salinity, and 3) LTB was influenced by neither. These relationships were also variable over time, particularly in OTB and HB, where pure loading effects appear to increase in importance in recent years. This result has management implications for both bay segments, particularly for OTB where regular exceedances of the chlorophyll-a threshold have been observed in recent years. Compliance assessment for the nutrient loadings in each bay segment was established as a loading ratio, where loads are scaled based on hydrologic inputs. This allows flexibility during wet years when loading is higher than normal so that stormwater managers are not unnecessarily penalized. For all bay segments except OTB, there has been agreement between meeting the chlorophyll threshold and the nutrient load ratios. Recent exceedances of the chlorophyll threshold in OTB and non-attainment of the loading ratios suggest a mismatch in compliance assessment. Because the nutrient loading ratios are based on hydrologic conditions from a 1992-1994 reference period, changing hydrology and rainfall patterns suggest this approach longer describes a meaningful ecological relationship. Attainment based on absolute loadings would be a more meaningful assessment, at least for OTB.</w:t>
      </w:r>
    </w:p>
    <w:p>
      <w:pPr>
        <w:pStyle w:val="BodyText"/>
      </w:pPr>
      <w:r>
        <w:t xml:space="preserve">Although the results are interpreted as the unique effects of both nutrient loading and salinity, one or the other, or neither on chlorophyll-a, it is important to note that external loadings will always influence chlorophyll-a. Specifically, loading was suggested as having less of an influence on chlorophyll-a in MTB and LTB, but that does not imply loading is unimportant in these bay segments. Rather, the results must be interpreted relatively between bay segments such that a general conclusion can be made that loading is more important for driving chlorophyll-a in the upper segments, not that is it wholly unimportant for the lower bay segments. The GAM structure was selected specifically to isolate the effects of key drivers and is a relatively simplistic interpretation compared to a more mechanistic descriptions of factors driving chlorophyll-a. Controlling external nitrogen loads to each bay segment will continue to be a key focus for managements efforts to maintain or improve water quality in Tampa Bay.</w:t>
      </w:r>
    </w:p>
    <w:p>
      <w:pPr>
        <w:pStyle w:val="BodyText"/>
      </w:pPr>
      <w:r>
        <w:t xml:space="preserve">Recognizing what salinity represents as a proxy of causal mechanisms of chlorophyll dynamics in each bay segment is critical for the interpretation of the results. Salinity is not independent from loading such that nutrient inputs to the bay are largely dependent on annual rainfall. Extreme wet or dry years have coincided with high and low nutrient loading years, which are prominent as the annual outliers in</w:t>
      </w:r>
      <w:r>
        <w:t xml:space="preserve"> </w:t>
      </w:r>
      <w:hyperlink w:anchor="fig-salvload">
        <w:r>
          <w:rPr>
            <w:rStyle w:val="Hyperlink"/>
          </w:rPr>
          <w:t xml:space="preserve">Figure 4</w:t>
        </w:r>
      </w:hyperlink>
      <w:r>
        <w:t xml:space="preserve">. From a statistical perspective, loading and salinity are correlated but not so excessive as to prevent both from being used as unique predictors in the models (variance inflations factors were sufficiently low). Given the varying importance of either in the models for each bay segment, salinity can be interpreted as having a unique effect on chlorophyll independent of loading. The most likely interpretation is that salinity is a proxy for flushing, residence time, and tidal exchange. Lower salinity not only suggests greater freshwater inputs, but is also likely associated with higher residence time with reduced fushing and tidal exchange. Such periods of time could be visually interpreted from</w:t>
      </w:r>
      <w:r>
        <w:t xml:space="preserve"> </w:t>
      </w:r>
      <w:hyperlink w:anchor="fig-prdnrm">
        <w:r>
          <w:rPr>
            <w:rStyle w:val="Hyperlink"/>
          </w:rPr>
          <w:t xml:space="preserve">Figure 3</w:t>
        </w:r>
      </w:hyperlink>
      <w:r>
        <w:t xml:space="preserve"> </w:t>
      </w:r>
      <w:r>
        <w:t xml:space="preserve">when the solid red lines showing the salinity-normalized values are higher than the salinity-normalized values at mean loading. The opposite could be true during dry periods or when flushing and tidal exchange is high (i.e., solid lines below the dashed blue lines).</w:t>
      </w:r>
    </w:p>
    <w:p>
      <w:pPr>
        <w:pStyle w:val="BodyText"/>
      </w:pPr>
      <w:r>
        <w:t xml:space="preserve">Our approach offers a relatively novel application of GAMs to describe long-term trends in chlorophyll and how drivers have changed. We build off similar past models used for these purposes, although most of the existing applications have focused on trend description (e.g., how has chlorophyll-a changed?) and not describing changing causal mechanisms (e.g., why has chlorophyll-a changed?). GAMs have had far less applications in the latter context for long-term monitoring data. The use of GAMs to simulate chlorophyll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 While mechanistic models will continue to serve an important role in this capacity, simple quantitative approaches provided by GAMs are more easily adapted to support management. GAM structures are easily modified and easily interrogated for scenario assessment.</w:t>
      </w:r>
    </w:p>
    <w:p>
      <w:pPr>
        <w:pStyle w:val="BodyText"/>
      </w:pPr>
      <w:r>
        <w:t xml:space="preserve">Moreover, GAMs offer unique opportunities for data visualization to support resource management. For example,</w:t>
      </w:r>
      <w:r>
        <w:t xml:space="preserve"> </w:t>
      </w:r>
      <w:hyperlink w:anchor="fig-gridplo">
        <w:r>
          <w:rPr>
            <w:rStyle w:val="Hyperlink"/>
          </w:rPr>
          <w:t xml:space="preserve">Figure 6</w:t>
        </w:r>
      </w:hyperlink>
      <w:r>
        <w:t xml:space="preserve"> </w:t>
      </w:r>
      <w:r>
        <w:t xml:space="preserve">provides a clear depiction of the model results that helps develop an understanding of how chlorophyll has changed on annual and seasonal periods under different salinity regimes. For added context, regulatory thresholds can also be shown on these plots to identify periods of time and conditions when criteria are likely to be exceeded. For example, chlorophll exceedances in OTB are most common during the summer under more oligohaline conditions. Seasonally, exceedances have also been more infrequent in HB in the late summer/early fall, particularly in recent years in October when salinity has been lower. Although regulatory compliance is based on annual chlorophyll averages, these visualizations can aid resource managers in identifying periods of time and conditions when water quality may be most vulnerable to additional loading. Most resource managers lack sufficient quantative tools and visualization methods to aid in understanding how external factors could affect the likelihood of exceeding regulatory thresholds. These tools can help support proactive management interventions when future conditions are expected to increase the chance of being out of compliance.</w:t>
      </w:r>
    </w:p>
    <w:p>
      <w:pPr>
        <w:pStyle w:val="BodyText"/>
      </w:pPr>
      <w:r>
        <w:t xml:space="preserve">Finally, the scenario assessments using simulated results from the GAMs also assumed that current chloropyll standards are and will continue to support a light environment for seagrasses. These chloropyll thresholds, much like the loading thresholds, were developed in the 1990s and current conditions suggest a revisit to determine if they are still appropriate. Optical models, in situ light measurements, and current seagrass coverage maps cross-referenced with bathymetry need to be leveraged to determine if these thresholds are sufficient to maintain light environments at the deep edge of seagrass for each bay segment. Evaluating other water quality factors that attenuate light may also be important, such as color and turbidity. Although there are no standards to support the light environment other than chlorophyll, evaluating the roles of alternative drivers of light attenuation can help development expectations of times when seagrasses may be vulnerable. For example, high rainfall events, such as during tropical storms, can elevate dissolved organic carbon that alters water color. The effects of these events on light attenuation and seagrass growth are not well understood in Tampa Bay.</w:t>
      </w:r>
    </w:p>
    <w:bookmarkStart w:id="31" w:name="conclusions"/>
    <w:p>
      <w:pPr>
        <w:pStyle w:val="Heading3"/>
      </w:pPr>
      <w:r>
        <w:t xml:space="preserve">4.1 Conclusions</w:t>
      </w:r>
    </w:p>
    <w:p>
      <w:pPr>
        <w:pStyle w:val="FirstParagraph"/>
      </w:pPr>
      <w:r>
        <w:t xml:space="preserve">This study evaluated the competing effects of nutrient loading and salinity on chlorophyll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to manage, will lead to higher likelihoods of exceeding regulatory criteria in the future, such that current loading thresholds may be insufficient to protect water quality. Specifically, nutrient loads in Old Tampa Bay may need to be reduced by half of the current TMDL to maintain a sufficiently low likelihood of exceeding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 (e.g., seagrass growth and mortality), but will also alter physiological response of phytoplankton and nutrient cycling rates. Future work should evaluate the role of additional stressors, like temperature, to better guide how Bay management should proceed to protect critical resources. Our approach can also be leveraged in other estuarine systems where the effectiveness of conventional managment paradigms should be assessed relative to changing baselines.</w:t>
      </w:r>
    </w:p>
    <w:p>
      <w:r>
        <w:br w:type="page"/>
      </w:r>
    </w:p>
    <w:bookmarkEnd w:id="31"/>
    <w:bookmarkEnd w:id="32"/>
    <w:bookmarkStart w:id="57"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6" w:name="fig-map"/>
          <w:p>
            <w:pPr>
              <w:pStyle w:val="Compact"/>
              <w:jc w:val="center"/>
            </w:pPr>
            <w:r>
              <w:drawing>
                <wp:inline>
                  <wp:extent cx="3669832" cy="4587290"/>
                  <wp:effectExtent b="0" l="0" r="0" t="0"/>
                  <wp:docPr descr="" title="" id="34" name="Picture"/>
                  <a:graphic>
                    <a:graphicData uri="http://schemas.openxmlformats.org/drawingml/2006/picture">
                      <pic:pic>
                        <pic:nvPicPr>
                          <pic:cNvPr descr="figs/map.png" id="35" name="Picture"/>
                          <pic:cNvPicPr>
                            <a:picLocks noChangeArrowheads="1" noChangeAspect="1"/>
                          </pic:cNvPicPr>
                        </pic:nvPicPr>
                        <pic:blipFill>
                          <a:blip r:embed="rId33"/>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Points show long-term monitoring stations from the Environmental Protection Commission of Hillsborough County where chlorophyll-a and salinity data were used for modeling. OTB: Old Tampa Bay; HB: Hillsborough Bay; MTB: Middle Tampa Bay; LTB: Lower Tampa Bay.</w:t>
            </w:r>
          </w:p>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40" w:name="fig-obsprd"/>
          <w:p>
            <w:pPr>
              <w:pStyle w:val="Compact"/>
              <w:jc w:val="center"/>
            </w:pPr>
            <w:r>
              <w:drawing>
                <wp:inline>
                  <wp:extent cx="5943600" cy="6686549"/>
                  <wp:effectExtent b="0" l="0" r="0" t="0"/>
                  <wp:docPr descr="" title="" id="38" name="Picture"/>
                  <a:graphic>
                    <a:graphicData uri="http://schemas.openxmlformats.org/drawingml/2006/picture">
                      <pic:pic>
                        <pic:nvPicPr>
                          <pic:cNvPr descr="figs/obsprd.png" id="39" name="Picture"/>
                          <pic:cNvPicPr>
                            <a:picLocks noChangeArrowheads="1" noChangeAspect="1"/>
                          </pic:cNvPicPr>
                        </pic:nvPicPr>
                        <pic:blipFill>
                          <a:blip r:embed="rId37"/>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2: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0"/>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fig-prdnrm"/>
          <w:p>
            <w:pPr>
              <w:pStyle w:val="Compact"/>
              <w:jc w:val="center"/>
            </w:pPr>
            <w:r>
              <w:drawing>
                <wp:inline>
                  <wp:extent cx="5943600" cy="4245428"/>
                  <wp:effectExtent b="0" l="0" r="0" t="0"/>
                  <wp:docPr descr="" title="" id="42" name="Picture"/>
                  <a:graphic>
                    <a:graphicData uri="http://schemas.openxmlformats.org/drawingml/2006/picture">
                      <pic:pic>
                        <pic:nvPicPr>
                          <pic:cNvPr descr="figs/prdnrm.png" id="43" name="Picture"/>
                          <pic:cNvPicPr>
                            <a:picLocks noChangeArrowheads="1" noChangeAspect="1"/>
                          </pic:cNvPicPr>
                        </pic:nvPicPr>
                        <pic:blipFill>
                          <a:blip r:embed="rId4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3: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salvload"/>
          <w:p>
            <w:pPr>
              <w:pStyle w:val="Compact"/>
              <w:jc w:val="center"/>
            </w:pPr>
            <w:r>
              <w:drawing>
                <wp:inline>
                  <wp:extent cx="5943600" cy="7528559"/>
                  <wp:effectExtent b="0" l="0" r="0" t="0"/>
                  <wp:docPr descr="" title="" id="46" name="Picture"/>
                  <a:graphic>
                    <a:graphicData uri="http://schemas.openxmlformats.org/drawingml/2006/picture">
                      <pic:pic>
                        <pic:nvPicPr>
                          <pic:cNvPr descr="figs/salvload.png" id="47" name="Picture"/>
                          <pic:cNvPicPr>
                            <a:picLocks noChangeArrowheads="1" noChangeAspect="1"/>
                          </pic:cNvPicPr>
                        </pic:nvPicPr>
                        <pic:blipFill>
                          <a:blip r:embed="rId45"/>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4: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simplo"/>
          <w:p>
            <w:pPr>
              <w:pStyle w:val="Compact"/>
              <w:jc w:val="center"/>
            </w:pPr>
            <w:r>
              <w:drawing>
                <wp:inline>
                  <wp:extent cx="5943600" cy="5943600"/>
                  <wp:effectExtent b="0" l="0" r="0" t="0"/>
                  <wp:docPr descr="" title="" id="50" name="Picture"/>
                  <a:graphic>
                    <a:graphicData uri="http://schemas.openxmlformats.org/drawingml/2006/picture">
                      <pic:pic>
                        <pic:nvPicPr>
                          <pic:cNvPr descr="figs/simplo.png" id="51" name="Picture"/>
                          <pic:cNvPicPr>
                            <a:picLocks noChangeArrowheads="1" noChangeAspect="1"/>
                          </pic:cNvPicPr>
                        </pic:nvPicPr>
                        <pic:blipFill>
                          <a:blip r:embed="rId49"/>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5: Simulated chlorophyll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gridplo"/>
          <w:p>
            <w:pPr>
              <w:pStyle w:val="Compact"/>
              <w:jc w:val="center"/>
            </w:pPr>
            <w:r>
              <w:drawing>
                <wp:inline>
                  <wp:extent cx="5943600" cy="4754880"/>
                  <wp:effectExtent b="0" l="0" r="0" t="0"/>
                  <wp:docPr descr="" title="" id="54" name="Picture"/>
                  <a:graphic>
                    <a:graphicData uri="http://schemas.openxmlformats.org/drawingml/2006/picture">
                      <pic:pic>
                        <pic:nvPicPr>
                          <pic:cNvPr descr="figs/gridplo.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 6: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to the seasonal minimum and maximum observed across years for the month. Grey lines show the chlorophyll contour value for the regulatory threshold for each bay segment. OTB: Old Tampa Bay; HB: Hillsborough Bay; MTB: Middle Tampa Bay; LTB: Lower Tampa Bay.</w:t>
            </w:r>
          </w:p>
          <w:bookmarkEnd w:id="56"/>
        </w:tc>
      </w:tr>
    </w:tbl>
    <w:p>
      <w:r>
        <w:br w:type="page"/>
      </w:r>
    </w:p>
    <w:bookmarkEnd w:id="57"/>
    <w:bookmarkStart w:id="62"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8"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0.744</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0.011</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0.694</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0.379</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0.197</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0.094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0.072</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0.004</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0.013</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0.388</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0.275</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0.294</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0.024</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0.089</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0.021</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0.018</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0.935</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0.970</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0.651</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0.042</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bl>
          <w:bookmarkEnd w:id="58"/>
        </w:tc>
      </w:tr>
    </w:tbl>
    <w:p>
      <w:r>
        <w:br w:type="page"/>
      </w:r>
    </w:p>
    <w:tbl>
      <w:tblPr>
        <w:tblStyle w:val="Table"/>
        <w:tblW w:type="pct" w:w="5000"/>
        <w:tblLayout w:type="fixed"/>
        <w:tblLook w:firstRow="0" w:lastRow="0" w:firstColumn="0" w:lastColumn="0" w:noHBand="0" w:noVBand="0" w:val="0000"/>
      </w:tblPr>
      <w:tblGrid>
        <w:gridCol w:w="7920"/>
      </w:tblGrid>
      <w:tr>
        <w:tc>
          <w:tcPr/>
          <w:bookmarkStart w:id="59"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2"/>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A5A5A"/>
                    </w:rPr>
                    <w:t xml:space="preserve">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D3D3D"/>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96969"/>
                    </w:rPr>
                    <w:t xml:space="preserve">0.50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32323"/>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A5A5A"/>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C6C6C"/>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A2A2A"/>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52525"/>
                    </w:rPr>
                    <w:t xml:space="preserve">0.79</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26262"/>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24242"/>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95959"/>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E3E3E"/>
                    </w:rPr>
                    <w:t xml:space="preserve">0.72</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66666"/>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424242"/>
                    </w:rPr>
                    <w:t xml:space="preserve">0.71</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03030"/>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C1C1C"/>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0303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9595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A2A2A"/>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B3B3B"/>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91919"/>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32323"/>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5757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1515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19191"/>
                    </w:rPr>
                    <w:t xml:space="preserve">0.43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C7C7C"/>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26262"/>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87878"/>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0.41</w:t>
                  </w:r>
                </w:p>
              </w:tc>
            </w:tr>
          </w:tbl>
          <w:bookmarkEnd w:id="59"/>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500"/>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E5E5E"/>
                    </w:rPr>
                    <w:t xml:space="preserve">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97979"/>
                    </w:rPr>
                    <w:t xml:space="preserve">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2.02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0.33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F7F7F"/>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26262"/>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8383"/>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17171"/>
                    </w:rPr>
                    <w:t xml:space="preserve">1.03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E6E6E"/>
                    </w:rPr>
                    <w:t xml:space="preserve">1.74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45454"/>
                    </w:rPr>
                    <w:t xml:space="preserve">1.66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1.69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0.63</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2.82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3.00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15151"/>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72727"/>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94949"/>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25252"/>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B4B4B"/>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0303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45454"/>
                    </w:rPr>
                    <w:t xml:space="preserve">0.80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94949"/>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2.35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1.14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1.75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44444"/>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3.79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1.54</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46464"/>
                    </w:rPr>
                    <w:t xml:space="preserve">1.27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0.82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46464"/>
                    </w:rPr>
                    <w:t xml:space="preserve">2.08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45454"/>
                    </w:rPr>
                    <w:t xml:space="preserve">1.66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686868"/>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87878"/>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6E6E6E"/>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A6A6A"/>
                    </w:rPr>
                    <w:t xml:space="preserve">1.87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0.27</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8E8E"/>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r>
          </w:tbl>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061"/>
              <w:gridCol w:w="1171"/>
              <w:gridCol w:w="117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68.8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(7.9, ↑6.8)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↑19.5)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 ↑19.9)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 ↑13.8)</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↑1.7)</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↑3.5)</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↑0.6)</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 ↑0.5)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↑1.5)</w:t>
                  </w:r>
                </w:p>
              </w:tc>
            </w:tr>
          </w:tbl>
          <w:bookmarkEnd w:id="61"/>
        </w:tc>
      </w:tr>
    </w:tbl>
    <w:p>
      <w:r>
        <w:br w:type="page"/>
      </w:r>
    </w:p>
    <w:bookmarkEnd w:id="62"/>
    <w:bookmarkStart w:id="64"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3">
        <w:r>
          <w:rPr>
            <w:rStyle w:val="Hyperlink"/>
          </w:rPr>
          <w:t xml:space="preserve">https://github.com/tbep-tech/chlhydro-manu</w:t>
        </w:r>
      </w:hyperlink>
      <w:r>
        <w:t xml:space="preserve">.</w:t>
      </w:r>
    </w:p>
    <w:bookmarkEnd w:id="64"/>
    <w:bookmarkStart w:id="65"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5"/>
    <w:bookmarkStart w:id="69" w:name="statements-and-declarations"/>
    <w:p>
      <w:pPr>
        <w:pStyle w:val="Heading2"/>
      </w:pPr>
      <w:r>
        <w:t xml:space="preserve">Statements and Declarations</w:t>
      </w:r>
    </w:p>
    <w:bookmarkStart w:id="66"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66"/>
    <w:bookmarkStart w:id="67"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67"/>
    <w:bookmarkStart w:id="68"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68"/>
    <w:bookmarkEnd w:id="69"/>
    <w:bookmarkStart w:id="105" w:name="references"/>
    <w:p>
      <w:pPr>
        <w:pStyle w:val="Heading2"/>
      </w:pPr>
      <w:r>
        <w:t xml:space="preserve">References</w:t>
      </w:r>
    </w:p>
    <w:bookmarkStart w:id="104" w:name="refs"/>
    <w:bookmarkStart w:id="71" w:name="ref-beck24"/>
    <w:p>
      <w:pPr>
        <w:pStyle w:val="Bibliography"/>
      </w:pPr>
      <w:r>
        <w:t xml:space="preserve">Beck, M. W., K. Flaherty-Walia, S. Scolaro, M. C. Burke, B. T. Furman, D. J. Karlen, C. Pratt, C. J. Anastasiou, and E. T. Sherwood. 2024. Hot and fresh: Evidence of climate-related suboptimal water conditions for seagrass in a large gulf coast estuary.</w:t>
      </w:r>
      <w:r>
        <w:t xml:space="preserve"> </w:t>
      </w:r>
      <w:r>
        <w:rPr>
          <w:i/>
          <w:iCs/>
        </w:rPr>
        <w:t xml:space="preserve">Estuaries and Coasts</w:t>
      </w:r>
      <w:r>
        <w:t xml:space="preserve"> </w:t>
      </w:r>
      <w:r>
        <w:t xml:space="preserve">47. Springer: 1475–1497.</w:t>
      </w:r>
      <w:r>
        <w:t xml:space="preserve"> </w:t>
      </w:r>
      <w:hyperlink r:id="rId70">
        <w:r>
          <w:rPr>
            <w:rStyle w:val="Hyperlink"/>
          </w:rPr>
          <w:t xml:space="preserve">https://doi.org/10.1007/s12237-024-01385-0</w:t>
        </w:r>
      </w:hyperlink>
      <w:r>
        <w:t xml:space="preserve">.</w:t>
      </w:r>
    </w:p>
    <w:bookmarkEnd w:id="71"/>
    <w:bookmarkStart w:id="73"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72">
        <w:r>
          <w:rPr>
            <w:rStyle w:val="Hyperlink"/>
          </w:rPr>
          <w:t xml:space="preserve">https://doi.org/10.1111/1752-1688.12489</w:t>
        </w:r>
      </w:hyperlink>
      <w:r>
        <w:t xml:space="preserve">.</w:t>
      </w:r>
    </w:p>
    <w:bookmarkEnd w:id="73"/>
    <w:bookmarkStart w:id="74"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74"/>
    <w:bookmarkStart w:id="75"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75"/>
    <w:bookmarkStart w:id="77" w:name="ref-tbep0696"/>
    <w:p>
      <w:pPr>
        <w:pStyle w:val="Bibliography"/>
      </w:pPr>
      <w:r>
        <w:t xml:space="preserve">Janicki, A. J., and D. L. Wade. 1996.</w:t>
      </w:r>
      <w:r>
        <w:t xml:space="preserve"> </w:t>
      </w:r>
      <w:hyperlink r:id="rId76">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06-96. St. Petersburg, Florida: Tampa Bay Estuary Program.</w:t>
      </w:r>
    </w:p>
    <w:bookmarkEnd w:id="77"/>
    <w:bookmarkStart w:id="79" w:name="ref-tbep0400"/>
    <w:p>
      <w:pPr>
        <w:pStyle w:val="Bibliography"/>
      </w:pPr>
      <w:r>
        <w:t xml:space="preserve">Janicki, A. J., D. Wade, and J. R. Pribble. 2000.</w:t>
      </w:r>
      <w:r>
        <w:t xml:space="preserve"> </w:t>
      </w:r>
      <w:hyperlink r:id="rId78">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04-00. St. Petersburg, Florida: Tampa Bay Estuary Program.</w:t>
      </w:r>
    </w:p>
    <w:bookmarkEnd w:id="79"/>
    <w:bookmarkStart w:id="81" w:name="ref-tbep1115"/>
    <w:p>
      <w:pPr>
        <w:pStyle w:val="Bibliography"/>
      </w:pPr>
      <w:r>
        <w:t xml:space="preserve">Janicki Environmental, Inc. 2015.</w:t>
      </w:r>
      <w:r>
        <w:t xml:space="preserve"> </w:t>
      </w:r>
      <w:hyperlink r:id="rId80">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81"/>
    <w:bookmarkStart w:id="83" w:name="ref-tbep0623"/>
    <w:p>
      <w:pPr>
        <w:pStyle w:val="Bibliography"/>
      </w:pPr>
      <w:r>
        <w:t xml:space="preserve">Janicki Environmental, Inc. 2023.</w:t>
      </w:r>
      <w:r>
        <w:t xml:space="preserve"> </w:t>
      </w:r>
      <w:hyperlink r:id="rId82">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83"/>
    <w:bookmarkStart w:id="85" w:name="ref-luther2022"/>
    <w:p>
      <w:pPr>
        <w:pStyle w:val="Bibliography"/>
      </w:pPr>
      <w:r>
        <w:t xml:space="preserve">Luther, M. E., and S. D. Meyers. 2022.</w:t>
      </w:r>
      <w:r>
        <w:t xml:space="preserve"> </w:t>
      </w:r>
      <w:hyperlink r:id="rId84">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85"/>
    <w:bookmarkStart w:id="86"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86"/>
    <w:bookmarkStart w:id="88"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87">
        <w:r>
          <w:rPr>
            <w:rStyle w:val="Hyperlink"/>
          </w:rPr>
          <w:t xml:space="preserve">https://doi.org/10.1016/j.envsoft.2019.03.027</w:t>
        </w:r>
      </w:hyperlink>
      <w:r>
        <w:t xml:space="preserve">.</w:t>
      </w:r>
    </w:p>
    <w:bookmarkEnd w:id="88"/>
    <w:bookmarkStart w:id="90"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89">
        <w:r>
          <w:rPr>
            <w:rStyle w:val="Hyperlink"/>
          </w:rPr>
          <w:t xml:space="preserve">https://doi.org/10.32614/CRAN.package.gratia</w:t>
        </w:r>
      </w:hyperlink>
      <w:r>
        <w:t xml:space="preserve">.</w:t>
      </w:r>
    </w:p>
    <w:bookmarkEnd w:id="90"/>
    <w:bookmarkStart w:id="92" w:name="ref-SWFWMD25"/>
    <w:p>
      <w:pPr>
        <w:pStyle w:val="Bibliography"/>
      </w:pPr>
      <w:r>
        <w:t xml:space="preserve">Southwest Florida Water Management District. 2025.</w:t>
      </w:r>
      <w:r>
        <w:t xml:space="preserve"> </w:t>
      </w:r>
      <w:hyperlink r:id="rId91">
        <w:r>
          <w:rPr>
            <w:rStyle w:val="Hyperlink"/>
          </w:rPr>
          <w:t xml:space="preserve">2023 land use land cover shapefile for SWFWMD</w:t>
        </w:r>
      </w:hyperlink>
      <w:r>
        <w:t xml:space="preserve">.</w:t>
      </w:r>
    </w:p>
    <w:bookmarkEnd w:id="92"/>
    <w:bookmarkStart w:id="94" w:name="ref-tbep0310"/>
    <w:p>
      <w:pPr>
        <w:pStyle w:val="Bibliography"/>
      </w:pPr>
      <w:r>
        <w:t xml:space="preserve">Tampa Bay Nitrogen Management Consortium. 2010.</w:t>
      </w:r>
      <w:r>
        <w:t xml:space="preserve"> </w:t>
      </w:r>
      <w:hyperlink r:id="rId93">
        <w:r>
          <w:rPr>
            <w:rStyle w:val="Hyperlink"/>
            <w:i/>
            <w:iCs/>
          </w:rPr>
          <w:t xml:space="preserve">2009 reasonable assurance addendum: Allocation and assessment report</w:t>
        </w:r>
      </w:hyperlink>
      <w:r>
        <w:t xml:space="preserve">. Technical report 03-10. St. Petersburg, Florida: Tampa Bay Estuary Program.</w:t>
      </w:r>
    </w:p>
    <w:bookmarkEnd w:id="94"/>
    <w:bookmarkStart w:id="96"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95">
        <w:r>
          <w:rPr>
            <w:rStyle w:val="Hyperlink"/>
          </w:rPr>
          <w:t xml:space="preserve">https://doi.org/10.1111/1752-1688.70070</w:t>
        </w:r>
      </w:hyperlink>
      <w:r>
        <w:t xml:space="preserve">.</w:t>
      </w:r>
    </w:p>
    <w:bookmarkEnd w:id="96"/>
    <w:bookmarkStart w:id="98"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97">
        <w:r>
          <w:rPr>
            <w:rStyle w:val="Hyperlink"/>
          </w:rPr>
          <w:t xml:space="preserve">https://doi.org/10.1007/978-0-387-21706-2</w:t>
        </w:r>
      </w:hyperlink>
      <w:r>
        <w:t xml:space="preserve">.</w:t>
      </w:r>
    </w:p>
    <w:bookmarkEnd w:id="98"/>
    <w:bookmarkStart w:id="100"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99">
        <w:r>
          <w:rPr>
            <w:rStyle w:val="Hyperlink"/>
          </w:rPr>
          <w:t xml:space="preserve">https://doi.org/10.1111/j.1467-9868.2010.00749.x</w:t>
        </w:r>
      </w:hyperlink>
      <w:r>
        <w:t xml:space="preserve">.</w:t>
      </w:r>
    </w:p>
    <w:bookmarkEnd w:id="100"/>
    <w:bookmarkStart w:id="101"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01"/>
    <w:bookmarkStart w:id="103" w:name="ref-tbep0494"/>
    <w:p>
      <w:pPr>
        <w:pStyle w:val="Bibliography"/>
      </w:pPr>
      <w:r>
        <w:t xml:space="preserve">Zarbock, H. W., A. J. Janicki, D. L. Wade, and D. G. Heimbuch. 1994.</w:t>
      </w:r>
      <w:r>
        <w:t xml:space="preserve"> </w:t>
      </w:r>
      <w:hyperlink r:id="rId102">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03"/>
    <w:bookmarkEnd w:id="104"/>
    <w:bookmarkEnd w:id="105"/>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97" Target="https://doi.org/10.1007/978-0-387-21706-2" TargetMode="External" /><Relationship Type="http://schemas.openxmlformats.org/officeDocument/2006/relationships/hyperlink" Id="rId70" Target="https://doi.org/10.1007/s12237-024-01385-0" TargetMode="External" /><Relationship Type="http://schemas.openxmlformats.org/officeDocument/2006/relationships/hyperlink" Id="rId87" Target="https://doi.org/10.1016/j.envsoft.2019.03.027" TargetMode="External" /><Relationship Type="http://schemas.openxmlformats.org/officeDocument/2006/relationships/hyperlink" Id="rId72" Target="https://doi.org/10.1111/1752-1688.12489" TargetMode="External" /><Relationship Type="http://schemas.openxmlformats.org/officeDocument/2006/relationships/hyperlink" Id="rId95" Target="https://doi.org/10.1111/1752-1688.70070" TargetMode="External" /><Relationship Type="http://schemas.openxmlformats.org/officeDocument/2006/relationships/hyperlink" Id="rId99" Target="https://doi.org/10.1111/j.1467-9868.2010.00749.x" TargetMode="External" /><Relationship Type="http://schemas.openxmlformats.org/officeDocument/2006/relationships/hyperlink" Id="rId89" Target="https://doi.org/10.32614/CRAN.package.gratia" TargetMode="External" /><Relationship Type="http://schemas.openxmlformats.org/officeDocument/2006/relationships/hyperlink" Id="rId80" Target="https://drive.google.com/drive/folders/1-vIRAsuZQmQEXZk-0FwqsjhSex0GDu7-?usp=sharing" TargetMode="External" /><Relationship Type="http://schemas.openxmlformats.org/officeDocument/2006/relationships/hyperlink" Id="rId84" Target="https://drive.google.com/file/d/1-1Jq9vly5EvVwEp698brlBucXjSMDbNn/view?usp=sharing" TargetMode="External" /><Relationship Type="http://schemas.openxmlformats.org/officeDocument/2006/relationships/hyperlink" Id="rId93" Target="https://drive.google.com/file/d/10IjJAfcGFf007a5VdPXAUtUi4dx-cmsA/view?usp=drivesdk" TargetMode="External" /><Relationship Type="http://schemas.openxmlformats.org/officeDocument/2006/relationships/hyperlink" Id="rId82" Target="https://drive.google.com/file/d/1KARuSC5fGx05MuT1wiOQFWNXysBokkQl/view?usp=share_link" TargetMode="External" /><Relationship Type="http://schemas.openxmlformats.org/officeDocument/2006/relationships/hyperlink" Id="rId78" Target="https://drive.google.com/file/d/1XMULU8w4syWcSv_ciOUOhnC_G4xt6GIF/view?usp=drivesdk" TargetMode="External" /><Relationship Type="http://schemas.openxmlformats.org/officeDocument/2006/relationships/hyperlink" Id="rId76" Target="https://drive.google.com/file/d/1kZkvuprvsMyN9nPS5PHYvXHyo1KQxKTr/view?usp=drivesdk" TargetMode="External" /><Relationship Type="http://schemas.openxmlformats.org/officeDocument/2006/relationships/hyperlink" Id="rId102" Target="https://drive.google.com/file/d/1vNl3kvRmxQ7VW-2VYbykB__e_ESGSoVz/view?usp=drivesdk" TargetMode="External" /><Relationship Type="http://schemas.openxmlformats.org/officeDocument/2006/relationships/hyperlink" Id="rId63" Target="https://github.com/tbep-tech/chlhydro-manu" TargetMode="External" /><Relationship Type="http://schemas.openxmlformats.org/officeDocument/2006/relationships/hyperlink" Id="rId91"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7/978-0-387-21706-2" TargetMode="External" /><Relationship Type="http://schemas.openxmlformats.org/officeDocument/2006/relationships/hyperlink" Id="rId70" Target="https://doi.org/10.1007/s12237-024-01385-0" TargetMode="External" /><Relationship Type="http://schemas.openxmlformats.org/officeDocument/2006/relationships/hyperlink" Id="rId87" Target="https://doi.org/10.1016/j.envsoft.2019.03.027" TargetMode="External" /><Relationship Type="http://schemas.openxmlformats.org/officeDocument/2006/relationships/hyperlink" Id="rId72" Target="https://doi.org/10.1111/1752-1688.12489" TargetMode="External" /><Relationship Type="http://schemas.openxmlformats.org/officeDocument/2006/relationships/hyperlink" Id="rId95" Target="https://doi.org/10.1111/1752-1688.70070" TargetMode="External" /><Relationship Type="http://schemas.openxmlformats.org/officeDocument/2006/relationships/hyperlink" Id="rId99" Target="https://doi.org/10.1111/j.1467-9868.2010.00749.x" TargetMode="External" /><Relationship Type="http://schemas.openxmlformats.org/officeDocument/2006/relationships/hyperlink" Id="rId89" Target="https://doi.org/10.32614/CRAN.package.gratia" TargetMode="External" /><Relationship Type="http://schemas.openxmlformats.org/officeDocument/2006/relationships/hyperlink" Id="rId80" Target="https://drive.google.com/drive/folders/1-vIRAsuZQmQEXZk-0FwqsjhSex0GDu7-?usp=sharing" TargetMode="External" /><Relationship Type="http://schemas.openxmlformats.org/officeDocument/2006/relationships/hyperlink" Id="rId84" Target="https://drive.google.com/file/d/1-1Jq9vly5EvVwEp698brlBucXjSMDbNn/view?usp=sharing" TargetMode="External" /><Relationship Type="http://schemas.openxmlformats.org/officeDocument/2006/relationships/hyperlink" Id="rId93" Target="https://drive.google.com/file/d/10IjJAfcGFf007a5VdPXAUtUi4dx-cmsA/view?usp=drivesdk" TargetMode="External" /><Relationship Type="http://schemas.openxmlformats.org/officeDocument/2006/relationships/hyperlink" Id="rId82" Target="https://drive.google.com/file/d/1KARuSC5fGx05MuT1wiOQFWNXysBokkQl/view?usp=share_link" TargetMode="External" /><Relationship Type="http://schemas.openxmlformats.org/officeDocument/2006/relationships/hyperlink" Id="rId78" Target="https://drive.google.com/file/d/1XMULU8w4syWcSv_ciOUOhnC_G4xt6GIF/view?usp=drivesdk" TargetMode="External" /><Relationship Type="http://schemas.openxmlformats.org/officeDocument/2006/relationships/hyperlink" Id="rId76" Target="https://drive.google.com/file/d/1kZkvuprvsMyN9nPS5PHYvXHyo1KQxKTr/view?usp=drivesdk" TargetMode="External" /><Relationship Type="http://schemas.openxmlformats.org/officeDocument/2006/relationships/hyperlink" Id="rId102" Target="https://drive.google.com/file/d/1vNl3kvRmxQ7VW-2VYbykB__e_ESGSoVz/view?usp=drivesdk" TargetMode="External" /><Relationship Type="http://schemas.openxmlformats.org/officeDocument/2006/relationships/hyperlink" Id="rId63" Target="https://github.com/tbep-tech/chlhydro-manu" TargetMode="External" /><Relationship Type="http://schemas.openxmlformats.org/officeDocument/2006/relationships/hyperlink" Id="rId91"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Kerry Flaherty-Walia1, Maya C Burke1, and Edward T Sherwood1</dc:creator>
  <cp:keywords/>
  <dcterms:created xsi:type="dcterms:W3CDTF">2026-01-30T21:28:17Z</dcterms:created>
  <dcterms:modified xsi:type="dcterms:W3CDTF">2026-01-30T21:28:17Z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