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2.png" ContentType="image/png"/>
  <Override PartName="/word/media/rId30.png" ContentType="image/png"/>
  <Override PartName="/word/media/rId34.png" ContentType="image/png"/>
  <Override PartName="/word/media/rId38.png" ContentType="image/png"/>
  <Override PartName="/word/media/rId50.png" ContentType="image/png"/>
  <Override PartName="/word/media/rId46.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 awesome title for a great paper</w:t>
      </w:r>
    </w:p>
    <w:p>
      <w:pPr>
        <w:pStyle w:val="Author"/>
      </w:pPr>
      <w:r>
        <w:t xml:space="preserve">Marcus W Beck</w:t>
      </w:r>
      <w:r>
        <w:rPr>
          <w:vertAlign w:val="superscript"/>
        </w:rPr>
        <w:t xml:space="preserve">1,✉</w:t>
      </w:r>
      <w:r>
        <w:t xml:space="preserve">, Kerry Flaherty-Walia</w:t>
      </w:r>
      <w:r>
        <w:rPr>
          <w:vertAlign w:val="superscript"/>
        </w:rPr>
        <w:t xml:space="preserve">1</w:t>
      </w:r>
      <w:r>
        <w:t xml:space="preserve">, Maya C Burke</w:t>
      </w:r>
      <w:r>
        <w:rPr>
          <w:vertAlign w:val="superscript"/>
        </w:rPr>
        <w:t xml:space="preserve">1</w:t>
      </w:r>
      <w:r>
        <w:t xml:space="preserve">, and Edward T Sherwood</w:t>
      </w:r>
      <w:r>
        <w:rPr>
          <w:vertAlign w:val="superscript"/>
        </w:rPr>
        <w:t xml:space="preserve">1</w:t>
      </w:r>
    </w:p>
    <w:p>
      <w:pPr>
        <w:pStyle w:val="FirstParagraph"/>
      </w:pPr>
      <w:r>
        <w:rPr>
          <w:vertAlign w:val="superscript"/>
        </w:rPr>
        <w:t xml:space="preserve">1</w:t>
      </w:r>
      <w:r>
        <w:t xml:space="preserve"> </w:t>
      </w:r>
      <w:r>
        <w:t xml:space="preserve">Tampa Bay Estuary Program, 263 13th Ave S., Suite 350, St. Petersburg, Florida 33701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Marcus W Beck &lt;mbeck@tbep.org&gt;</w:t>
        </w:r>
      </w:hyperlink>
    </w:p>
    <w:bookmarkStart w:id="21" w:name="fig"/>
    <w:p>
      <w:pPr>
        <w:pStyle w:val="Heading2"/>
      </w:pPr>
      <w:r>
        <w:t xml:space="preserve">1 Fig</w:t>
      </w:r>
    </w:p>
    <w:p>
      <w:pPr>
        <w:pStyle w:val="Compact"/>
        <w:numPr>
          <w:ilvl w:val="0"/>
          <w:numId w:val="1001"/>
        </w:numPr>
      </w:pPr>
      <w:r>
        <w:t xml:space="preserve">observed chl and model fit</w:t>
      </w:r>
    </w:p>
    <w:p>
      <w:pPr>
        <w:pStyle w:val="Compact"/>
        <w:numPr>
          <w:ilvl w:val="0"/>
          <w:numId w:val="1001"/>
        </w:numPr>
      </w:pPr>
      <w:r>
        <w:t xml:space="preserve">model fit v normalized</w:t>
      </w:r>
    </w:p>
    <w:p>
      <w:pPr>
        <w:pStyle w:val="Compact"/>
        <w:numPr>
          <w:ilvl w:val="0"/>
          <w:numId w:val="1001"/>
        </w:numPr>
      </w:pPr>
      <w:r>
        <w:t xml:space="preserve">grid plots</w:t>
      </w:r>
    </w:p>
    <w:p>
      <w:pPr>
        <w:pStyle w:val="Compact"/>
        <w:numPr>
          <w:ilvl w:val="0"/>
          <w:numId w:val="1001"/>
        </w:numPr>
      </w:pPr>
      <w:r>
        <w:t xml:space="preserve">normalized - fit v hydrology</w:t>
      </w:r>
    </w:p>
    <w:bookmarkEnd w:id="21"/>
    <w:bookmarkStart w:id="22" w:name="table"/>
    <w:p>
      <w:pPr>
        <w:pStyle w:val="Heading2"/>
      </w:pPr>
      <w:r>
        <w:t xml:space="preserve">2 Table</w:t>
      </w:r>
    </w:p>
    <w:p>
      <w:pPr>
        <w:pStyle w:val="Compact"/>
        <w:numPr>
          <w:ilvl w:val="0"/>
          <w:numId w:val="1002"/>
        </w:numPr>
      </w:pPr>
      <w:r>
        <w:t xml:space="preserve">Model summary statistics (include by month?)</w:t>
      </w:r>
    </w:p>
    <w:bookmarkEnd w:id="22"/>
    <w:bookmarkStart w:id="23" w:name="inroduction"/>
    <w:p>
      <w:pPr>
        <w:pStyle w:val="Heading2"/>
      </w:pPr>
      <w:r>
        <w:t xml:space="preserve">3 Inroduction</w:t>
      </w:r>
    </w:p>
    <w:p>
      <w:pPr>
        <w:pStyle w:val="FirstParagraph"/>
      </w:pPr>
      <w:r>
        <w:t xml:space="preserve">(Testa et al. 2025)</w:t>
      </w:r>
    </w:p>
    <w:bookmarkEnd w:id="23"/>
    <w:bookmarkStart w:id="27" w:name="methods"/>
    <w:p>
      <w:pPr>
        <w:pStyle w:val="Heading2"/>
      </w:pPr>
      <w:r>
        <w:t xml:space="preserve">4 Methods</w:t>
      </w:r>
    </w:p>
    <w:bookmarkStart w:id="24" w:name="data-processing"/>
    <w:p>
      <w:pPr>
        <w:pStyle w:val="Heading3"/>
      </w:pPr>
      <w:r>
        <w:t xml:space="preserve">4.1 Data processing</w:t>
      </w:r>
    </w:p>
    <w:p>
      <w:pPr>
        <w:pStyle w:val="FirstParagraph"/>
      </w:pPr>
      <w:r>
        <w:t xml:space="preserve">Salinity gaps were filled using linear interpolation between observed values, where the maximum gap fill was three time steps (months). Gaps accounted for less than 5% of the observatiosn for each bay segment.</w:t>
      </w:r>
    </w:p>
    <w:bookmarkEnd w:id="24"/>
    <w:bookmarkStart w:id="25" w:name="gams"/>
    <w:p>
      <w:pPr>
        <w:pStyle w:val="Heading3"/>
      </w:pPr>
      <w:r>
        <w:t xml:space="preserve">4.2 GAMs</w:t>
      </w:r>
    </w:p>
    <w:p>
      <w:pPr>
        <w:pStyle w:val="FirstParagraph"/>
      </w:pPr>
      <m:oMathPara>
        <m:oMathParaPr>
          <m:jc m:val="center"/>
        </m:oMathParaPr>
        <m:oMath>
          <m:m>
            <m:mPr>
              <m:baseJc m:val="center"/>
              <m:plcHide m:val="on"/>
              <m:mcs>
                <m:mc>
                  <m:mcPr>
                    <m:mcJc m:val="right"/>
                    <m:count m:val="1"/>
                  </m:mcPr>
                </m:mc>
                <m:mc>
                  <m:mcPr>
                    <m:mcJc m:val="left"/>
                    <m:count m:val="1"/>
                  </m:mcPr>
                </m:mc>
              </m:mcs>
            </m:mPr>
            <m:mr>
              <m:e>
                <m:sSub>
                  <m:e>
                    <m:r>
                      <m:rPr>
                        <m:nor/>
                        <m:sty m:val="p"/>
                      </m:rPr>
                      <m:t>chla</m:t>
                    </m:r>
                  </m:e>
                  <m:sub>
                    <m:r>
                      <m:t>i</m:t>
                    </m:r>
                  </m:sub>
                </m:sSub>
              </m:e>
              <m:e>
                <m:r>
                  <m:rPr>
                    <m:sty m:val="p"/>
                  </m:rPr>
                  <m:t>∼</m:t>
                </m:r>
                <m:r>
                  <m:rPr>
                    <m:nor/>
                    <m:sty m:val="p"/>
                  </m:rPr>
                  <m:t>Gamma</m:t>
                </m:r>
                <m:d>
                  <m:dPr>
                    <m:begChr m:val="("/>
                    <m:sepChr m:val=""/>
                    <m:endChr m:val=")"/>
                    <m:grow/>
                  </m:dPr>
                  <m:e>
                    <m:sSub>
                      <m:e>
                        <m:r>
                          <m:t>μ</m:t>
                        </m:r>
                      </m:e>
                      <m:sub>
                        <m:r>
                          <m:t>i</m:t>
                        </m:r>
                      </m:sub>
                    </m:sSub>
                    <m:r>
                      <m:rPr>
                        <m:sty m:val="p"/>
                      </m:rPr>
                      <m:t>,</m:t>
                    </m:r>
                    <m:r>
                      <m:t>ϕ</m:t>
                    </m:r>
                  </m:e>
                </m:d>
              </m:e>
            </m:mr>
            <m:mr>
              <m:e>
                <m:r>
                  <m:rPr>
                    <m:sty m:val="p"/>
                  </m:rPr>
                  <m:t>log</m:t>
                </m:r>
                <m:d>
                  <m:dPr>
                    <m:begChr m:val="("/>
                    <m:sepChr m:val=""/>
                    <m:endChr m:val=")"/>
                    <m:grow/>
                  </m:dPr>
                  <m:e>
                    <m:sSub>
                      <m:e>
                        <m:r>
                          <m:t>μ</m:t>
                        </m:r>
                      </m:e>
                      <m:sub>
                        <m:r>
                          <m:t>i</m:t>
                        </m:r>
                      </m:sub>
                    </m:sSub>
                  </m:e>
                </m:d>
              </m:e>
              <m:e>
                <m:r>
                  <m:rPr>
                    <m:sty m:val="p"/>
                  </m:rPr>
                  <m:t>=</m:t>
                </m:r>
                <m:sSub>
                  <m:e>
                    <m:r>
                      <m:t>β</m:t>
                    </m:r>
                  </m:e>
                  <m:sub>
                    <m:r>
                      <m:t>0</m:t>
                    </m:r>
                  </m:sub>
                </m:sSub>
                <m:r>
                  <m:rPr>
                    <m:sty m:val="p"/>
                  </m:rPr>
                  <m:t>+</m:t>
                </m:r>
                <m:sSub>
                  <m:e>
                    <m:r>
                      <m:t>f</m:t>
                    </m:r>
                  </m:e>
                  <m:sub>
                    <m:r>
                      <m:t>1</m:t>
                    </m:r>
                  </m:sub>
                </m:sSub>
                <m:d>
                  <m:dPr>
                    <m:begChr m:val="("/>
                    <m:sepChr m:val=""/>
                    <m:endChr m:val=")"/>
                    <m:grow/>
                  </m:dPr>
                  <m:e>
                    <m:sSub>
                      <m:e>
                        <m:r>
                          <m:rPr>
                            <m:nor/>
                            <m:sty m:val="p"/>
                          </m:rPr>
                          <m:t>dec_time</m:t>
                        </m:r>
                      </m:e>
                      <m:sub>
                        <m:r>
                          <m:t>i</m:t>
                        </m:r>
                      </m:sub>
                    </m:sSub>
                  </m:e>
                </m:d>
                <m:r>
                  <m:rPr>
                    <m:sty m:val="p"/>
                  </m:rPr>
                  <m:t>+</m:t>
                </m:r>
                <m:sSub>
                  <m:e>
                    <m:r>
                      <m:t>f</m:t>
                    </m:r>
                  </m:e>
                  <m:sub>
                    <m:r>
                      <m:t>2</m:t>
                    </m:r>
                  </m:sub>
                </m:sSub>
                <m:d>
                  <m:dPr>
                    <m:begChr m:val="("/>
                    <m:sepChr m:val=""/>
                    <m:endChr m:val=")"/>
                    <m:grow/>
                  </m:dPr>
                  <m:e>
                    <m:sSub>
                      <m:e>
                        <m:r>
                          <m:rPr>
                            <m:nor/>
                            <m:sty m:val="p"/>
                          </m:rPr>
                          <m:t>doy</m:t>
                        </m:r>
                      </m:e>
                      <m:sub>
                        <m:r>
                          <m:t>i</m:t>
                        </m:r>
                      </m:sub>
                    </m:sSub>
                  </m:e>
                </m:d>
                <m:r>
                  <m:rPr>
                    <m:sty m:val="p"/>
                  </m:rPr>
                  <m:t>+</m:t>
                </m:r>
                <m:sSub>
                  <m:e>
                    <m:r>
                      <m:t>f</m:t>
                    </m:r>
                  </m:e>
                  <m:sub>
                    <m:r>
                      <m:t>3</m:t>
                    </m:r>
                  </m:sub>
                </m:sSub>
                <m:d>
                  <m:dPr>
                    <m:begChr m:val="("/>
                    <m:sepChr m:val=""/>
                    <m:endChr m:val=")"/>
                    <m:grow/>
                  </m:dPr>
                  <m:e>
                    <m:sSub>
                      <m:e>
                        <m:r>
                          <m:rPr>
                            <m:nor/>
                            <m:sty m:val="p"/>
                          </m:rPr>
                          <m:t>sal</m:t>
                        </m:r>
                      </m:e>
                      <m:sub>
                        <m:r>
                          <m:t>i</m:t>
                        </m:r>
                      </m:sub>
                    </m:sSub>
                  </m:e>
                </m:d>
              </m:e>
            </m:mr>
            <m:mr>
              <m:e/>
              <m:e>
                <m:r>
                  <m:t> </m:t>
                </m:r>
                <m:r>
                  <m:rPr>
                    <m:sty m:val="p"/>
                  </m:rPr>
                  <m:t>+</m:t>
                </m:r>
                <m:sSub>
                  <m:e>
                    <m:r>
                      <m:t>f</m:t>
                    </m:r>
                  </m:e>
                  <m:sub>
                    <m:r>
                      <m:t>12</m:t>
                    </m:r>
                  </m:sub>
                </m:sSub>
                <m:d>
                  <m:dPr>
                    <m:begChr m:val="("/>
                    <m:sepChr m:val=""/>
                    <m:endChr m:val=")"/>
                    <m:grow/>
                  </m:dPr>
                  <m:e>
                    <m:sSub>
                      <m:e>
                        <m:r>
                          <m:rPr>
                            <m:nor/>
                            <m:sty m:val="p"/>
                          </m:rPr>
                          <m:t>dec_time</m:t>
                        </m:r>
                      </m:e>
                      <m:sub>
                        <m:r>
                          <m:t>i</m:t>
                        </m:r>
                      </m:sub>
                    </m:sSub>
                    <m:r>
                      <m:rPr>
                        <m:sty m:val="p"/>
                      </m:rPr>
                      <m:t>,</m:t>
                    </m:r>
                    <m:sSub>
                      <m:e>
                        <m:r>
                          <m:rPr>
                            <m:nor/>
                            <m:sty m:val="p"/>
                          </m:rPr>
                          <m:t>doy</m:t>
                        </m:r>
                      </m:e>
                      <m:sub>
                        <m:r>
                          <m:t>i</m:t>
                        </m:r>
                      </m:sub>
                    </m:sSub>
                  </m:e>
                </m:d>
              </m:e>
            </m:mr>
            <m:mr>
              <m:e/>
              <m:e>
                <m:r>
                  <m:t> </m:t>
                </m:r>
                <m:r>
                  <m:rPr>
                    <m:sty m:val="p"/>
                  </m:rPr>
                  <m:t>+</m:t>
                </m:r>
                <m:sSub>
                  <m:e>
                    <m:r>
                      <m:t>f</m:t>
                    </m:r>
                  </m:e>
                  <m:sub>
                    <m:r>
                      <m:t>13</m:t>
                    </m:r>
                  </m:sub>
                </m:sSub>
                <m:d>
                  <m:dPr>
                    <m:begChr m:val="("/>
                    <m:sepChr m:val=""/>
                    <m:endChr m:val=")"/>
                    <m:grow/>
                  </m:dPr>
                  <m:e>
                    <m:sSub>
                      <m:e>
                        <m:r>
                          <m:rPr>
                            <m:nor/>
                            <m:sty m:val="p"/>
                          </m:rPr>
                          <m:t>dec_time</m:t>
                        </m:r>
                      </m:e>
                      <m:sub>
                        <m:r>
                          <m:t>i</m:t>
                        </m:r>
                      </m:sub>
                    </m:sSub>
                    <m:r>
                      <m:rPr>
                        <m:sty m:val="p"/>
                      </m:rPr>
                      <m:t>,</m:t>
                    </m:r>
                    <m:sSub>
                      <m:e>
                        <m:r>
                          <m:rPr>
                            <m:nor/>
                            <m:sty m:val="p"/>
                          </m:rPr>
                          <m:t>sal</m:t>
                        </m:r>
                      </m:e>
                      <m:sub>
                        <m:r>
                          <m:t>i</m:t>
                        </m:r>
                      </m:sub>
                    </m:sSub>
                  </m:e>
                </m:d>
              </m:e>
            </m:mr>
            <m:mr>
              <m:e/>
              <m:e>
                <m:r>
                  <m:t> </m:t>
                </m:r>
                <m:r>
                  <m:rPr>
                    <m:sty m:val="p"/>
                  </m:rPr>
                  <m:t>+</m:t>
                </m:r>
                <m:sSub>
                  <m:e>
                    <m:r>
                      <m:t>f</m:t>
                    </m:r>
                  </m:e>
                  <m:sub>
                    <m:r>
                      <m:t>23</m:t>
                    </m:r>
                  </m:sub>
                </m:sSub>
                <m:d>
                  <m:dPr>
                    <m:begChr m:val="("/>
                    <m:sepChr m:val=""/>
                    <m:endChr m:val=")"/>
                    <m:grow/>
                  </m:dPr>
                  <m:e>
                    <m:sSub>
                      <m:e>
                        <m:r>
                          <m:rPr>
                            <m:nor/>
                            <m:sty m:val="p"/>
                          </m:rPr>
                          <m:t>sal</m:t>
                        </m:r>
                      </m:e>
                      <m:sub>
                        <m:r>
                          <m:t>i</m:t>
                        </m:r>
                      </m:sub>
                    </m:sSub>
                    <m:r>
                      <m:rPr>
                        <m:sty m:val="p"/>
                      </m:rPr>
                      <m:t>,</m:t>
                    </m:r>
                    <m:sSub>
                      <m:e>
                        <m:r>
                          <m:rPr>
                            <m:nor/>
                            <m:sty m:val="p"/>
                          </m:rPr>
                          <m:t>doy</m:t>
                        </m:r>
                      </m:e>
                      <m:sub>
                        <m:r>
                          <m:t>i</m:t>
                        </m:r>
                      </m:sub>
                    </m:sSub>
                  </m:e>
                </m:d>
              </m:e>
            </m:mr>
          </m:m>
        </m:oMath>
      </m:oMathPara>
    </w:p>
    <w:p>
      <w:pPr>
        <w:pStyle w:val="FirstParagraph"/>
      </w:pPr>
      <w:r>
        <w:t xml:space="preserve">where chlorophyll-a is modelled as a Gamma-distributed response variable with mean</w:t>
      </w:r>
      <w:r>
        <w:t xml:space="preserve"> </w:t>
      </w:r>
      <m:oMath>
        <m:sSub>
          <m:e>
            <m:r>
              <m:t>μ</m:t>
            </m:r>
          </m:e>
          <m:sub>
            <m:r>
              <m:t>i</m:t>
            </m:r>
          </m:sub>
        </m:sSub>
      </m:oMath>
      <w:r>
        <w:t xml:space="preserve"> </w:t>
      </w:r>
      <w:r>
        <w:t xml:space="preserve">and dispersion parameter ϕ for observation i. The log-transformed mean chlorophyll-a is modelled as an intercept (</w:t>
      </w:r>
      <m:oMath>
        <m:sSub>
          <m:e>
            <m:r>
              <m:t>β</m:t>
            </m:r>
          </m:e>
          <m:sub>
            <m:r>
              <m:t>0</m:t>
            </m:r>
          </m:sub>
        </m:sSub>
      </m:oMath>
      <w:r>
        <w:t xml:space="preserve">) plus smooth functions of decimal time (dec_time), day of year (doy), and salinity (sal), along with tensor product smooth interactions between each pair of the three predictors. Specifically,</w:t>
      </w:r>
      <w:r>
        <w:t xml:space="preserve"> </w:t>
      </w:r>
      <m:oMath>
        <m:sSub>
          <m:e>
            <m:r>
              <m:t>f</m:t>
            </m:r>
          </m:e>
          <m:sub>
            <m:r>
              <m:t>1</m:t>
            </m:r>
          </m:sub>
        </m:sSub>
        <m:r>
          <m:rPr>
            <m:sty m:val="p"/>
          </m:rPr>
          <m:t>​</m:t>
        </m:r>
        <m:d>
          <m:dPr>
            <m:begChr m:val="("/>
            <m:sepChr m:val=""/>
            <m:endChr m:val=")"/>
            <m:grow/>
          </m:dPr>
          <m:e/>
        </m:d>
      </m:oMath>
      <w:r>
        <w:t xml:space="preserve"> </w:t>
      </w:r>
      <w:r>
        <w:t xml:space="preserve">is a thin plate regression spline with k = 40 basis functions,</w:t>
      </w:r>
      <w:r>
        <w:t xml:space="preserve"> </w:t>
      </w:r>
      <m:oMath>
        <m:sSub>
          <m:e>
            <m:r>
              <m:t>f</m:t>
            </m:r>
          </m:e>
          <m:sub>
            <m:r>
              <m:t>2</m:t>
            </m:r>
          </m:sub>
        </m:sSub>
        <m:d>
          <m:dPr>
            <m:begChr m:val="("/>
            <m:sepChr m:val=""/>
            <m:endChr m:val=")"/>
            <m:grow/>
          </m:dPr>
          <m:e/>
        </m:d>
      </m:oMath>
      <w:r>
        <w:t xml:space="preserve"> </w:t>
      </w:r>
      <w:r>
        <w:t xml:space="preserve">is a cyclic cubic regression spline with k = 10 basis functions,</w:t>
      </w:r>
      <w:r>
        <w:t xml:space="preserve"> </w:t>
      </w:r>
      <m:oMath>
        <m:sSub>
          <m:e>
            <m:r>
              <m:t>f</m:t>
            </m:r>
          </m:e>
          <m:sub>
            <m:r>
              <m:t>3</m:t>
            </m:r>
          </m:sub>
        </m:sSub>
        <m:d>
          <m:dPr>
            <m:begChr m:val="("/>
            <m:sepChr m:val=""/>
            <m:endChr m:val=")"/>
            <m:grow/>
          </m:dPr>
          <m:e/>
        </m:d>
      </m:oMath>
      <w:r>
        <w:t xml:space="preserve"> </w:t>
      </w:r>
      <w:r>
        <w:t xml:space="preserve">is a thin plate regression spline with k = 10 basis functions, and</w:t>
      </w:r>
      <w:r>
        <w:t xml:space="preserve"> </w:t>
      </w:r>
      <m:oMath>
        <m:sSub>
          <m:e>
            <m:r>
              <m:t>f</m:t>
            </m:r>
          </m:e>
          <m:sub>
            <m:r>
              <m:t>12</m:t>
            </m:r>
          </m:sub>
        </m:sSub>
        <m:d>
          <m:dPr>
            <m:begChr m:val="("/>
            <m:sepChr m:val=""/>
            <m:endChr m:val=")"/>
            <m:grow/>
          </m:dPr>
          <m:e/>
        </m:d>
      </m:oMath>
      <w:r>
        <w:t xml:space="preserve">,</w:t>
      </w:r>
      <w:r>
        <w:t xml:space="preserve"> </w:t>
      </w:r>
      <m:oMath>
        <m:sSub>
          <m:e>
            <m:r>
              <m:t>f</m:t>
            </m:r>
          </m:e>
          <m:sub>
            <m:r>
              <m:t>13</m:t>
            </m:r>
          </m:sub>
        </m:sSub>
        <m:d>
          <m:dPr>
            <m:begChr m:val="("/>
            <m:sepChr m:val=""/>
            <m:endChr m:val=")"/>
            <m:grow/>
          </m:dPr>
          <m:e/>
        </m:d>
      </m:oMath>
      <w:r>
        <w:t xml:space="preserve">, and</w:t>
      </w:r>
      <w:r>
        <w:t xml:space="preserve"> </w:t>
      </w:r>
      <m:oMath>
        <m:sSub>
          <m:e>
            <m:r>
              <m:t>f</m:t>
            </m:r>
          </m:e>
          <m:sub>
            <m:r>
              <m:t>23</m:t>
            </m:r>
          </m:sub>
        </m:sSub>
        <m:d>
          <m:dPr>
            <m:begChr m:val="("/>
            <m:sepChr m:val=""/>
            <m:endChr m:val=")"/>
            <m:grow/>
          </m:dPr>
          <m:e/>
        </m:d>
      </m:oMath>
      <w:r>
        <w:t xml:space="preserve"> </w:t>
      </w:r>
      <w:r>
        <w:t xml:space="preserve">are tensor product smooths (excluding main effects) with k = (5, 5) basis functions. Smoothing parameters were estimated using restricted maximum likelihood (REML).</w:t>
      </w:r>
    </w:p>
    <w:p>
      <w:pPr>
        <w:pStyle w:val="BodyText"/>
      </w:pPr>
      <w:r>
        <w:t xml:space="preserve">ACF plots showed minimal autocorrelation of model residuals at lag 1 (all &lt; 0.20 rho).</w:t>
      </w:r>
    </w:p>
    <w:p>
      <w:pPr>
        <w:pStyle w:val="BodyText"/>
      </w:pPr>
      <w:r>
        <w:t xml:space="preserve">K values chosen to allow sufficient degress of freedom for each smoother. Once models were fit, the</w:t>
      </w:r>
      <w:r>
        <w:t xml:space="preserve"> </w:t>
      </w:r>
      <w:r>
        <w:rPr>
          <w:rStyle w:val="VerbatimChar"/>
        </w:rPr>
        <w:t xml:space="preserve">gam.check()</w:t>
      </w:r>
      <w:r>
        <w:t xml:space="preserve"> </w:t>
      </w:r>
      <w:r>
        <w:t xml:space="preserve">function was used to compare the estimated degrees of freedom for each smoother to the maximum degrees of freedom allowed by the k value. None of the smoothers were within 80% of the maximum degrees of freedom allowed.</w:t>
      </w:r>
    </w:p>
    <w:p>
      <w:pPr>
        <w:pStyle w:val="BodyText"/>
      </w:pPr>
      <w:r>
        <w:t xml:space="preserve">Salinity-normalized predictions were made by predicting chlorophyll-a across a range of salinity values (minimum to maximum observed) at each time step, then taking the mean of those predictions as the salinity-normalized value for that time step.</w:t>
      </w:r>
    </w:p>
    <w:p>
      <w:pPr>
        <w:pStyle w:val="BodyText"/>
      </w:pPr>
      <m:oMathPara>
        <m:oMathParaPr>
          <m:jc m:val="center"/>
        </m:oMathParaPr>
        <m:oMath>
          <m:m>
            <m:mPr>
              <m:baseJc m:val="center"/>
              <m:plcHide m:val="on"/>
              <m:mcs>
                <m:mc>
                  <m:mcPr>
                    <m:mcJc m:val="right"/>
                    <m:count m:val="1"/>
                  </m:mcPr>
                </m:mc>
                <m:mc>
                  <m:mcPr>
                    <m:mcJc m:val="left"/>
                    <m:count m:val="1"/>
                  </m:mcPr>
                </m:mc>
              </m:mcs>
            </m:mPr>
            <m:mr>
              <m:e>
                <m:r>
                  <m:rPr>
                    <m:nor/>
                    <m:sty m:val="p"/>
                  </m:rPr>
                  <m:t>Norm</m:t>
                </m:r>
                <m:d>
                  <m:dPr>
                    <m:begChr m:val="("/>
                    <m:sepChr m:val=""/>
                    <m:endChr m:val=")"/>
                    <m:grow/>
                  </m:dPr>
                  <m:e>
                    <m:r>
                      <m:t>t</m:t>
                    </m:r>
                  </m:e>
                </m:d>
              </m:e>
              <m:e>
                <m:r>
                  <m:rPr>
                    <m:sty m:val="p"/>
                  </m:rPr>
                  <m:t>=</m:t>
                </m:r>
                <m:f>
                  <m:fPr>
                    <m:type m:val="bar"/>
                  </m:fPr>
                  <m:num>
                    <m:r>
                      <m:t>1</m:t>
                    </m:r>
                  </m:num>
                  <m:den>
                    <m:d>
                      <m:dPr>
                        <m:begChr m:val="|"/>
                        <m:sepChr m:val=""/>
                        <m:endChr m:val="|"/>
                        <m:grow/>
                      </m:dPr>
                      <m:e>
                        <m:r>
                          <m:rPr>
                            <m:sty m:val="p"/>
                            <m:scr m:val="script"/>
                          </m:rPr>
                          <m:t>S</m:t>
                        </m:r>
                      </m:e>
                    </m:d>
                  </m:den>
                </m:f>
                <m:nary>
                  <m:naryPr>
                    <m:chr m:val="∑"/>
                    <m:limLoc m:val="undOvr"/>
                    <m:subHide m:val="off"/>
                    <m:supHide m:val="on"/>
                  </m:naryPr>
                  <m:sub>
                    <m:r>
                      <m:t>s</m:t>
                    </m:r>
                    <m:r>
                      <m:rPr>
                        <m:sty m:val="p"/>
                      </m:rPr>
                      <m:t>∈</m:t>
                    </m:r>
                    <m:r>
                      <m:rPr>
                        <m:sty m:val="p"/>
                        <m:scr m:val="script"/>
                      </m:rPr>
                      <m:t>S</m:t>
                    </m:r>
                  </m:sub>
                  <m:sup>
                    <m:r>
                      <m:t>​</m:t>
                    </m:r>
                  </m:sup>
                  <m:e>
                    <m:acc>
                      <m:accPr>
                        <m:chr m:val="̂"/>
                      </m:accPr>
                      <m:e>
                        <m:r>
                          <m:t>f</m:t>
                        </m:r>
                      </m:e>
                    </m:acc>
                  </m:e>
                </m:nary>
                <m:d>
                  <m:dPr>
                    <m:begChr m:val="("/>
                    <m:sepChr m:val=""/>
                    <m:endChr m:val=")"/>
                    <m:grow/>
                  </m:dPr>
                  <m:e>
                    <m:r>
                      <m:t>t</m:t>
                    </m:r>
                    <m:r>
                      <m:rPr>
                        <m:sty m:val="p"/>
                      </m:rPr>
                      <m:t>,</m:t>
                    </m:r>
                    <m:r>
                      <m:t>s</m:t>
                    </m:r>
                    <m:r>
                      <m:rPr>
                        <m:sty m:val="p"/>
                      </m:rPr>
                      <m:t>,</m:t>
                    </m:r>
                    <m:sSub>
                      <m:e>
                        <m:acc>
                          <m:accPr>
                            <m:chr m:val="‾"/>
                          </m:accPr>
                          <m:e>
                            <m:r>
                              <m:rPr>
                                <m:nor/>
                                <m:sty m:val="p"/>
                              </m:rPr>
                              <m:t>sal</m:t>
                            </m:r>
                          </m:e>
                        </m:acc>
                      </m:e>
                      <m:sub>
                        <m:r>
                          <m:t>m</m:t>
                        </m:r>
                        <m:d>
                          <m:dPr>
                            <m:begChr m:val="("/>
                            <m:sepChr m:val=""/>
                            <m:endChr m:val=")"/>
                            <m:grow/>
                          </m:dPr>
                          <m:e>
                            <m:r>
                              <m:t>t</m:t>
                            </m:r>
                          </m:e>
                        </m:d>
                        <m:r>
                          <m:rPr>
                            <m:sty m:val="p"/>
                          </m:rPr>
                          <m:t>,</m:t>
                        </m:r>
                        <m:r>
                          <m:t>y</m:t>
                        </m:r>
                        <m:d>
                          <m:dPr>
                            <m:begChr m:val="("/>
                            <m:sepChr m:val=""/>
                            <m:endChr m:val=")"/>
                            <m:grow/>
                          </m:dPr>
                          <m:e>
                            <m:r>
                              <m:t>t</m:t>
                            </m:r>
                          </m:e>
                        </m:d>
                      </m:sub>
                    </m:sSub>
                  </m:e>
                </m:d>
              </m:e>
            </m:mr>
          </m:m>
        </m:oMath>
      </m:oMathPara>
    </w:p>
    <w:bookmarkEnd w:id="25"/>
    <w:bookmarkStart w:id="26" w:name="scenario-assessment"/>
    <w:p>
      <w:pPr>
        <w:pStyle w:val="Heading3"/>
      </w:pPr>
      <w:r>
        <w:t xml:space="preserve">4.3 Scenario assessment</w:t>
      </w:r>
    </w:p>
    <w:p>
      <w:pPr>
        <w:pStyle w:val="FirstParagraph"/>
      </w:pPr>
      <w:r>
        <w:t xml:space="preserve">Make a note about forecasting with GAMs, they are tricky because the polynomial surfaces behave poorly outside of the range of the observed data.</w:t>
      </w:r>
    </w:p>
    <w:bookmarkEnd w:id="26"/>
    <w:bookmarkEnd w:id="27"/>
    <w:bookmarkStart w:id="28" w:name="results"/>
    <w:p>
      <w:pPr>
        <w:pStyle w:val="Heading2"/>
      </w:pPr>
      <w:r>
        <w:t xml:space="preserve">5 Results</w:t>
      </w:r>
    </w:p>
    <w:p>
      <w:pPr>
        <w:pStyle w:val="FirstParagraph"/>
      </w:pPr>
      <w:hyperlink w:anchor="fig-obsprd">
        <w:r>
          <w:rPr>
            <w:rStyle w:val="Hyperlink"/>
          </w:rPr>
          <w:t xml:space="preserve">Figure 1</w:t>
        </w:r>
      </w:hyperlink>
      <w:r>
        <w:t xml:space="preserve">,</w:t>
      </w:r>
      <w:r>
        <w:t xml:space="preserve"> </w:t>
      </w:r>
      <w:hyperlink w:anchor="fig-prdnrm">
        <w:r>
          <w:rPr>
            <w:rStyle w:val="Hyperlink"/>
          </w:rPr>
          <w:t xml:space="preserve">Figure 2</w:t>
        </w:r>
      </w:hyperlink>
      <w:r>
        <w:t xml:space="preserve">,</w:t>
      </w:r>
      <w:r>
        <w:t xml:space="preserve"> </w:t>
      </w:r>
      <w:hyperlink w:anchor="fig-gridplo">
        <w:r>
          <w:rPr>
            <w:rStyle w:val="Hyperlink"/>
          </w:rPr>
          <w:t xml:space="preserve">Figure 4</w:t>
        </w:r>
      </w:hyperlink>
      <w:r>
        <w:t xml:space="preserve">,</w:t>
      </w:r>
      <w:r>
        <w:t xml:space="preserve"> </w:t>
      </w:r>
      <w:hyperlink w:anchor="fig-salvload">
        <w:r>
          <w:rPr>
            <w:rStyle w:val="Hyperlink"/>
          </w:rPr>
          <w:t xml:space="preserve">Figure 3</w:t>
        </w:r>
      </w:hyperlink>
      <w:r>
        <w:t xml:space="preserve">,</w:t>
      </w:r>
      <w:r>
        <w:t xml:space="preserve"> </w:t>
      </w:r>
      <w:hyperlink w:anchor="fig-simplo">
        <w:r>
          <w:rPr>
            <w:rStyle w:val="Hyperlink"/>
          </w:rPr>
          <w:t xml:space="preserve">Figure 5</w:t>
        </w:r>
      </w:hyperlink>
      <w:r>
        <w:t xml:space="preserve">,</w:t>
      </w:r>
      <w:r>
        <w:t xml:space="preserve"> </w:t>
      </w:r>
      <w:hyperlink w:anchor="fig-simex">
        <w:r>
          <w:rPr>
            <w:rStyle w:val="Hyperlink"/>
          </w:rPr>
          <w:t xml:space="preserve">Figure 6</w:t>
        </w:r>
      </w:hyperlink>
    </w:p>
    <w:p>
      <w:pPr>
        <w:pStyle w:val="BodyText"/>
      </w:pPr>
      <w:hyperlink w:anchor="tbl-gamtab">
        <w:r>
          <w:rPr>
            <w:rStyle w:val="Hyperlink"/>
          </w:rPr>
          <w:t xml:space="preserve">Table 1</w:t>
        </w:r>
      </w:hyperlink>
      <w:r>
        <w:t xml:space="preserve">,</w:t>
      </w:r>
      <w:r>
        <w:t xml:space="preserve"> </w:t>
      </w:r>
      <w:hyperlink w:anchor="tbl-gamcrtab">
        <w:r>
          <w:rPr>
            <w:rStyle w:val="Hyperlink"/>
          </w:rPr>
          <w:t xml:space="preserve">Table 2</w:t>
        </w:r>
      </w:hyperlink>
      <w:r>
        <w:t xml:space="preserve">,</w:t>
      </w:r>
      <w:r>
        <w:t xml:space="preserve"> </w:t>
      </w:r>
      <w:hyperlink w:anchor="tbl-prdnrmtab">
        <w:r>
          <w:rPr>
            <w:rStyle w:val="Hyperlink"/>
          </w:rPr>
          <w:t xml:space="preserve">Table 3</w:t>
        </w:r>
      </w:hyperlink>
      <w:r>
        <w:t xml:space="preserve">,</w:t>
      </w:r>
      <w:r>
        <w:t xml:space="preserve"> </w:t>
      </w:r>
      <w:hyperlink w:anchor="tbl-liktab">
        <w:r>
          <w:rPr>
            <w:rStyle w:val="Hyperlink"/>
          </w:rPr>
          <w:t xml:space="preserve">Table 4</w:t>
        </w:r>
      </w:hyperlink>
    </w:p>
    <w:bookmarkEnd w:id="28"/>
    <w:bookmarkStart w:id="29" w:name="discussion"/>
    <w:p>
      <w:pPr>
        <w:pStyle w:val="Heading2"/>
      </w:pPr>
      <w:r>
        <w:t xml:space="preserve">6 Discussion</w:t>
      </w:r>
    </w:p>
    <w:p>
      <w:pPr>
        <w:pStyle w:val="FirstParagraph"/>
      </w:pPr>
      <w:r>
        <w:t xml:space="preserve">Why do chlorophyll simulations using actual loads at time zero show lower likelihoods of exceeding the threshold than the actual percent of years in the time period that exceeded? For example, in OTB from 2017-2021, 4 of the 5 years exceeded the threshold, producing an expectation that the baseline likelihood would be 80% for the actual load at time zero (observed salinity). First, the actual values for chlorophyll were very close to the threshold. Given the inherent uncertainty in measured data (observational and process uncertainy) and the uncertainty of the models (model uncertainty, affected by both observation and process uncertainty), a lower than expected likelihood of exceeding the threshold for that time period was provided by the simulations. Further, annual exceedances are largely driven by high values during the summer months which produce a higher mean value in a variable that is inherently log-distributed. Because GAMs, like most empirical models, describe the mean response, these high values are poorly described and are not common outputs in the simulated values. So, the likelihoods of exceeding the threshold can be considered underestimates, whereas the more important result is the relative increase in the likelihood over time given projected salinity changes in the future. In other words, all scenarios suggested greater exceedances of regulatory thresholds from present to fifty years.</w:t>
      </w:r>
    </w:p>
    <w:p>
      <w:r>
        <w:br w:type="page"/>
      </w:r>
    </w:p>
    <w:bookmarkEnd w:id="29"/>
    <w:bookmarkStart w:id="54"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33" w:name="fig-obsprd"/>
          <w:p>
            <w:pPr>
              <w:pStyle w:val="Compact"/>
              <w:jc w:val="center"/>
            </w:pPr>
            <w:r>
              <w:drawing>
                <wp:inline>
                  <wp:extent cx="5943600" cy="6686549"/>
                  <wp:effectExtent b="0" l="0" r="0" t="0"/>
                  <wp:docPr descr="" title="" id="31" name="Picture"/>
                  <a:graphic>
                    <a:graphicData uri="http://schemas.openxmlformats.org/drawingml/2006/picture">
                      <pic:pic>
                        <pic:nvPicPr>
                          <pic:cNvPr descr="figs/obsprd.png" id="32" name="Picture"/>
                          <pic:cNvPicPr>
                            <a:picLocks noChangeArrowheads="1" noChangeAspect="1"/>
                          </pic:cNvPicPr>
                        </pic:nvPicPr>
                        <pic:blipFill>
                          <a:blip r:embed="rId30"/>
                          <a:stretch>
                            <a:fillRect/>
                          </a:stretch>
                        </pic:blipFill>
                        <pic:spPr bwMode="auto">
                          <a:xfrm>
                            <a:off x="0" y="0"/>
                            <a:ext cx="5943600" cy="6686549"/>
                          </a:xfrm>
                          <a:prstGeom prst="rect">
                            <a:avLst/>
                          </a:prstGeom>
                          <a:noFill/>
                          <a:ln w="9525">
                            <a:noFill/>
                            <a:headEnd/>
                            <a:tailEnd/>
                          </a:ln>
                        </pic:spPr>
                      </pic:pic>
                    </a:graphicData>
                  </a:graphic>
                </wp:inline>
              </w:drawing>
            </w:r>
          </w:p>
          <w:p>
            <w:pPr>
              <w:jc w:val="center"/>
            </w:pPr>
            <w:pPr>
              <w:jc w:val="left"/>
              <w:spacing w:before="200"/>
              <w:pStyle w:val="ImageCaption"/>
            </w:pPr>
            <w:r>
              <w:t xml:space="preserve">Fig. 1: Observed and predicted chlorophll-a (</w:t>
            </w:r>
            <m:oMath>
              <m:r>
                <m:t>μ</m:t>
              </m:r>
            </m:oMath>
            <w:r>
              <w:t xml:space="preserve">g/L) for the four major bay segments of Tampa Bay. Observed and predicted are shown continuously over time (a) and by month (b). Color shading indicates year. Rows are arranged by bay segment with the top labels in the left column showing the bay segment and the right column showing deviance explained.</w:t>
            </w:r>
          </w:p>
          <w:bookmarkEnd w:id="33"/>
        </w:tc>
      </w:tr>
    </w:tbl>
    <w:p>
      <w:r>
        <w:br w:type="page"/>
      </w:r>
    </w:p>
    <w:tbl>
      <w:tblPr>
        <w:tblStyle w:val="Table"/>
        <w:tblW w:type="pct" w:w="5000"/>
        <w:tblLayout w:type="fixed"/>
        <w:tblLook w:firstRow="0" w:lastRow="0" w:firstColumn="0" w:lastColumn="0" w:noHBand="0" w:noVBand="0" w:val="0000"/>
      </w:tblPr>
      <w:tblGrid>
        <w:gridCol w:w="7920"/>
      </w:tblGrid>
      <w:tr>
        <w:tc>
          <w:tcPr/>
          <w:bookmarkStart w:id="37" w:name="fig-prdnrm"/>
          <w:p>
            <w:pPr>
              <w:pStyle w:val="Compact"/>
              <w:jc w:val="center"/>
            </w:pPr>
            <w:r>
              <w:drawing>
                <wp:inline>
                  <wp:extent cx="5943600" cy="4245428"/>
                  <wp:effectExtent b="0" l="0" r="0" t="0"/>
                  <wp:docPr descr="" title="" id="35" name="Picture"/>
                  <a:graphic>
                    <a:graphicData uri="http://schemas.openxmlformats.org/drawingml/2006/picture">
                      <pic:pic>
                        <pic:nvPicPr>
                          <pic:cNvPr descr="figs/prdnrm.png" id="36" name="Picture"/>
                          <pic:cNvPicPr>
                            <a:picLocks noChangeArrowheads="1" noChangeAspect="1"/>
                          </pic:cNvPicPr>
                        </pic:nvPicPr>
                        <pic:blipFill>
                          <a:blip r:embed="rId34"/>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 2: Annual predictions, normalized estimates, and normalized estimates at mean loading for chlorophyll-a by major bay segment from the separate GAMs. Normalized values (solid lines) are those that remove the salinity influence using the mean result of predictions across a range of salinity values at each time step, whereas the normalized, mean load values (dashed lines) are salinity-normalized values at a constant mean load for each bay segment. OTB: Old Tampa Bay; HB: Hillsborough Bay; MTB: Middle Tampa Bay; LTB: Lower Tampa Bay.</w:t>
            </w:r>
          </w:p>
          <w:bookmarkEnd w:id="37"/>
        </w:tc>
      </w:tr>
    </w:tbl>
    <w:p>
      <w:r>
        <w:br w:type="page"/>
      </w:r>
    </w:p>
    <w:tbl>
      <w:tblPr>
        <w:tblStyle w:val="Table"/>
        <w:tblW w:type="pct" w:w="5000"/>
        <w:tblLayout w:type="fixed"/>
        <w:tblLook w:firstRow="0" w:lastRow="0" w:firstColumn="0" w:lastColumn="0" w:noHBand="0" w:noVBand="0" w:val="0000"/>
      </w:tblPr>
      <w:tblGrid>
        <w:gridCol w:w="7920"/>
      </w:tblGrid>
      <w:tr>
        <w:tc>
          <w:tcPr/>
          <w:bookmarkStart w:id="41" w:name="fig-salvload"/>
          <w:p>
            <w:pPr>
              <w:pStyle w:val="Compact"/>
              <w:jc w:val="center"/>
            </w:pPr>
            <w:r>
              <w:drawing>
                <wp:inline>
                  <wp:extent cx="5943600" cy="7528559"/>
                  <wp:effectExtent b="0" l="0" r="0" t="0"/>
                  <wp:docPr descr="" title="" id="39" name="Picture"/>
                  <a:graphic>
                    <a:graphicData uri="http://schemas.openxmlformats.org/drawingml/2006/picture">
                      <pic:pic>
                        <pic:nvPicPr>
                          <pic:cNvPr descr="figs/salvload.png" id="40" name="Picture"/>
                          <pic:cNvPicPr>
                            <a:picLocks noChangeArrowheads="1" noChangeAspect="1"/>
                          </pic:cNvPicPr>
                        </pic:nvPicPr>
                        <pic:blipFill>
                          <a:blip r:embed="rId38"/>
                          <a:stretch>
                            <a:fillRect/>
                          </a:stretch>
                        </pic:blipFill>
                        <pic:spPr bwMode="auto">
                          <a:xfrm>
                            <a:off x="0" y="0"/>
                            <a:ext cx="5943600" cy="7528559"/>
                          </a:xfrm>
                          <a:prstGeom prst="rect">
                            <a:avLst/>
                          </a:prstGeom>
                          <a:noFill/>
                          <a:ln w="9525">
                            <a:noFill/>
                            <a:headEnd/>
                            <a:tailEnd/>
                          </a:ln>
                        </pic:spPr>
                      </pic:pic>
                    </a:graphicData>
                  </a:graphic>
                </wp:inline>
              </w:drawing>
            </w:r>
          </w:p>
          <w:p>
            <w:pPr>
              <w:jc w:val="center"/>
            </w:pPr>
            <w:pPr>
              <w:jc w:val="left"/>
              <w:spacing w:before="200"/>
              <w:pStyle w:val="ImageCaption"/>
            </w:pPr>
            <w:r>
              <w:t xml:space="preserve">Fig. 3: State space representations of modelled annual chlorophyll response per unit change in salinity (x-axis) or nitrogen load (y-axis). Points represent values for a given year in (a), joined sequentially through time by the grey lines. Means and 95% confidence for the year groups are shown in (b). OTB: Old Tampa Bay; HB: Hillsborough Bay; MTB: Middle Tampa Bay; LTB: Lower Tampa Bay.</w:t>
            </w:r>
          </w:p>
          <w:bookmarkEnd w:id="41"/>
        </w:tc>
      </w:tr>
    </w:tbl>
    <w:p>
      <w:r>
        <w:br w:type="page"/>
      </w:r>
    </w:p>
    <w:tbl>
      <w:tblPr>
        <w:tblStyle w:val="Table"/>
        <w:tblW w:type="pct" w:w="5000"/>
        <w:tblLayout w:type="fixed"/>
        <w:tblLook w:firstRow="0" w:lastRow="0" w:firstColumn="0" w:lastColumn="0" w:noHBand="0" w:noVBand="0" w:val="0000"/>
      </w:tblPr>
      <w:tblGrid>
        <w:gridCol w:w="7920"/>
      </w:tblGrid>
      <w:tr>
        <w:tc>
          <w:tcPr/>
          <w:bookmarkStart w:id="45" w:name="fig-gridplo"/>
          <w:p>
            <w:pPr>
              <w:pStyle w:val="Compact"/>
              <w:jc w:val="center"/>
            </w:pPr>
            <w:r>
              <w:drawing>
                <wp:inline>
                  <wp:extent cx="5943600" cy="4754880"/>
                  <wp:effectExtent b="0" l="0" r="0" t="0"/>
                  <wp:docPr descr="" title="" id="43" name="Picture"/>
                  <a:graphic>
                    <a:graphicData uri="http://schemas.openxmlformats.org/drawingml/2006/picture">
                      <pic:pic>
                        <pic:nvPicPr>
                          <pic:cNvPr descr="figs/gridplo.png" id="44" name="Picture"/>
                          <pic:cNvPicPr>
                            <a:picLocks noChangeArrowheads="1" noChangeAspect="1"/>
                          </pic:cNvPicPr>
                        </pic:nvPicPr>
                        <pic:blipFill>
                          <a:blip r:embed="rId42"/>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 4: Predicted chlorophyll-a (</w:t>
            </w:r>
            <m:oMath>
              <m:r>
                <m:t>μ</m:t>
              </m:r>
            </m:oMath>
            <w:r>
              <w:t xml:space="preserve">g/L) during the rainy season (June to November) from 2005 to present as related to salinity (ppth) by major bay segment. Facets are arranged to show how the monthly predictions vary across years and different salnity ranges. The points show the model predicted results for the observed salinity. Salinity ranges in each plot are fixed the minimum and maximum observed across years for the month. Grey lines show the chlorophyll contour value for the regulatory threshold for each bay segment. OTB: Old Tampa Bay; HB: Hillsborough Bay; MTB: Middle Tampa Bay; LTB: Lower Tampa Bay.</w:t>
            </w:r>
          </w:p>
          <w:bookmarkEnd w:id="45"/>
        </w:tc>
      </w:tr>
    </w:tbl>
    <w:p>
      <w:r>
        <w:br w:type="page"/>
      </w:r>
    </w:p>
    <w:tbl>
      <w:tblPr>
        <w:tblStyle w:val="Table"/>
        <w:tblW w:type="pct" w:w="5000"/>
        <w:tblLayout w:type="fixed"/>
        <w:tblLook w:firstRow="0" w:lastRow="0" w:firstColumn="0" w:lastColumn="0" w:noHBand="0" w:noVBand="0" w:val="0000"/>
      </w:tblPr>
      <w:tblGrid>
        <w:gridCol w:w="7920"/>
      </w:tblGrid>
      <w:tr>
        <w:tc>
          <w:tcPr/>
          <w:bookmarkStart w:id="49" w:name="fig-simplo"/>
          <w:p>
            <w:pPr>
              <w:pStyle w:val="Compact"/>
              <w:jc w:val="center"/>
            </w:pPr>
            <w:r>
              <w:drawing>
                <wp:inline>
                  <wp:extent cx="5943600" cy="5943600"/>
                  <wp:effectExtent b="0" l="0" r="0" t="0"/>
                  <wp:docPr descr="" title="" id="47" name="Picture"/>
                  <a:graphic>
                    <a:graphicData uri="http://schemas.openxmlformats.org/drawingml/2006/picture">
                      <pic:pic>
                        <pic:nvPicPr>
                          <pic:cNvPr descr="figs/simplo.png" id="48" name="Picture"/>
                          <pic:cNvPicPr>
                            <a:picLocks noChangeArrowheads="1" noChangeAspect="1"/>
                          </pic:cNvPicPr>
                        </pic:nvPicPr>
                        <pic:blipFill>
                          <a:blip r:embed="rId46"/>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5: Likelihood of exceeding regulatory thresholds in each bay segment under different loading conditions and salinity changes. Results for two time periods are shown where starting conditions were those from 1992 to 1994 (red) and from 2017 to 2021 (blue). Line show the average and standard deviations of likelihoods of exceeding the thresholds for 10,000 simulations with each GAM by bay segment. OTB: Old Tampa Bay; HB: Hillsborough Bay; MTB: Middle Tampa Bay; LTB: Lower Tampa Bay.</w:t>
            </w:r>
          </w:p>
          <w:bookmarkEnd w:id="49"/>
        </w:tc>
      </w:tr>
    </w:tbl>
    <w:p>
      <w:r>
        <w:br w:type="page"/>
      </w:r>
    </w:p>
    <w:tbl>
      <w:tblPr>
        <w:tblStyle w:val="Table"/>
        <w:tblW w:type="pct" w:w="5000"/>
        <w:tblLayout w:type="fixed"/>
        <w:tblLook w:firstRow="0" w:lastRow="0" w:firstColumn="0" w:lastColumn="0" w:noHBand="0" w:noVBand="0" w:val="0000"/>
      </w:tblPr>
      <w:tblGrid>
        <w:gridCol w:w="7920"/>
      </w:tblGrid>
      <w:tr>
        <w:tc>
          <w:tcPr/>
          <w:bookmarkStart w:id="53" w:name="fig-simex"/>
          <w:p>
            <w:pPr>
              <w:pStyle w:val="Compact"/>
              <w:jc w:val="center"/>
            </w:pPr>
            <w:r>
              <w:drawing>
                <wp:inline>
                  <wp:extent cx="4587290" cy="5504749"/>
                  <wp:effectExtent b="0" l="0" r="0" t="0"/>
                  <wp:docPr descr="" title="" id="51" name="Picture"/>
                  <a:graphic>
                    <a:graphicData uri="http://schemas.openxmlformats.org/drawingml/2006/picture">
                      <pic:pic>
                        <pic:nvPicPr>
                          <pic:cNvPr descr="figs/simex.png" id="52" name="Picture"/>
                          <pic:cNvPicPr>
                            <a:picLocks noChangeArrowheads="1" noChangeAspect="1"/>
                          </pic:cNvPicPr>
                        </pic:nvPicPr>
                        <pic:blipFill>
                          <a:blip r:embed="rId50"/>
                          <a:stretch>
                            <a:fillRect/>
                          </a:stretch>
                        </pic:blipFill>
                        <pic:spPr bwMode="auto">
                          <a:xfrm>
                            <a:off x="0" y="0"/>
                            <a:ext cx="4587290" cy="5504749"/>
                          </a:xfrm>
                          <a:prstGeom prst="rect">
                            <a:avLst/>
                          </a:prstGeom>
                          <a:noFill/>
                          <a:ln w="9525">
                            <a:noFill/>
                            <a:headEnd/>
                            <a:tailEnd/>
                          </a:ln>
                        </pic:spPr>
                      </pic:pic>
                    </a:graphicData>
                  </a:graphic>
                </wp:inline>
              </w:drawing>
            </w:r>
          </w:p>
          <w:p>
            <w:pPr>
              <w:jc w:val="center"/>
            </w:pPr>
            <w:pPr>
              <w:jc w:val="left"/>
              <w:spacing w:before="200"/>
              <w:pStyle w:val="ImageCaption"/>
            </w:pPr>
            <w:r>
              <w:t xml:space="preserve">Fig. 6: Example simulations of chlorophyll-a for Old Tampa Bay for the period 2017 to 2021. One hundred simulations are shown for the first year where salinity is set at observed and those for expected salinity fifty years from present. Nitrogen load values are set to observed. Mean chlorophyll across the simulations are shown by the black loess smooth, whereas actual mean annual chlorophyll is shown by the blue line. The regulatory threshold is shown by the horizontal red line.</w:t>
            </w:r>
          </w:p>
          <w:bookmarkEnd w:id="53"/>
        </w:tc>
      </w:tr>
    </w:tbl>
    <w:p>
      <w:r>
        <w:br w:type="page"/>
      </w:r>
    </w:p>
    <w:bookmarkEnd w:id="54"/>
    <w:bookmarkStart w:id="59"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55" w:name="tbl-gamtab"/>
          <w:p>
            <w:pPr>
              <w:jc w:val="center"/>
            </w:pPr>
            <w:pPr>
              <w:jc w:val="left"/>
              <w:spacing w:before="200"/>
              <w:pStyle w:val="ImageCaption"/>
            </w:pPr>
            <w:r>
              <w:t xml:space="preserve">Table 1: Generalized Additive Model (GAM) summary statistics for chlorophyll-a predictions by bay segment in Tampa Bay. Results for the overall model fit are shown with the Generalized Cross Validation (GCV) score and deviance explained (Dev. Expl.). Summary statistics for the smoothers used in each model are also shown with the estimated degrees of freedom (edf), reference degrees of freedom (Ref.df), F-statitic (F), and p-value (p, bold &lt;</w:t>
            </w:r>
            <w:r>
              <w:t xml:space="preserve"> </w:t>
            </w:r>
            <m:oMath>
              <m:r>
                <m:t>α</m:t>
              </m:r>
            </m:oMath>
            <w:r>
              <w:t xml:space="preserve"> </w:t>
            </w:r>
            <w:r>
              <w:t xml:space="preserve">= 0.05).</w:t>
            </w:r>
            <w:r>
              <w:t xml:space="preserve"> </w:t>
            </w:r>
            <w:r>
              <w:rPr>
                <w:rStyle w:val="VerbatimChar"/>
              </w:rPr>
              <w:t xml:space="preserve">s()</w:t>
            </w:r>
            <w:r>
              <w:t xml:space="preserve"> </w:t>
            </w:r>
            <w:r>
              <w:t xml:space="preserve">indicates a single spline smooth for the predictor and</w:t>
            </w:r>
            <w:r>
              <w:t xml:space="preserve"> </w:t>
            </w:r>
            <w:r>
              <w:rPr>
                <w:rStyle w:val="VerbatimChar"/>
              </w:rPr>
              <w:t xml:space="preserve">ti()</w:t>
            </w:r>
            <w:r>
              <w:t xml:space="preserve"> </w:t>
            </w:r>
            <w:r>
              <w:t xml:space="preserve">indicatees a tensor product smoother interaction between two predictors. dec_time: decimal time; doy: day of year; sal: salinity (ppth); tn_load: total nitrogen load (tons/month).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103"/>
              <w:gridCol w:w="608"/>
              <w:gridCol w:w="1091"/>
              <w:gridCol w:w="1934"/>
              <w:gridCol w:w="639"/>
              <w:gridCol w:w="700"/>
              <w:gridCol w:w="639"/>
              <w:gridCol w:w="818"/>
            </w:tblGrid>
            <w:tr>
              <w:trPr>
                <w:trHeight w:val="34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Num. Obs.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GCV</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 Expl.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Smoother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Ref.df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w:t>
                  </w:r>
                </w:p>
              </w:tc>
            </w:tr>
            <w:tr>
              <w:trPr>
                <w:trHeight w:val="344"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1139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0.743</w:t>
                  </w:r>
                </w:p>
              </w:tc>
            </w:tr>
            <w:tr>
              <w:trPr>
                <w:trHeight w:val="34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0.015</w:t>
                  </w:r>
                </w:p>
              </w:tc>
            </w:tr>
            <w:tr>
              <w:trPr>
                <w:trHeight w:val="344"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0.724</w:t>
                  </w:r>
                </w:p>
              </w:tc>
            </w:tr>
            <w:tr>
              <w:trPr>
                <w:trHeight w:val="344" w:hRule="auto"/>
              </w:trPr>
              body10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0.342</w:t>
                  </w:r>
                </w:p>
              </w:tc>
            </w:tr>
            <w:tr>
              <w:trPr>
                <w:trHeight w:val="344" w:hRule="auto"/>
              </w:trPr>
              body11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1336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3.91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4.84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21.67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57.86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0.205</w:t>
                  </w:r>
                </w:p>
              </w:tc>
            </w:tr>
            <w:tr>
              <w:trPr>
                <w:trHeight w:val="344"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0.094</w:t>
                  </w:r>
                </w:p>
              </w:tc>
            </w:tr>
            <w:tr>
              <w:trPr>
                <w:trHeight w:val="344"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0.073</w:t>
                  </w:r>
                </w:p>
              </w:tc>
            </w:tr>
            <w:tr>
              <w:trPr>
                <w:trHeight w:val="344"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0.004</w:t>
                  </w:r>
                </w:p>
              </w:tc>
            </w:tr>
            <w:tr>
              <w:trPr>
                <w:trHeight w:val="344"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0.001</w:t>
                  </w:r>
                </w:p>
              </w:tc>
            </w:tr>
            <w:tr>
              <w:trPr>
                <w:trHeight w:val="344" w:hRule="auto"/>
              </w:trPr>
              body20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2.55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3.62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0.013</w:t>
                  </w:r>
                </w:p>
              </w:tc>
            </w:tr>
            <w:tr>
              <w:trPr>
                <w:trHeight w:val="344" w:hRule="auto"/>
              </w:trPr>
              body21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969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9.21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11.43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17.13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0.176</w:t>
                  </w:r>
                </w:p>
              </w:tc>
            </w:tr>
            <w:tr>
              <w:trPr>
                <w:trHeight w:val="344"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0.029</w:t>
                  </w:r>
                </w:p>
              </w:tc>
            </w:tr>
            <w:tr>
              <w:trPr>
                <w:trHeight w:val="344"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0.167</w:t>
                  </w:r>
                </w:p>
              </w:tc>
            </w:tr>
            <w:tr>
              <w:trPr>
                <w:trHeight w:val="344"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0.037</w:t>
                  </w:r>
                </w:p>
              </w:tc>
            </w:tr>
            <w:tr>
              <w:trPr>
                <w:trHeight w:val="344"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0.329</w:t>
                  </w:r>
                </w:p>
              </w:tc>
            </w:tr>
            <w:tr>
              <w:trPr>
                <w:trHeight w:val="344"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0.031</w:t>
                  </w:r>
                </w:p>
              </w:tc>
            </w:tr>
            <w:tr>
              <w:trPr>
                <w:trHeight w:val="344" w:hRule="auto"/>
              </w:trPr>
              body30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0.128</w:t>
                  </w:r>
                </w:p>
              </w:tc>
            </w:tr>
            <w:tr>
              <w:trPr>
                <w:trHeight w:val="344" w:hRule="auto"/>
              </w:trPr>
              body31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830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21.35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3.51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0.021</w:t>
                  </w:r>
                </w:p>
              </w:tc>
            </w:tr>
            <w:tr>
              <w:trPr>
                <w:trHeight w:val="344"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0.024</w:t>
                  </w:r>
                </w:p>
              </w:tc>
            </w:tr>
            <w:tr>
              <w:trPr>
                <w:trHeight w:val="344"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0.998</w:t>
                  </w:r>
                </w:p>
              </w:tc>
            </w:tr>
            <w:tr>
              <w:trPr>
                <w:trHeight w:val="344"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0.978</w:t>
                  </w:r>
                </w:p>
              </w:tc>
            </w:tr>
            <w:tr>
              <w:trPr>
                <w:trHeight w:val="344"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0.640</w:t>
                  </w:r>
                </w:p>
              </w:tc>
            </w:tr>
            <w:tr>
              <w:trPr>
                <w:trHeight w:val="344"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0.034</w:t>
                  </w:r>
                </w:p>
              </w:tc>
            </w:tr>
            <w:tr>
              <w:trPr>
                <w:trHeight w:val="344" w:hRule="auto"/>
              </w:trPr>
              body40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2.02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0.050</w:t>
                  </w:r>
                </w:p>
              </w:tc>
            </w:tr>
          </w:tbl>
          <w:bookmarkEnd w:id="55"/>
        </w:tc>
      </w:tr>
    </w:tbl>
    <w:p>
      <w:r>
        <w:br w:type="page"/>
      </w:r>
    </w:p>
    <w:tbl>
      <w:tblPr>
        <w:tblStyle w:val="Table"/>
        <w:tblW w:type="pct" w:w="5000"/>
        <w:tblLayout w:type="fixed"/>
        <w:tblLook w:firstRow="0" w:lastRow="0" w:firstColumn="0" w:lastColumn="0" w:noHBand="0" w:noVBand="0" w:val="0000"/>
      </w:tblPr>
      <w:tblGrid>
        <w:gridCol w:w="7920"/>
      </w:tblGrid>
      <w:tr>
        <w:tc>
          <w:tcPr/>
          <w:bookmarkStart w:id="56" w:name="tbl-gamcrtab"/>
          <w:p>
            <w:pPr>
              <w:jc w:val="center"/>
            </w:pPr>
            <w:pPr>
              <w:jc w:val="left"/>
              <w:spacing w:before="200"/>
              <w:pStyle w:val="ImageCaption"/>
            </w:pPr>
            <w:r>
              <w:t xml:space="preserve">Table 2: Correlations between monthly observed and predicted chlorophyll-a for different annual and seasonal periods for each bay segment. The Annual column shows the correlation for the entire year grouping (1985-1999, 2000-2014, or 2015-2024) and the remaining columns show the seasonal correlations within the year group. Font shading and size is proportional to the strength of the correlations. See</w:t>
            </w:r>
            <w:r>
              <w:t xml:space="preserve"> </w:t>
            </w:r>
            <w:hyperlink w:anchor="tbl-gamtab">
              <w:r>
                <w:rPr>
                  <w:rStyle w:val="Hyperlink"/>
                </w:rPr>
                <w:t xml:space="preserve">Table 1</w:t>
              </w:r>
            </w:hyperlink>
            <w:r>
              <w:t xml:space="preserve"> </w:t>
            </w:r>
            <w:r>
              <w:t xml:space="preserve">for individual model summary statistics. JFM: January, February, March; AMJ: April, May, June; JAS: July, August, September; OND: October, November, December.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548"/>
              <w:gridCol w:w="584"/>
              <w:gridCol w:w="512"/>
              <w:gridCol w:w="621"/>
            </w:tblGrid>
            <w:tr>
              <w:trPr>
                <w:trHeight w:val="34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JAS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r>
            <w:tr>
              <w:trPr>
                <w:trHeight w:val="296"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55555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555555"/>
                    </w:rPr>
                    <w:t xml:space="preserve">0.81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D3D3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D3D3D"/>
                    </w:rPr>
                    <w:t xml:space="preserve">0.63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84848"/>
                    </w:rPr>
                    <w:t xml:space="preserve">0.65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76767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767676"/>
                    </w:rPr>
                    <w:t xml:space="preserve">0.46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9191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91919"/>
                    </w:rPr>
                    <w:t xml:space="preserve">0.83</w:t>
                  </w:r>
                </w:p>
              </w:tc>
            </w:tr>
            <w:tr>
              <w:trPr>
                <w:trHeight w:val="296"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6D6D6D"/>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E5E5E"/>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69696"/>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3131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31313"/>
                    </w:rPr>
                    <w:t xml:space="preserve">0.85</w:t>
                  </w:r>
                </w:p>
              </w:tc>
            </w:tr>
            <w:tr>
              <w:trPr>
                <w:trHeight w:val="296" w:hRule="auto"/>
              </w:trPr>
              body 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0.90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5555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55555"/>
                    </w:rPr>
                    <w:t xml:space="preserve">0.54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3232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323232"/>
                    </w:rPr>
                    <w:t xml:space="preserve">0.71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5252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52525"/>
                    </w:rPr>
                    <w:t xml:space="preserve">0.71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0.92</w:t>
                  </w:r>
                </w:p>
              </w:tc>
            </w:tr>
            <w:tr>
              <w:trPr>
                <w:trHeight w:val="296" w:hRule="auto"/>
              </w:trPr>
              body 4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55555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555555"/>
                    </w:rPr>
                    <w:t xml:space="preserve">0.81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0.89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C6C6C"/>
                    </w:rPr>
                    <w:t xml:space="preserve">0.52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2C2C2C"/>
                    </w:rPr>
                    <w:t xml:space="preserve">0.69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0.78</w:t>
                  </w:r>
                </w:p>
              </w:tc>
            </w:tr>
            <w:tr>
              <w:trPr>
                <w:trHeight w:val="29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5D5D5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5D5D5D"/>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24242"/>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69696"/>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A5A5A"/>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3D3D3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3D3D3D"/>
                    </w:rPr>
                    <w:t xml:space="preserve">0.72</w:t>
                  </w:r>
                </w:p>
              </w:tc>
            </w:tr>
            <w:tr>
              <w:trPr>
                <w:trHeight w:val="295" w:hRule="auto"/>
              </w:trPr>
              body 6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6D6D6D"/>
                    </w:rPr>
                    <w:t xml:space="preserve">0.78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2C2C2C"/>
                    </w:rPr>
                    <w:t xml:space="preserve">0.69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0.88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86868"/>
                    </w:rPr>
                    <w:t xml:space="preserve">0.51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40404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404040"/>
                    </w:rPr>
                    <w:t xml:space="preserve">0.71</w:t>
                  </w:r>
                </w:p>
              </w:tc>
            </w:tr>
            <w:tr>
              <w:trPr>
                <w:trHeight w:val="296" w:hRule="auto"/>
              </w:trPr>
              body 7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2C2C2C"/>
                    </w:rPr>
                    <w:t xml:space="preserve">0.85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1C1C1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1C1C1C"/>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84848"/>
                    </w:rPr>
                    <w:t xml:space="preserve">0.65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9292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92929"/>
                    </w:rPr>
                    <w:t xml:space="preserve">0.70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3131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31313"/>
                    </w:rPr>
                    <w:t xml:space="preserve">0.85</w:t>
                  </w:r>
                </w:p>
              </w:tc>
            </w:tr>
            <w:tr>
              <w:trPr>
                <w:trHeight w:val="29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2C2C2C"/>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95959"/>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616161"/>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9292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92929"/>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F1F1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F1F1F"/>
                    </w:rPr>
                    <w:t xml:space="preserve">0.81</w:t>
                  </w:r>
                </w:p>
              </w:tc>
            </w:tr>
            <w:tr>
              <w:trPr>
                <w:trHeight w:val="295" w:hRule="auto"/>
              </w:trPr>
              body 9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37373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373737"/>
                    </w:rPr>
                    <w:t xml:space="preserve">0.84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17171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171717"/>
                    </w:rPr>
                    <w:t xml:space="preserve">0.78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1F1F1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1F1F1F"/>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9292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92929"/>
                    </w:rPr>
                    <w:t xml:space="preserve">0.70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C1C1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C1C1C"/>
                    </w:rPr>
                    <w:t xml:space="preserve">0.82</w:t>
                  </w:r>
                </w:p>
              </w:tc>
            </w:tr>
            <w:tr>
              <w:trPr>
                <w:trHeight w:val="296" w:hRule="auto"/>
              </w:trPr>
              body10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6D6D6D"/>
                    </w:rPr>
                    <w:t xml:space="preserve">0.78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232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23232"/>
                    </w:rPr>
                    <w:t xml:space="preserve">0.67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75757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757575"/>
                    </w:rPr>
                    <w:t xml:space="preserve">0.48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2C2C2C"/>
                    </w:rPr>
                    <w:t xml:space="preserve">0.69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0.78</w:t>
                  </w:r>
                </w:p>
              </w:tc>
            </w:tr>
            <w:tr>
              <w:trPr>
                <w:trHeight w:val="295"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969696"/>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15151"/>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E2E2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E2E2E"/>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24242"/>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8E8E8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8E8E8E"/>
                    </w:rPr>
                    <w:t xml:space="preserve">0.43</w:t>
                  </w:r>
                </w:p>
              </w:tc>
            </w:tr>
            <w:tr>
              <w:trPr>
                <w:trHeight w:val="295"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7D7D7D"/>
                    </w:rPr>
                    <w:t xml:space="preserve">0.76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56565"/>
                    </w:rPr>
                    <w:t xml:space="preserve">0.46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787878"/>
                    </w:rPr>
                    <w:t xml:space="preserve">0.47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000000"/>
                    </w:rPr>
                    <w:t xml:space="preserve">0.83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969696"/>
                    </w:rPr>
                    <w:t xml:space="preserve">0.40</w:t>
                  </w:r>
                </w:p>
              </w:tc>
            </w:tr>
          </w:tbl>
          <w:bookmarkEnd w:id="56"/>
        </w:tc>
      </w:tr>
    </w:tbl>
    <w:p>
      <w:r>
        <w:br w:type="page"/>
      </w:r>
    </w:p>
    <w:tbl>
      <w:tblPr>
        <w:tblStyle w:val="Table"/>
        <w:tblW w:type="pct" w:w="5000"/>
        <w:tblLayout w:type="fixed"/>
        <w:tblLook w:firstRow="0" w:lastRow="0" w:firstColumn="0" w:lastColumn="0" w:noHBand="0" w:noVBand="0" w:val="0000"/>
      </w:tblPr>
      <w:tblGrid>
        <w:gridCol w:w="7920"/>
      </w:tblGrid>
      <w:tr>
        <w:tc>
          <w:tcPr/>
          <w:bookmarkStart w:id="57" w:name="tbl-prdnrmtab"/>
          <w:p>
            <w:pPr>
              <w:jc w:val="center"/>
            </w:pPr>
            <w:pPr>
              <w:jc w:val="left"/>
              <w:spacing w:before="200"/>
              <w:pStyle w:val="ImageCaption"/>
            </w:pPr>
            <w:r>
              <w:t xml:space="preserve">Table 3: Mean absolute differences (</w:t>
            </w:r>
            <m:oMath>
              <m:r>
                <m:t>μ</m:t>
              </m:r>
            </m:oMath>
            <w:r>
              <w:t xml:space="preserve">g/L) for monthly predictions minus salinity-normalized results (Salinity) and salinity-normalized results minus salinity-normalized results at mean loadings (Load). The values in the salinity columns can be considered the relative effects of changes in salinity on chlorophyll-a, whereas those in the load columns are relative effects of loading on chlorophyll-a independent of salinity. The Annual columns show the differences for the entire year grouping (1985-1999, 2000-2014, or 2015-2024) and the remaining columns show the seasonal differences within the year group. Font shading and size is proportional to the magnitude of the differences. JFM: January, February, March; AMJ: April, May, June; JAS: July, August, September; OND: October, November, December.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548"/>
              <w:gridCol w:w="584"/>
              <w:gridCol w:w="529"/>
              <w:gridCol w:w="621"/>
              <w:gridCol w:w="792"/>
              <w:gridCol w:w="548"/>
              <w:gridCol w:w="584"/>
              <w:gridCol w:w="500"/>
              <w:gridCol w:w="621"/>
            </w:tblGrid>
            <w:tr>
              <w:trPr>
                <w:trHeight w:val="34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5"/>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p>
              </w:tc>
              <w:tc>
                <w:tcPr>
                  <w:gridSpan w:val="5"/>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Load</w:t>
                  </w:r>
                </w:p>
              </w:tc>
            </w:tr>
            <w:tr>
              <w:trPr>
                <w:trHeight w:val="340"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JJA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JJA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r>
            <w:tr>
              <w:trPr>
                <w:trHeight w:val="296"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86868"/>
                    </w:rPr>
                    <w:t xml:space="preserve">1.21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E6E6E"/>
                    </w:rPr>
                    <w:t xml:space="preserve">0.80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5E5E5E"/>
                    </w:rPr>
                    <w:t xml:space="preserve">0.60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97979"/>
                    </w:rPr>
                    <w:t xml:space="preserve">1.41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333333"/>
                    </w:rPr>
                    <w:t xml:space="preserve">2.17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08080"/>
                    </w:rPr>
                    <w:t xml:space="preserve">0.38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F7F7F"/>
                    </w:rPr>
                    <w:t xml:space="preserve">0.16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0.14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0.86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C7C7C"/>
                    </w:rPr>
                    <w:t xml:space="preserve">0.39</w:t>
                  </w:r>
                </w:p>
              </w:tc>
            </w:tr>
            <w:tr>
              <w:trPr>
                <w:trHeight w:val="295"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C7C7C"/>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2828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28282"/>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F7F7F"/>
                    </w:rPr>
                    <w:t xml:space="preserve">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2626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26262"/>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A8A8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A8A8A"/>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9898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98989"/>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0808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0.13</w:t>
                  </w:r>
                </w:p>
              </w:tc>
            </w:tr>
            <w:tr>
              <w:trPr>
                <w:trHeight w:val="295" w:hRule="auto"/>
              </w:trPr>
              body 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27272"/>
                    </w:rPr>
                    <w:t xml:space="preserve">1.01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C8C8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C8C8C"/>
                    </w:rPr>
                    <w:t xml:space="preserve">0.38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F7F7F"/>
                    </w:rPr>
                    <w:t xml:space="preserve">0.32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707070"/>
                    </w:rPr>
                    <w:t xml:space="preserve">1.71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65656"/>
                    </w:rPr>
                    <w:t xml:space="preserve">1.64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16161"/>
                    </w:rPr>
                    <w:t xml:space="preserve">0.75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27272"/>
                    </w:rPr>
                    <w:t xml:space="preserve">0.21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C7C7C"/>
                    </w:rPr>
                    <w:t xml:space="preserve">0.31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65656"/>
                    </w:rPr>
                    <w:t xml:space="preserve">1.83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16161"/>
                    </w:rPr>
                    <w:t xml:space="preserve">0.67</w:t>
                  </w:r>
                </w:p>
              </w:tc>
            </w:tr>
            <w:tr>
              <w:trPr>
                <w:trHeight w:val="296" w:hRule="auto"/>
              </w:trPr>
              body 4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000000"/>
                    </w:rPr>
                    <w:t xml:space="preserve">2.84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2.28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1.28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4.74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000000"/>
                    </w:rPr>
                    <w:t xml:space="preserve">3.06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595959"/>
                    </w:rPr>
                    <w:t xml:space="preserve">0.85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000000"/>
                    </w:rPr>
                    <w:t xml:space="preserve">0.62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38383"/>
                    </w:rPr>
                    <w:t xml:space="preserve">0.25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25252"/>
                    </w:rPr>
                    <w:t xml:space="preserve">1.93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0.60</w:t>
                  </w:r>
                </w:p>
              </w:tc>
            </w:tr>
            <w:tr>
              <w:trPr>
                <w:trHeight w:val="29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25252"/>
                    </w:rPr>
                    <w:t xml:space="preserve">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272727"/>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9494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94949"/>
                    </w:rPr>
                    <w:t xml:space="preserve">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545454"/>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4D4D4D"/>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30303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303030"/>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D5D5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D5D5D"/>
                    </w:rPr>
                    <w:t xml:space="preserve">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55555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555555"/>
                    </w:rPr>
                    <w:t xml:space="preserve">0.79</w:t>
                  </w:r>
                </w:p>
              </w:tc>
            </w:tr>
            <w:tr>
              <w:trPr>
                <w:trHeight w:val="295" w:hRule="auto"/>
              </w:trPr>
              body 6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56565"/>
                    </w:rPr>
                    <w:t xml:space="preserve">1.25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17171"/>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4B4B4B"/>
                    </w:rPr>
                    <w:t xml:space="preserve">0.75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A5A5A"/>
                    </w:rPr>
                    <w:t xml:space="preserve">2.35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07070"/>
                    </w:rPr>
                    <w:t xml:space="preserve">1.14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1.75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464646"/>
                    </w:rPr>
                    <w:t xml:space="preserve">0.38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1.28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3.79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1.53</w:t>
                  </w:r>
                </w:p>
              </w:tc>
            </w:tr>
            <w:tr>
              <w:trPr>
                <w:trHeight w:val="296" w:hRule="auto"/>
              </w:trPr>
              body 7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56565"/>
                    </w:rPr>
                    <w:t xml:space="preserve">1.25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E6E6E"/>
                    </w:rPr>
                    <w:t xml:space="preserve">0.81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0.50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56565"/>
                    </w:rPr>
                    <w:t xml:space="preserve">2.04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65656"/>
                    </w:rPr>
                    <w:t xml:space="preserve">1.65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0.24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27272"/>
                    </w:rPr>
                    <w:t xml:space="preserve">0.21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0.09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78787"/>
                    </w:rPr>
                    <w:t xml:space="preserve">0.48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3939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39393"/>
                    </w:rPr>
                    <w:t xml:space="preserve">0.16</w:t>
                  </w:r>
                </w:p>
              </w:tc>
            </w:tr>
            <w:tr>
              <w:trPr>
                <w:trHeight w:val="29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38383"/>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B7B7B"/>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B7B7B"/>
                    </w:rPr>
                    <w:t xml:space="preserve">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C7C7C"/>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A8A8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A8A8A"/>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0.22</w:t>
                  </w:r>
                </w:p>
              </w:tc>
            </w:tr>
            <w:tr>
              <w:trPr>
                <w:trHeight w:val="295" w:hRule="auto"/>
              </w:trPr>
              body 9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0.82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0.22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D7D7D"/>
                    </w:rPr>
                    <w:t xml:space="preserve">0.33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96969"/>
                    </w:rPr>
                    <w:t xml:space="preserve">1.92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08080"/>
                    </w:rPr>
                    <w:t xml:space="preserve">0.80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0.21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C8C8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C8C8C"/>
                    </w:rPr>
                    <w:t xml:space="preserve">0.11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4949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49494"/>
                    </w:rPr>
                    <w:t xml:space="preserve">0.11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A8A8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A8A8A"/>
                    </w:rPr>
                    <w:t xml:space="preserve">0.41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C8C8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C8C8C"/>
                    </w:rPr>
                    <w:t xml:space="preserve">0.23</w:t>
                  </w:r>
                </w:p>
              </w:tc>
            </w:tr>
            <w:tr>
              <w:trPr>
                <w:trHeight w:val="296" w:hRule="auto"/>
              </w:trPr>
              body10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09090"/>
                    </w:rPr>
                    <w:t xml:space="preserve">0.48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0.32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69696"/>
                    </w:rPr>
                    <w:t xml:space="preserve">0.54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0.92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C8C8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C8C8C"/>
                    </w:rPr>
                    <w:t xml:space="preserve">0.11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4949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49494"/>
                    </w:rPr>
                    <w:t xml:space="preserve">0.15</w:t>
                  </w:r>
                </w:p>
              </w:tc>
            </w:tr>
            <w:tr>
              <w:trPr>
                <w:trHeight w:val="295"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19191"/>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9898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98989"/>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0909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E8E8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E8E8E"/>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3939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39393"/>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C7C7C"/>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C8C8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C8C8C"/>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0.19</w:t>
                  </w:r>
                </w:p>
              </w:tc>
            </w:tr>
            <w:tr>
              <w:trPr>
                <w:trHeight w:val="295"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4949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49494"/>
                    </w:rPr>
                    <w:t xml:space="preserve">0.15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09090"/>
                    </w:rPr>
                    <w:t xml:space="preserve">0.75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0.40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2828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28282"/>
                    </w:rPr>
                    <w:t xml:space="preserve">0.15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0.13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4949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49494"/>
                    </w:rPr>
                    <w:t xml:space="preserve">0.15</w:t>
                  </w:r>
                </w:p>
              </w:tc>
            </w:tr>
          </w:tbl>
          <w:bookmarkEnd w:id="57"/>
        </w:tc>
      </w:tr>
    </w:tbl>
    <w:p>
      <w:r>
        <w:br w:type="page"/>
      </w:r>
    </w:p>
    <w:tbl>
      <w:tblPr>
        <w:tblStyle w:val="Table"/>
        <w:tblW w:type="pct" w:w="5000"/>
        <w:tblLayout w:type="fixed"/>
        <w:tblLook w:firstRow="0" w:lastRow="0" w:firstColumn="0" w:lastColumn="0" w:noHBand="0" w:noVBand="0" w:val="0000"/>
      </w:tblPr>
      <w:tblGrid>
        <w:gridCol w:w="7920"/>
      </w:tblGrid>
      <w:tr>
        <w:tc>
          <w:tcPr/>
          <w:bookmarkStart w:id="58" w:name="tbl-liktab"/>
          <w:p>
            <w:pPr>
              <w:jc w:val="center"/>
            </w:pPr>
            <w:pPr>
              <w:jc w:val="left"/>
              <w:spacing w:before="200"/>
              <w:pStyle w:val="ImageCaption"/>
            </w:pPr>
            <w:r>
              <w:t xml:space="preserve">Table 4: Likelihoods of exceeding regulatory chlorophyll-a thresholds for each bay segment by simulated time period and loading scenarios under projected future salinity changes. Results shown are likelihoods with standard deviations and the relative changes from present for years 25 and 50 in parentheses.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914"/>
              <w:gridCol w:w="846"/>
              <w:gridCol w:w="1409"/>
              <w:gridCol w:w="1281"/>
              <w:gridCol w:w="1281"/>
              <w:gridCol w:w="1281"/>
              <w:gridCol w:w="1281"/>
            </w:tblGrid>
            <w:tr>
              <w:trPr>
                <w:trHeight w:val="30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TMDL Load Factor</w:t>
                  </w:r>
                </w:p>
              </w:tc>
            </w:tr>
            <w:tr>
              <w:trPr>
                <w:trHeight w:val="544"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Change (ppth)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Actual 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r>
            <w:tr>
              <w:trPr>
                <w:trHeight w:val="495"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37.7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37.6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67.2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(20.5)</w:t>
                  </w:r>
                </w:p>
              </w:tc>
            </w:tr>
            <w:tr>
              <w:trPr>
                <w:trHeight w:val="495"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48.1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(20.9, ↑10.4)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33.8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(20.3, ↑9.7)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47.6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(21.2,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(19.1, ↑6.8)</w:t>
                  </w:r>
                </w:p>
              </w:tc>
            </w:tr>
            <w:tr>
              <w:trPr>
                <w:trHeight w:val="495" w:hRule="auto"/>
              </w:trPr>
              body 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(20.5, ↑21.4)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44.8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(21.3, ↑20.7)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(21.1, ↑21.4)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(17.1, ↑13.7)</w:t>
                  </w:r>
                </w:p>
              </w:tc>
            </w:tr>
            <w:tr>
              <w:trPr>
                <w:trHeight w:val="495" w:hRule="auto"/>
              </w:trPr>
              body 4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(18.5)</w:t>
                  </w:r>
                </w:p>
              </w:tc>
            </w:tr>
            <w:tr>
              <w:trPr>
                <w:trHeight w:val="49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 ↑0.1)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28.2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(18.6, ↑1.4)</w:t>
                  </w:r>
                </w:p>
              </w:tc>
            </w:tr>
            <w:tr>
              <w:trPr>
                <w:trHeight w:val="495" w:hRule="auto"/>
              </w:trPr>
              body 6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 ↑0.1)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(2.7, ↑0.2)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(18.4, ↑2.2)</w:t>
                  </w:r>
                </w:p>
              </w:tc>
            </w:tr>
            <w:tr>
              <w:trPr>
                <w:trHeight w:val="495" w:hRule="auto"/>
              </w:trPr>
              body 7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w:t>
                  </w:r>
                </w:p>
              </w:tc>
            </w:tr>
            <w:tr>
              <w:trPr>
                <w:trHeight w:val="49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 ≈0)</w:t>
                  </w:r>
                </w:p>
              </w:tc>
            </w:tr>
            <w:tr>
              <w:trPr>
                <w:trHeight w:val="495" w:hRule="auto"/>
              </w:trPr>
              body 9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 ≈0)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 ↑0.1)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≈0)</w:t>
                  </w:r>
                </w:p>
              </w:tc>
            </w:tr>
            <w:tr>
              <w:trPr>
                <w:trHeight w:val="495" w:hRule="auto"/>
              </w:trPr>
              body10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w:t>
                  </w:r>
                </w:p>
              </w:tc>
            </w:tr>
            <w:tr>
              <w:trPr>
                <w:trHeight w:val="495"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(5.7,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(5.7,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(3.3,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(3.4, ↑0.3)</w:t>
                  </w:r>
                </w:p>
              </w:tc>
            </w:tr>
            <w:tr>
              <w:trPr>
                <w:trHeight w:val="495"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 ↑5)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(9.3, ↑4.6)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(6.2, ↑1.9)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(5.3, ↑1.2)</w:t>
                  </w:r>
                </w:p>
              </w:tc>
            </w:tr>
          </w:tbl>
          <w:bookmarkEnd w:id="58"/>
        </w:tc>
      </w:tr>
    </w:tbl>
    <w:p>
      <w:r>
        <w:br w:type="page"/>
      </w:r>
    </w:p>
    <w:bookmarkEnd w:id="59"/>
    <w:bookmarkStart w:id="61" w:name="data-availability"/>
    <w:p>
      <w:pPr>
        <w:pStyle w:val="Heading2"/>
      </w:pPr>
      <w:r>
        <w:t xml:space="preserve">Data Availability</w:t>
      </w:r>
    </w:p>
    <w:p>
      <w:pPr>
        <w:pStyle w:val="FirstParagraph"/>
      </w:pPr>
      <w:r>
        <w:t xml:space="preserve">All data and analysis code for this manuscript is available on GitHub at</w:t>
      </w:r>
      <w:r>
        <w:t xml:space="preserve"> </w:t>
      </w:r>
      <w:hyperlink r:id="rId60">
        <w:r>
          <w:rPr>
            <w:rStyle w:val="Hyperlink"/>
          </w:rPr>
          <w:t xml:space="preserve">https://github.com/tbep-tech/chlhydro-manu</w:t>
        </w:r>
      </w:hyperlink>
      <w:r>
        <w:t xml:space="preserve">.</w:t>
      </w:r>
    </w:p>
    <w:bookmarkEnd w:id="61"/>
    <w:bookmarkStart w:id="62" w:name="acknowledgments"/>
    <w:p>
      <w:pPr>
        <w:pStyle w:val="Heading2"/>
      </w:pPr>
      <w:r>
        <w:t xml:space="preserve">Acknowledgments</w:t>
      </w:r>
    </w:p>
    <w:p>
      <w:pPr>
        <w:pStyle w:val="FirstParagraph"/>
      </w:pPr>
      <w:r>
        <w:t xml:space="preserve">This work benefited from constructive discussions with the Technical Advisory Committee of the Tampa Bay Estuary Program (TBEP). We are thankful for constructive comments provided by xxx anonymous reviewers. We are indebted to the community of field and technical staff that have routinely collected and maintained the valuable long-term monitoring data used in this study.</w:t>
      </w:r>
    </w:p>
    <w:bookmarkEnd w:id="62"/>
    <w:bookmarkStart w:id="66" w:name="statements-and-declarations"/>
    <w:p>
      <w:pPr>
        <w:pStyle w:val="Heading2"/>
      </w:pPr>
      <w:r>
        <w:t xml:space="preserve">Statements and Declarations</w:t>
      </w:r>
    </w:p>
    <w:bookmarkStart w:id="63" w:name="author-contributions"/>
    <w:p>
      <w:pPr>
        <w:pStyle w:val="Heading3"/>
      </w:pPr>
      <w:r>
        <w:t xml:space="preserve">Author Contributions</w:t>
      </w:r>
    </w:p>
    <w:p>
      <w:pPr>
        <w:pStyle w:val="FirstParagraph"/>
      </w:pPr>
      <w:r>
        <w:t xml:space="preserve">Conceptualization: Marcus W Beck, Kerry Flaherty-Walia, Maya C Burke, Edward T Sherwood; Data Curation: Marcus W Beck; Methodology: Marcus W Beck, Kerry Flaherty-Walia, Maya C Burke, Edward T Sherwood; Formal analysis and investigation: Marcus W Beck; Writing - original draft preparation: all authors; Writing - review and editing: all authors; Funding acquisition: Edward T Sherwood.</w:t>
      </w:r>
    </w:p>
    <w:bookmarkEnd w:id="63"/>
    <w:bookmarkStart w:id="64" w:name="ethics-declaration"/>
    <w:p>
      <w:pPr>
        <w:pStyle w:val="Heading3"/>
      </w:pPr>
      <w:r>
        <w:t xml:space="preserve">Ethics Declaration</w:t>
      </w:r>
    </w:p>
    <w:p>
      <w:pPr>
        <w:pStyle w:val="FirstParagraph"/>
      </w:pPr>
      <w:r>
        <w:t xml:space="preserve">The authors have no competing interests to declare that are relevant to the content of this article.</w:t>
      </w:r>
    </w:p>
    <w:bookmarkEnd w:id="64"/>
    <w:bookmarkStart w:id="65" w:name="funding"/>
    <w:p>
      <w:pPr>
        <w:pStyle w:val="Heading3"/>
      </w:pPr>
      <w:r>
        <w:t xml:space="preserve">Funding</w:t>
      </w:r>
    </w:p>
    <w:p>
      <w:pPr>
        <w:pStyle w:val="FirstParagraph"/>
      </w:pPr>
      <w:r>
        <w:t xml:space="preserve">This study was funded by EPA Section 320 Grant Funds, and the TBEP’s local government partners (Hillsborough, Manatee, Pasco, and Pinellas Counties; the Cities of Clearwater, St. Petersburg, and Tampa; Tampa Bay Water; and the Southwest Florida Water Management District) through contributions to the operating budget.</w:t>
      </w:r>
    </w:p>
    <w:bookmarkEnd w:id="65"/>
    <w:bookmarkEnd w:id="66"/>
    <w:bookmarkStart w:id="70" w:name="references"/>
    <w:p>
      <w:pPr>
        <w:pStyle w:val="Heading2"/>
      </w:pPr>
      <w:r>
        <w:t xml:space="preserve">References</w:t>
      </w:r>
    </w:p>
    <w:bookmarkStart w:id="69" w:name="refs"/>
    <w:bookmarkStart w:id="68" w:name="ref-testa2025"/>
    <w:p>
      <w:pPr>
        <w:pStyle w:val="Bibliography"/>
      </w:pPr>
      <w:r>
        <w:t xml:space="preserve">Testa, J. M., P. Bukaveckas, W. Boynton, L. Harris, R. Murphy, M. Lane, and V. Lyubchich. 2025. Coupled and de-coupled watershed nutrient loading and estuarine nutrient concentrations: A case study of the</w:t>
      </w:r>
      <w:r>
        <w:t xml:space="preserve"> </w:t>
      </w:r>
      <w:r>
        <w:t xml:space="preserve">C</w:t>
      </w:r>
      <w:r>
        <w:t xml:space="preserve">hesapeake</w:t>
      </w:r>
      <w:r>
        <w:t xml:space="preserve"> </w:t>
      </w:r>
      <w:r>
        <w:t xml:space="preserve">B</w:t>
      </w:r>
      <w:r>
        <w:t xml:space="preserve">ay.</w:t>
      </w:r>
      <w:r>
        <w:t xml:space="preserve"> </w:t>
      </w:r>
      <w:r>
        <w:rPr>
          <w:i/>
          <w:iCs/>
        </w:rPr>
        <w:t xml:space="preserve">JAWRA Journal of the American Water Resources Association</w:t>
      </w:r>
      <w:r>
        <w:t xml:space="preserve"> </w:t>
      </w:r>
      <w:r>
        <w:t xml:space="preserve">61: e70070.</w:t>
      </w:r>
      <w:r>
        <w:t xml:space="preserve"> </w:t>
      </w:r>
      <w:hyperlink r:id="rId67">
        <w:r>
          <w:rPr>
            <w:rStyle w:val="Hyperlink"/>
          </w:rPr>
          <w:t xml:space="preserve">https://doi.org/10.1111/1752-1688.70070</w:t>
        </w:r>
      </w:hyperlink>
      <w:r>
        <w:t xml:space="preserve">.</w:t>
      </w:r>
    </w:p>
    <w:bookmarkEnd w:id="68"/>
    <w:bookmarkEnd w:id="69"/>
    <w:bookmarkEnd w:id="70"/>
    <w:sectPr w:rsidR="00452488" w:rsidRPr="00452488" w:rsidSect="003C73CD">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962650"/>
      <w:docPartObj>
        <w:docPartGallery w:val="Page Numbers (Bottom of Page)"/>
        <w:docPartUnique/>
      </w:docPartObj>
    </w:sdtPr>
    <w:sdtEndPr>
      <w:rPr>
        <w:noProof/>
      </w:rPr>
    </w:sdtEndPr>
    <w:sdtContent>
      <w:p w14:paraId="741E02C2" w14:textId="09757D57" w:rsidR="003C73CD" w:rsidRDefault="003C73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0D778D" w14:textId="77777777" w:rsidR="003C73CD" w:rsidRDefault="003C73C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A6F42C1D"/>
    <w:multiLevelType w:val="multilevel"/>
    <w:tmpl w:val="45FC37E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E17F69BA"/>
    <w:multiLevelType w:val="multilevel"/>
    <w:tmpl w:val="0BBEBA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FFFFFF7C"/>
    <w:multiLevelType w:val="singleLevel"/>
    <w:tmpl w:val="3ACC0CC6"/>
    <w:lvl w:ilvl="0">
      <w:start w:val="1"/>
      <w:numFmt w:val="decimal"/>
      <w:lvlText w:val="%1."/>
      <w:lvlJc w:val="left"/>
      <w:pPr>
        <w:tabs>
          <w:tab w:pos="1800" w:val="num"/>
        </w:tabs>
        <w:ind w:hanging="360" w:left="1800"/>
      </w:pPr>
    </w:lvl>
  </w:abstractNum>
  <w:abstractNum w15:restartNumberingAfterBreak="0" w:abstractNumId="3">
    <w:nsid w:val="FFFFFF7D"/>
    <w:multiLevelType w:val="singleLevel"/>
    <w:tmpl w:val="5C746208"/>
    <w:lvl w:ilvl="0">
      <w:start w:val="1"/>
      <w:numFmt w:val="decimal"/>
      <w:lvlText w:val="%1."/>
      <w:lvlJc w:val="left"/>
      <w:pPr>
        <w:tabs>
          <w:tab w:pos="1440" w:val="num"/>
        </w:tabs>
        <w:ind w:hanging="360" w:left="1440"/>
      </w:pPr>
    </w:lvl>
  </w:abstractNum>
  <w:abstractNum w15:restartNumberingAfterBreak="0" w:abstractNumId="4">
    <w:nsid w:val="FFFFFF7E"/>
    <w:multiLevelType w:val="singleLevel"/>
    <w:tmpl w:val="4C9A394A"/>
    <w:lvl w:ilvl="0">
      <w:start w:val="1"/>
      <w:numFmt w:val="decimal"/>
      <w:lvlText w:val="%1."/>
      <w:lvlJc w:val="left"/>
      <w:pPr>
        <w:tabs>
          <w:tab w:pos="1080" w:val="num"/>
        </w:tabs>
        <w:ind w:hanging="360" w:left="1080"/>
      </w:pPr>
    </w:lvl>
  </w:abstractNum>
  <w:abstractNum w15:restartNumberingAfterBreak="0" w:abstractNumId="5">
    <w:nsid w:val="FFFFFF7F"/>
    <w:multiLevelType w:val="singleLevel"/>
    <w:tmpl w:val="2C728B4C"/>
    <w:lvl w:ilvl="0">
      <w:start w:val="1"/>
      <w:numFmt w:val="decimal"/>
      <w:lvlText w:val="%1."/>
      <w:lvlJc w:val="left"/>
      <w:pPr>
        <w:tabs>
          <w:tab w:pos="720" w:val="num"/>
        </w:tabs>
        <w:ind w:hanging="360" w:left="720"/>
      </w:pPr>
    </w:lvl>
  </w:abstractNum>
  <w:abstractNum w15:restartNumberingAfterBreak="0" w:abstractNumId="6">
    <w:nsid w:val="FFFFFF80"/>
    <w:multiLevelType w:val="singleLevel"/>
    <w:tmpl w:val="E646BB8C"/>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7">
    <w:nsid w:val="FFFFFF81"/>
    <w:multiLevelType w:val="singleLevel"/>
    <w:tmpl w:val="BBB8F250"/>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8">
    <w:nsid w:val="FFFFFF82"/>
    <w:multiLevelType w:val="singleLevel"/>
    <w:tmpl w:val="A8D4685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9">
    <w:nsid w:val="FFFFFF83"/>
    <w:multiLevelType w:val="singleLevel"/>
    <w:tmpl w:val="F23C9B0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0">
    <w:nsid w:val="FFFFFF88"/>
    <w:multiLevelType w:val="singleLevel"/>
    <w:tmpl w:val="83247984"/>
    <w:lvl w:ilvl="0">
      <w:start w:val="1"/>
      <w:numFmt w:val="decimal"/>
      <w:lvlText w:val="%1."/>
      <w:lvlJc w:val="left"/>
      <w:pPr>
        <w:tabs>
          <w:tab w:pos="360" w:val="num"/>
        </w:tabs>
        <w:ind w:hanging="360" w:left="360"/>
      </w:pPr>
    </w:lvl>
  </w:abstractNum>
  <w:abstractNum w15:restartNumberingAfterBreak="0" w:abstractNumId="11">
    <w:nsid w:val="FFFFFF89"/>
    <w:multiLevelType w:val="singleLevel"/>
    <w:tmpl w:val="1700DEA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2">
    <w:nsid w:val="21725581"/>
    <w:multiLevelType w:val="hybridMultilevel"/>
    <w:tmpl w:val="DE3A0DD4"/>
    <w:lvl w:ilvl="0" w:tplc="04090001">
      <w:start w:val="1"/>
      <w:numFmt w:val="bullet"/>
      <w:lvlText w:val=""/>
      <w:lvlJc w:val="left"/>
      <w:pPr>
        <w:ind w:hanging="360" w:left="360"/>
      </w:pPr>
      <w:rPr>
        <w:rFonts w:ascii="Symbol" w:hAnsi="Symbol" w:hint="default"/>
      </w:rPr>
    </w:lvl>
    <w:lvl w:ilvl="1" w:tplc="04090003">
      <w:start w:val="1"/>
      <w:numFmt w:val="bullet"/>
      <w:lvlText w:val="o"/>
      <w:lvlJc w:val="left"/>
      <w:pPr>
        <w:ind w:hanging="360" w:left="1080"/>
      </w:pPr>
      <w:rPr>
        <w:rFonts w:ascii="Courier New" w:cs="Courier New" w:hAnsi="Courier New" w:hint="default"/>
      </w:rPr>
    </w:lvl>
    <w:lvl w:ilvl="2" w:tplc="04090005">
      <w:start w:val="1"/>
      <w:numFmt w:val="bullet"/>
      <w:lvlText w:val=""/>
      <w:lvlJc w:val="left"/>
      <w:pPr>
        <w:ind w:hanging="360" w:left="1800"/>
      </w:pPr>
      <w:rPr>
        <w:rFonts w:ascii="Wingdings" w:hAnsi="Wingdings" w:hint="default"/>
      </w:rPr>
    </w:lvl>
    <w:lvl w:ilvl="3"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044401467" w:numId="1">
    <w:abstractNumId w:val="1"/>
  </w:num>
  <w:num w16cid:durableId="684594278" w:numId="2">
    <w:abstractNumId w:val="0"/>
  </w:num>
  <w:num w16cid:durableId="2135755371" w:numId="3">
    <w:abstractNumId w:val="11"/>
  </w:num>
  <w:num w16cid:durableId="521864421" w:numId="4">
    <w:abstractNumId w:val="9"/>
  </w:num>
  <w:num w16cid:durableId="1294285200" w:numId="5">
    <w:abstractNumId w:val="8"/>
  </w:num>
  <w:num w16cid:durableId="1525821760" w:numId="6">
    <w:abstractNumId w:val="7"/>
  </w:num>
  <w:num w16cid:durableId="1834224836" w:numId="7">
    <w:abstractNumId w:val="6"/>
  </w:num>
  <w:num w16cid:durableId="672300852" w:numId="8">
    <w:abstractNumId w:val="10"/>
  </w:num>
  <w:num w16cid:durableId="708917550" w:numId="9">
    <w:abstractNumId w:val="5"/>
  </w:num>
  <w:num w16cid:durableId="1329821261" w:numId="10">
    <w:abstractNumId w:val="4"/>
  </w:num>
  <w:num w16cid:durableId="634485812" w:numId="11">
    <w:abstractNumId w:val="3"/>
  </w:num>
  <w:num w16cid:durableId="1296912930" w:numId="12">
    <w:abstractNumId w:val="2"/>
  </w:num>
  <w:num w16cid:durableId="1406682967" w:numId="13">
    <w:abstractNumId w:val="1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2"/>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6425B"/>
    <w:rsid w:val="000E00B6"/>
    <w:rsid w:val="00112C98"/>
    <w:rsid w:val="003C73CD"/>
    <w:rsid w:val="004015EC"/>
    <w:rsid w:val="004324DB"/>
    <w:rsid w:val="00452488"/>
    <w:rsid w:val="00473C8F"/>
    <w:rsid w:val="004E29B3"/>
    <w:rsid w:val="00537D25"/>
    <w:rsid w:val="00590D07"/>
    <w:rsid w:val="00612AF7"/>
    <w:rsid w:val="006E0FFF"/>
    <w:rsid w:val="0073059C"/>
    <w:rsid w:val="007504EE"/>
    <w:rsid w:val="00752863"/>
    <w:rsid w:val="007747C2"/>
    <w:rsid w:val="00784D58"/>
    <w:rsid w:val="008D6863"/>
    <w:rsid w:val="008E7A52"/>
    <w:rsid w:val="00957057"/>
    <w:rsid w:val="009A4565"/>
    <w:rsid w:val="009D268C"/>
    <w:rsid w:val="00B04FBE"/>
    <w:rsid w:val="00B4354F"/>
    <w:rsid w:val="00B86B75"/>
    <w:rsid w:val="00BA6E48"/>
    <w:rsid w:val="00BC48D5"/>
    <w:rsid w:val="00BD3235"/>
    <w:rsid w:val="00C06FC4"/>
    <w:rsid w:val="00C242C7"/>
    <w:rsid w:val="00C36279"/>
    <w:rsid w:val="00C80801"/>
    <w:rsid w:val="00D20E66"/>
    <w:rsid w:val="00D40009"/>
    <w:rsid w:val="00DB2749"/>
    <w:rsid w:val="00E315A3"/>
    <w:rsid w:val="00F63F6A"/>
    <w:rsid w:val="00F9205D"/>
    <w:rsid w:val="00FC21B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80801"/>
    <w:rPr>
      <w:rFonts w:ascii="Times New Roman" w:hAnsi="Times New Roman"/>
    </w:rPr>
  </w:style>
  <w:style w:styleId="Heading1" w:type="paragraph">
    <w:name w:val="heading 1"/>
    <w:basedOn w:val="Normal"/>
    <w:next w:val="BodyText"/>
    <w:uiPriority w:val="9"/>
    <w:qFormat/>
    <w:rsid w:val="00D4000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957057"/>
    <w:pPr>
      <w:keepNext/>
      <w:keepLines/>
      <w:spacing w:after="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752863"/>
    <w:pPr>
      <w:keepNext/>
      <w:keepLines/>
      <w:spacing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D40009"/>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D40009"/>
    <w:pPr>
      <w:keepNext/>
      <w:keepLines/>
      <w:spacing w:after="0" w:before="200"/>
      <w:outlineLvl w:val="4"/>
    </w:pPr>
    <w:rPr>
      <w:rFonts w:cstheme="majorBidi" w:eastAsiaTheme="majorEastAsia"/>
      <w:i/>
      <w:iCs/>
      <w:color w:themeColor="text1" w:val="000000"/>
    </w:rPr>
  </w:style>
  <w:style w:styleId="Heading6" w:type="paragraph">
    <w:name w:val="heading 6"/>
    <w:basedOn w:val="Normal"/>
    <w:next w:val="BodyText"/>
    <w:uiPriority w:val="9"/>
    <w:unhideWhenUsed/>
    <w:qFormat/>
    <w:rsid w:val="00D40009"/>
    <w:pPr>
      <w:keepNext/>
      <w:keepLines/>
      <w:spacing w:after="0" w:before="200"/>
      <w:outlineLvl w:val="5"/>
    </w:pPr>
    <w:rPr>
      <w:rFonts w:cstheme="majorBidi" w:eastAsiaTheme="majorEastAsia"/>
      <w:color w:themeColor="text1" w:val="000000"/>
    </w:rPr>
  </w:style>
  <w:style w:styleId="Heading8" w:type="paragraph">
    <w:name w:val="heading 8"/>
    <w:basedOn w:val="Normal"/>
    <w:next w:val="Normal"/>
    <w:link w:val="Heading8Char"/>
    <w:rsid w:val="00C80801"/>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04FBE"/>
    <w:pPr>
      <w:spacing w:after="180" w:before="180" w:line="480" w:lineRule="auto"/>
    </w:pPr>
  </w:style>
  <w:style w:customStyle="1" w:styleId="FirstParagraph" w:type="paragraph">
    <w:name w:val="First Paragraph"/>
    <w:basedOn w:val="BodyText"/>
    <w:next w:val="BodyText"/>
    <w:qFormat/>
    <w:rsid w:val="00D20E66"/>
  </w:style>
  <w:style w:customStyle="1" w:styleId="Compact" w:type="paragraph">
    <w:name w:val="Compact"/>
    <w:basedOn w:val="BodyText"/>
    <w:qFormat/>
    <w:rsid w:val="00452488"/>
    <w:pPr>
      <w:spacing w:after="0" w:before="0" w:line="240" w:lineRule="auto"/>
    </w:pPr>
  </w:style>
  <w:style w:styleId="Title" w:type="paragraph">
    <w:name w:val="Title"/>
    <w:basedOn w:val="Normal"/>
    <w:next w:val="BodyText"/>
    <w:qFormat/>
    <w:rsid w:val="00D40009"/>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9205D"/>
    <w:pPr>
      <w:keepNext/>
      <w:keepLines/>
      <w:jc w:val="center"/>
    </w:pPr>
    <w:rPr>
      <w:rFonts w:ascii="Times New Roman" w:hAnsi="Times New Roman"/>
    </w:rPr>
  </w:style>
  <w:style w:styleId="Date" w:type="paragraph">
    <w:name w:val="Date"/>
    <w:next w:val="BodyText"/>
    <w:qFormat/>
    <w:rsid w:val="00F9205D"/>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747C2"/>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B04FBE"/>
    <w:rPr>
      <w:rFonts w:ascii="Times New Roman" w:hAnsi="Times New Roman"/>
    </w:rPr>
  </w:style>
  <w:style w:styleId="ListContinue" w:type="paragraph">
    <w:name w:val="List Continue"/>
    <w:basedOn w:val="Normal"/>
    <w:semiHidden/>
    <w:unhideWhenUsed/>
    <w:rsid w:val="007747C2"/>
    <w:pPr>
      <w:spacing w:after="120"/>
      <w:ind w:left="360"/>
      <w:contextualSpacing/>
    </w:pPr>
  </w:style>
  <w:style w:styleId="ListParagraph" w:type="paragraph">
    <w:name w:val="List Paragraph"/>
    <w:basedOn w:val="Normal"/>
    <w:rsid w:val="007747C2"/>
    <w:pPr>
      <w:ind w:left="720"/>
      <w:contextualSpacing/>
    </w:pPr>
  </w:style>
  <w:style w:styleId="List" w:type="paragraph">
    <w:name w:val="List"/>
    <w:basedOn w:val="Normal"/>
    <w:semiHidden/>
    <w:unhideWhenUsed/>
    <w:rsid w:val="00BD3235"/>
    <w:pPr>
      <w:ind w:hanging="360" w:left="360"/>
      <w:contextualSpacing/>
    </w:pPr>
  </w:style>
  <w:style w:styleId="List2" w:type="paragraph">
    <w:name w:val="List 2"/>
    <w:basedOn w:val="Normal"/>
    <w:semiHidden/>
    <w:unhideWhenUsed/>
    <w:rsid w:val="00BD3235"/>
    <w:pPr>
      <w:ind w:hanging="360" w:left="720"/>
      <w:contextualSpacing/>
    </w:pPr>
  </w:style>
  <w:style w:styleId="List3" w:type="paragraph">
    <w:name w:val="List 3"/>
    <w:basedOn w:val="Normal"/>
    <w:semiHidden/>
    <w:unhideWhenUsed/>
    <w:rsid w:val="00BD3235"/>
    <w:pPr>
      <w:ind w:hanging="360" w:left="1080"/>
      <w:contextualSpacing/>
    </w:pPr>
  </w:style>
  <w:style w:styleId="List4" w:type="paragraph">
    <w:name w:val="List 4"/>
    <w:basedOn w:val="Normal"/>
    <w:semiHidden/>
    <w:unhideWhenUsed/>
    <w:rsid w:val="00BD3235"/>
    <w:pPr>
      <w:ind w:hanging="360" w:left="1440"/>
      <w:contextualSpacing/>
    </w:pPr>
  </w:style>
  <w:style w:styleId="List5" w:type="paragraph">
    <w:name w:val="List 5"/>
    <w:basedOn w:val="Normal"/>
    <w:semiHidden/>
    <w:unhideWhenUsed/>
    <w:rsid w:val="00BD3235"/>
    <w:pPr>
      <w:ind w:hanging="360" w:left="1800"/>
      <w:contextualSpacing/>
    </w:pPr>
  </w:style>
  <w:style w:styleId="Index1" w:type="paragraph">
    <w:name w:val="index 1"/>
    <w:basedOn w:val="Normal"/>
    <w:next w:val="Normal"/>
    <w:autoRedefine/>
    <w:rsid w:val="00C242C7"/>
    <w:pPr>
      <w:spacing w:after="0"/>
      <w:ind w:hanging="240" w:left="240"/>
    </w:pPr>
  </w:style>
  <w:style w:styleId="ListBullet" w:type="paragraph">
    <w:name w:val="List Bullet"/>
    <w:basedOn w:val="Normal"/>
    <w:semiHidden/>
    <w:unhideWhenUsed/>
    <w:rsid w:val="00C242C7"/>
    <w:pPr>
      <w:numPr>
        <w:numId w:val="3"/>
      </w:numPr>
      <w:contextualSpacing/>
    </w:pPr>
  </w:style>
  <w:style w:styleId="ListBullet2" w:type="paragraph">
    <w:name w:val="List Bullet 2"/>
    <w:basedOn w:val="Normal"/>
    <w:rsid w:val="00C242C7"/>
    <w:pPr>
      <w:numPr>
        <w:numId w:val="4"/>
      </w:numPr>
      <w:contextualSpacing/>
    </w:pPr>
  </w:style>
  <w:style w:styleId="ListBullet3" w:type="paragraph">
    <w:name w:val="List Bullet 3"/>
    <w:basedOn w:val="Normal"/>
    <w:semiHidden/>
    <w:unhideWhenUsed/>
    <w:rsid w:val="00C242C7"/>
    <w:pPr>
      <w:numPr>
        <w:numId w:val="5"/>
      </w:numPr>
      <w:contextualSpacing/>
    </w:pPr>
  </w:style>
  <w:style w:styleId="ListBullet4" w:type="paragraph">
    <w:name w:val="List Bullet 4"/>
    <w:basedOn w:val="Normal"/>
    <w:semiHidden/>
    <w:unhideWhenUsed/>
    <w:rsid w:val="00C242C7"/>
    <w:pPr>
      <w:numPr>
        <w:numId w:val="6"/>
      </w:numPr>
      <w:contextualSpacing/>
    </w:pPr>
  </w:style>
  <w:style w:styleId="ListBullet5" w:type="paragraph">
    <w:name w:val="List Bullet 5"/>
    <w:basedOn w:val="Normal"/>
    <w:rsid w:val="008E7A52"/>
    <w:pPr>
      <w:numPr>
        <w:numId w:val="7"/>
      </w:numPr>
      <w:contextualSpacing/>
    </w:pPr>
  </w:style>
  <w:style w:customStyle="1" w:styleId="Heading8Char" w:type="character">
    <w:name w:val="Heading 8 Char"/>
    <w:basedOn w:val="DefaultParagraphFont"/>
    <w:link w:val="Heading8"/>
    <w:rsid w:val="00C80801"/>
    <w:rPr>
      <w:rFonts w:asciiTheme="majorHAnsi" w:cstheme="majorBidi" w:eastAsiaTheme="majorEastAsia" w:hAnsiTheme="majorHAnsi"/>
      <w:color w:themeColor="text1" w:themeTint="D8" w:val="272727"/>
      <w:sz w:val="21"/>
      <w:szCs w:val="21"/>
    </w:rPr>
  </w:style>
  <w:style w:styleId="TOC1" w:type="paragraph">
    <w:name w:val="toc 1"/>
    <w:basedOn w:val="Normal"/>
    <w:next w:val="Normal"/>
    <w:autoRedefine/>
    <w:semiHidden/>
    <w:unhideWhenUsed/>
    <w:rsid w:val="00C80801"/>
    <w:pPr>
      <w:spacing w:after="100"/>
    </w:pPr>
  </w:style>
  <w:style w:styleId="TOC2" w:type="paragraph">
    <w:name w:val="toc 2"/>
    <w:basedOn w:val="Normal"/>
    <w:next w:val="Normal"/>
    <w:autoRedefine/>
    <w:semiHidden/>
    <w:unhideWhenUsed/>
    <w:rsid w:val="00C80801"/>
    <w:pPr>
      <w:spacing w:after="100"/>
      <w:ind w:left="240"/>
    </w:pPr>
  </w:style>
  <w:style w:styleId="TOC3" w:type="paragraph">
    <w:name w:val="toc 3"/>
    <w:basedOn w:val="Normal"/>
    <w:next w:val="Normal"/>
    <w:autoRedefine/>
    <w:semiHidden/>
    <w:unhideWhenUsed/>
    <w:rsid w:val="00C80801"/>
    <w:pPr>
      <w:spacing w:after="100"/>
      <w:ind w:left="480"/>
    </w:pPr>
  </w:style>
  <w:style w:styleId="Header" w:type="paragraph">
    <w:name w:val="header"/>
    <w:basedOn w:val="Normal"/>
    <w:link w:val="HeaderChar"/>
    <w:unhideWhenUsed/>
    <w:rsid w:val="003C73CD"/>
    <w:pPr>
      <w:tabs>
        <w:tab w:pos="4680" w:val="center"/>
        <w:tab w:pos="9360" w:val="right"/>
      </w:tabs>
      <w:spacing w:after="0"/>
    </w:pPr>
  </w:style>
  <w:style w:customStyle="1" w:styleId="HeaderChar" w:type="character">
    <w:name w:val="Header Char"/>
    <w:basedOn w:val="DefaultParagraphFont"/>
    <w:link w:val="Header"/>
    <w:rsid w:val="003C73CD"/>
    <w:rPr>
      <w:rFonts w:ascii="Times New Roman" w:hAnsi="Times New Roman"/>
    </w:rPr>
  </w:style>
  <w:style w:styleId="Footer" w:type="paragraph">
    <w:name w:val="footer"/>
    <w:basedOn w:val="Normal"/>
    <w:link w:val="FooterChar"/>
    <w:uiPriority w:val="99"/>
    <w:unhideWhenUsed/>
    <w:rsid w:val="003C73CD"/>
    <w:pPr>
      <w:tabs>
        <w:tab w:pos="4680" w:val="center"/>
        <w:tab w:pos="9360" w:val="right"/>
      </w:tabs>
      <w:spacing w:after="0"/>
    </w:pPr>
  </w:style>
  <w:style w:customStyle="1" w:styleId="FooterChar" w:type="character">
    <w:name w:val="Footer Char"/>
    <w:basedOn w:val="DefaultParagraphFont"/>
    <w:link w:val="Footer"/>
    <w:uiPriority w:val="99"/>
    <w:rsid w:val="003C73CD"/>
    <w:rPr>
      <w:rFonts w:ascii="Times New Roman" w:hAnsi="Times New Roman"/>
    </w:rPr>
  </w:style>
  <w:style w:styleId="LineNumber" w:type="character">
    <w:name w:val="line number"/>
    <w:basedOn w:val="DefaultParagraphFont"/>
    <w:semiHidden/>
    <w:unhideWhenUsed/>
    <w:rsid w:val="003C7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42" Target="media/rId42.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50" Target="media/rId50.png" /><Relationship Type="http://schemas.openxmlformats.org/officeDocument/2006/relationships/image" Id="rId46" Target="media/rId46.png" /><Relationship Type="http://schemas.openxmlformats.org/officeDocument/2006/relationships/hyperlink" Id="rId67" Target="https://doi.org/10.1111/1752-1688.70070" TargetMode="External" /><Relationship Type="http://schemas.openxmlformats.org/officeDocument/2006/relationships/hyperlink" Id="rId60" Target="https://github.com/tbep-tech/chlhydro-manu" TargetMode="External" /><Relationship Type="http://schemas.openxmlformats.org/officeDocument/2006/relationships/hyperlink" Id="rId20" Target="mailto:mbeck@tbep.org" TargetMode="External" /></Relationships>
</file>

<file path=word/_rels/footnotes.xml.rels><?xml version="1.0" encoding="UTF-8"?><Relationships xmlns="http://schemas.openxmlformats.org/package/2006/relationships"><Relationship Type="http://schemas.openxmlformats.org/officeDocument/2006/relationships/hyperlink" Id="rId67" Target="https://doi.org/10.1111/1752-1688.70070" TargetMode="External" /><Relationship Type="http://schemas.openxmlformats.org/officeDocument/2006/relationships/hyperlink" Id="rId60" Target="https://github.com/tbep-tech/chlhydro-manu" TargetMode="External" /><Relationship Type="http://schemas.openxmlformats.org/officeDocument/2006/relationships/hyperlink" Id="rId20" Target="mailto:mbeck@tbe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3</Pages>
  <Words>225</Words>
  <Characters>1285</Characters>
  <Application>Microsoft Office Word</Application>
  <DocSecurity>0</DocSecurity>
  <Lines>10</Lines>
  <Paragraphs>3</Paragraphs>
  <ScaleCrop>false</ScaleCrop>
  <Company/>
  <LinksUpToDate>false</LinksUpToDate>
  <CharactersWithSpaces>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awesome title for a great paper</dc:title>
  <dc:creator>Marcus W Beck1,✉, Kerry Flaherty-Walia1, Maya C Burke1, and Edward T Sherwood1</dc:creator>
  <cp:keywords/>
  <dcterms:created xsi:type="dcterms:W3CDTF">2026-01-20T14:01:10Z</dcterms:created>
  <dcterms:modified xsi:type="dcterms:W3CDTF">2026-01-20T14:01:10Z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ffiliation">
    <vt:lpwstr/>
  </property>
  <property fmtid="{D5CDD505-2E9C-101B-9397-08002B2CF9AE}" pid="6" name="crossref">
    <vt:lpwstr/>
  </property>
  <property fmtid="{D5CDD505-2E9C-101B-9397-08002B2CF9AE}" pid="7" name="csl">
    <vt:lpwstr>estuaries-and-coasts.csl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institutes">
    <vt:lpwstr/>
  </property>
  <property fmtid="{D5CDD505-2E9C-101B-9397-08002B2CF9AE}" pid="13" name="labels">
    <vt:lpwstr/>
  </property>
  <property fmtid="{D5CDD505-2E9C-101B-9397-08002B2CF9AE}" pid="14" name="toc-title">
    <vt:lpwstr>Table of contents</vt:lpwstr>
  </property>
</Properties>
</file>