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6.png" ContentType="image/png"/>
  <Override PartName="/word/media/rId40.png" ContentType="image/png"/>
  <Override PartName="/word/media/rId28.png" ContentType="image/png"/>
  <Override PartName="/word/media/rId3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awesome title for a great paper</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fig"/>
    <w:p>
      <w:pPr>
        <w:pStyle w:val="Heading2"/>
      </w:pPr>
      <w:r>
        <w:t xml:space="preserve">1 Fig</w:t>
      </w:r>
    </w:p>
    <w:p>
      <w:pPr>
        <w:pStyle w:val="Compact"/>
        <w:numPr>
          <w:ilvl w:val="0"/>
          <w:numId w:val="1001"/>
        </w:numPr>
      </w:pPr>
      <w:r>
        <w:t xml:space="preserve">observed chl and model fit</w:t>
      </w:r>
    </w:p>
    <w:p>
      <w:pPr>
        <w:pStyle w:val="Compact"/>
        <w:numPr>
          <w:ilvl w:val="0"/>
          <w:numId w:val="1001"/>
        </w:numPr>
      </w:pPr>
      <w:r>
        <w:t xml:space="preserve">model fit v normalized</w:t>
      </w:r>
    </w:p>
    <w:p>
      <w:pPr>
        <w:pStyle w:val="Compact"/>
        <w:numPr>
          <w:ilvl w:val="0"/>
          <w:numId w:val="1001"/>
        </w:numPr>
      </w:pPr>
      <w:r>
        <w:t xml:space="preserve">grid plots</w:t>
      </w:r>
    </w:p>
    <w:p>
      <w:pPr>
        <w:pStyle w:val="Compact"/>
        <w:numPr>
          <w:ilvl w:val="0"/>
          <w:numId w:val="1001"/>
        </w:numPr>
      </w:pPr>
      <w:r>
        <w:t xml:space="preserve">normalized - fit v hydrology</w:t>
      </w:r>
    </w:p>
    <w:bookmarkEnd w:id="21"/>
    <w:bookmarkStart w:id="22" w:name="table"/>
    <w:p>
      <w:pPr>
        <w:pStyle w:val="Heading2"/>
      </w:pPr>
      <w:r>
        <w:t xml:space="preserve">2 Table</w:t>
      </w:r>
    </w:p>
    <w:p>
      <w:pPr>
        <w:pStyle w:val="Compact"/>
        <w:numPr>
          <w:ilvl w:val="0"/>
          <w:numId w:val="1002"/>
        </w:numPr>
      </w:pPr>
      <w:r>
        <w:t xml:space="preserve">Model summary statistics (include by month?)</w:t>
      </w:r>
    </w:p>
    <w:bookmarkEnd w:id="22"/>
    <w:bookmarkStart w:id="25" w:name="methods"/>
    <w:p>
      <w:pPr>
        <w:pStyle w:val="Heading2"/>
      </w:pPr>
      <w:r>
        <w:t xml:space="preserve">3 Methods</w:t>
      </w:r>
    </w:p>
    <w:bookmarkStart w:id="23" w:name="data-processing"/>
    <w:p>
      <w:pPr>
        <w:pStyle w:val="Heading3"/>
      </w:pPr>
      <w:r>
        <w:t xml:space="preserve">3.1 Data processing</w:t>
      </w:r>
    </w:p>
    <w:p>
      <w:pPr>
        <w:pStyle w:val="FirstParagraph"/>
      </w:pPr>
      <w:r>
        <w:t xml:space="preserve">Salinity gaps were filled using linear interpolation between observed values, where the maximum gap fill was three time steps (months). Gaps accounted for less than 5% of the observatiosn for each bay segment.</w:t>
      </w:r>
    </w:p>
    <w:bookmarkEnd w:id="23"/>
    <w:bookmarkStart w:id="24" w:name="gams"/>
    <w:p>
      <w:pPr>
        <w:pStyle w:val="Heading3"/>
      </w:pPr>
      <w:r>
        <w:t xml:space="preserve">3.2 GAMs</w:t>
      </w:r>
    </w:p>
    <w:p>
      <w:pPr>
        <w:pStyle w:val="FirstParagraph"/>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23</m:t>
                    </m:r>
                  </m:sub>
                </m:sSub>
                <m:d>
                  <m:dPr>
                    <m:begChr m:val="("/>
                    <m:sepChr m:val=""/>
                    <m:endChr m:val=")"/>
                    <m:grow/>
                  </m:dPr>
                  <m:e>
                    <m:sSub>
                      <m:e>
                        <m:r>
                          <m:rPr>
                            <m:nor/>
                            <m:sty m:val="p"/>
                          </m:rPr>
                          <m:t>sal</m:t>
                        </m:r>
                      </m:e>
                      <m:sub>
                        <m:r>
                          <m:t>i</m:t>
                        </m:r>
                      </m:sub>
                    </m:sSub>
                    <m:r>
                      <m:rPr>
                        <m:sty m:val="p"/>
                      </m:rPr>
                      <m:t>,</m:t>
                    </m:r>
                    <m:sSub>
                      <m:e>
                        <m:r>
                          <m:rPr>
                            <m:nor/>
                            <m:sty m:val="p"/>
                          </m:rPr>
                          <m:t>doy</m:t>
                        </m:r>
                      </m:e>
                      <m:sub>
                        <m:r>
                          <m:t>i</m:t>
                        </m:r>
                      </m:sub>
                    </m:sSub>
                  </m:e>
                </m:d>
              </m:e>
            </m:mr>
          </m:m>
        </m:oMath>
      </m:oMathPara>
    </w:p>
    <w:p>
      <w:pPr>
        <w:pStyle w:val="FirstParagraph"/>
      </w:pPr>
      <w:r>
        <w:t xml:space="preserve">where chlorophyll-a is modelled as a Gamma-distributed response variable with mean</w:t>
      </w:r>
      <w:r>
        <w:t xml:space="preserve"> </w:t>
      </w:r>
      <m:oMath>
        <m:sSub>
          <m:e>
            <m:r>
              <m:t>μ</m:t>
            </m:r>
          </m:e>
          <m:sub>
            <m:r>
              <m:t>i</m:t>
            </m:r>
          </m:sub>
        </m:sSub>
      </m:oMath>
      <w:r>
        <w:t xml:space="preserve"> </w:t>
      </w:r>
      <w:r>
        <w:t xml:space="preserve">and dispersion parameter ϕ for observation i. The log-transformed mean chlorophyll-a is modelled as an intercept (</w:t>
      </w:r>
      <m:oMath>
        <m:sSub>
          <m:e>
            <m:r>
              <m:t>β</m:t>
            </m:r>
          </m:e>
          <m:sub>
            <m:r>
              <m:t>0</m:t>
            </m:r>
          </m:sub>
        </m:sSub>
      </m:oMath>
      <w:r>
        <w:t xml:space="preserve">) plus smooth functions of decimal time (dec_time), day of year (doy), and salinity (sal), along with tensor product smooth interactions between each pair of the three predictors. Specifically,</w:t>
      </w:r>
      <w:r>
        <w:t xml:space="preserve"> </w:t>
      </w:r>
      <m:oMath>
        <m:sSub>
          <m:e>
            <m:r>
              <m:t>f</m:t>
            </m:r>
          </m:e>
          <m:sub>
            <m:r>
              <m:t>1</m:t>
            </m:r>
          </m:sub>
        </m:sSub>
        <m:r>
          <m:rPr>
            <m:sty m:val="p"/>
          </m:rPr>
          <m:t>​</m:t>
        </m:r>
        <m:d>
          <m:dPr>
            <m:begChr m:val="("/>
            <m:sepChr m:val=""/>
            <m:endChr m:val=")"/>
            <m:grow/>
          </m:dPr>
          <m:e>
            <m:r>
              <m:rPr>
                <m:sty m:val="p"/>
              </m:rPr>
              <m:t>⋅</m:t>
            </m:r>
          </m:e>
        </m:d>
      </m:oMath>
      <w:r>
        <w:t xml:space="preserve"> </w:t>
      </w:r>
      <w:r>
        <w:t xml:space="preserve">is a thin plate regression spline with k = 40 basis functions,</w:t>
      </w:r>
      <w:r>
        <w:t xml:space="preserve"> </w:t>
      </w:r>
      <m:oMath>
        <m:sSub>
          <m:e>
            <m:r>
              <m:t>f</m:t>
            </m:r>
          </m:e>
          <m:sub>
            <m:r>
              <m:t>2</m:t>
            </m:r>
          </m:sub>
        </m:sSub>
        <m:d>
          <m:dPr>
            <m:begChr m:val="("/>
            <m:sepChr m:val=""/>
            <m:endChr m:val=")"/>
            <m:grow/>
          </m:dPr>
          <m:e>
            <m:r>
              <m:rPr>
                <m:sty m:val="p"/>
              </m:rPr>
              <m:t>⋅</m:t>
            </m:r>
          </m:e>
        </m:d>
      </m:oMath>
      <w:r>
        <w:t xml:space="preserve"> </w:t>
      </w:r>
      <w:r>
        <w:t xml:space="preserve">is a cyclic cubic regression spline with k = 10 basis functions,</w:t>
      </w:r>
      <w:r>
        <w:t xml:space="preserve"> </w:t>
      </w:r>
      <m:oMath>
        <m:sSub>
          <m:e>
            <m:r>
              <m:t>f</m:t>
            </m:r>
          </m:e>
          <m:sub>
            <m:r>
              <m:t>3</m:t>
            </m:r>
          </m:sub>
        </m:sSub>
        <m:d>
          <m:dPr>
            <m:begChr m:val="("/>
            <m:sepChr m:val=""/>
            <m:endChr m:val=")"/>
            <m:grow/>
          </m:dPr>
          <m:e>
            <m:r>
              <m:rPr>
                <m:sty m:val="p"/>
              </m:rPr>
              <m:t>⋅</m:t>
            </m:r>
          </m:e>
        </m:d>
      </m:oMath>
      <w:r>
        <w:t xml:space="preserve"> </w:t>
      </w:r>
      <w:r>
        <w:t xml:space="preserve">is a thin plate regression spline with k = 10 basis functions, and</w:t>
      </w:r>
      <w:r>
        <w:t xml:space="preserve"> </w:t>
      </w:r>
      <m:oMath>
        <m:sSub>
          <m:e>
            <m:r>
              <m:t>f</m:t>
            </m:r>
          </m:e>
          <m:sub>
            <m:r>
              <m:t>12</m:t>
            </m:r>
          </m:sub>
        </m:sSub>
        <m:d>
          <m:dPr>
            <m:begChr m:val="("/>
            <m:sepChr m:val=""/>
            <m:endChr m:val=")"/>
            <m:grow/>
          </m:dPr>
          <m:e>
            <m:r>
              <m:rPr>
                <m:sty m:val="p"/>
              </m:rPr>
              <m:t>⋅</m:t>
            </m:r>
            <m:r>
              <m:rPr>
                <m:sty m:val="p"/>
              </m:rPr>
              <m:t>,</m:t>
            </m:r>
            <m:r>
              <m:rPr>
                <m:sty m:val="p"/>
              </m:rPr>
              <m:t>⋅</m:t>
            </m:r>
          </m:e>
        </m:d>
      </m:oMath>
      <w:r>
        <w:t xml:space="preserve">,</w:t>
      </w:r>
      <w:r>
        <w:t xml:space="preserve"> </w:t>
      </w:r>
      <m:oMath>
        <m:sSub>
          <m:e>
            <m:r>
              <m:t>f</m:t>
            </m:r>
          </m:e>
          <m:sub>
            <m:r>
              <m:t>13</m:t>
            </m:r>
          </m:sub>
        </m:sSub>
        <m:d>
          <m:dPr>
            <m:begChr m:val="("/>
            <m:sepChr m:val=""/>
            <m:endChr m:val=")"/>
            <m:grow/>
          </m:dPr>
          <m:e>
            <m:r>
              <m:rPr>
                <m:sty m:val="p"/>
              </m:rPr>
              <m:t>⋅</m:t>
            </m:r>
            <m:r>
              <m:rPr>
                <m:sty m:val="p"/>
              </m:rPr>
              <m:t>,</m:t>
            </m:r>
            <m:r>
              <m:rPr>
                <m:sty m:val="p"/>
              </m:rPr>
              <m:t>⋅</m:t>
            </m:r>
          </m:e>
        </m:d>
      </m:oMath>
      <w:r>
        <w:t xml:space="preserve">, and</w:t>
      </w:r>
      <w:r>
        <w:t xml:space="preserve"> </w:t>
      </w:r>
      <m:oMath>
        <m:sSub>
          <m:e>
            <m:r>
              <m:t>f</m:t>
            </m:r>
          </m:e>
          <m:sub>
            <m:r>
              <m:t>23</m:t>
            </m:r>
          </m:sub>
        </m:sSub>
        <m:d>
          <m:dPr>
            <m:begChr m:val="("/>
            <m:sepChr m:val=""/>
            <m:endChr m:val=")"/>
            <m:grow/>
          </m:dPr>
          <m:e>
            <m:r>
              <m:rPr>
                <m:sty m:val="p"/>
              </m:rPr>
              <m:t>⋅</m:t>
            </m:r>
            <m:r>
              <m:rPr>
                <m:sty m:val="p"/>
              </m:rPr>
              <m:t>,</m:t>
            </m:r>
            <m:r>
              <m:rPr>
                <m:sty m:val="p"/>
              </m:rPr>
              <m:t>⋅</m:t>
            </m:r>
          </m:e>
        </m:d>
      </m:oMath>
      <w:r>
        <w:t xml:space="preserve"> </w:t>
      </w:r>
      <w:r>
        <w:t xml:space="preserve">are tensor product smooths (excluding main effects) with k = (5, 5) basis functions. Smoothing parameters were estimated using restricted maximum likelihood (REML).</w:t>
      </w:r>
    </w:p>
    <w:p>
      <w:pPr>
        <w:pStyle w:val="BodyText"/>
      </w:pPr>
      <w:r>
        <w:t xml:space="preserve">ACF plots showed minimal autocorrelation of model residuals at lag 1 (all &lt; 0.20 rho).</w:t>
      </w:r>
    </w:p>
    <w:p>
      <w:pPr>
        <w:pStyle w:val="BodyText"/>
      </w:pPr>
      <w:r>
        <w:t xml:space="preserve">K values chosen to allow sufficient degress of freedom for each smoother.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w:t>
      </w:r>
    </w:p>
    <w:p>
      <w:pPr>
        <w:pStyle w:val="BodyText"/>
      </w:pPr>
      <w:r>
        <w:t xml:space="preserve">Salinity-normalized predictions were made by predicting chlorophyll-a across a range of salinity values (minimum to maximum observed) at each time step, then taking the mean of those predictions as the salinity-normalized value for that time step.</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Norm</m:t>
                </m:r>
                <m:d>
                  <m:dPr>
                    <m:begChr m:val="("/>
                    <m:sepChr m:val=""/>
                    <m:endChr m:val=")"/>
                    <m:grow/>
                  </m:dPr>
                  <m:e>
                    <m:r>
                      <m:t>t</m:t>
                    </m:r>
                  </m:e>
                </m:d>
              </m:e>
              <m:e>
                <m:r>
                  <m:rPr>
                    <m:sty m:val="p"/>
                  </m:rPr>
                  <m:t>=</m:t>
                </m:r>
                <m:f>
                  <m:fPr>
                    <m:type m:val="bar"/>
                  </m:fPr>
                  <m:num>
                    <m:r>
                      <m:t>1</m:t>
                    </m:r>
                  </m:num>
                  <m:den>
                    <m:d>
                      <m:dPr>
                        <m:begChr m:val="|"/>
                        <m:sepChr m:val=""/>
                        <m:endChr m:val="|"/>
                        <m:grow/>
                      </m:dPr>
                      <m:e>
                        <m:r>
                          <m:rPr>
                            <m:sty m:val="p"/>
                            <m:scr m:val="script"/>
                          </m:rPr>
                          <m:t>S</m:t>
                        </m:r>
                      </m:e>
                    </m:d>
                  </m:den>
                </m:f>
                <m:nary>
                  <m:naryPr>
                    <m:chr m:val="∑"/>
                    <m:limLoc m:val="undOvr"/>
                    <m:subHide m:val="off"/>
                    <m:supHide m:val="on"/>
                  </m:naryPr>
                  <m:sub>
                    <m:r>
                      <m:t>s</m:t>
                    </m:r>
                    <m:r>
                      <m:rPr>
                        <m:sty m:val="p"/>
                      </m:rPr>
                      <m:t>∈</m:t>
                    </m:r>
                    <m:r>
                      <m:rPr>
                        <m:sty m:val="p"/>
                        <m:scr m:val="script"/>
                      </m:rPr>
                      <m:t>S</m:t>
                    </m:r>
                  </m:sub>
                  <m:sup>
                    <m:r>
                      <m:t>​</m:t>
                    </m:r>
                  </m:sup>
                  <m:e>
                    <m:acc>
                      <m:accPr>
                        <m:chr m:val="̂"/>
                      </m:accPr>
                      <m:e>
                        <m:r>
                          <m:t>f</m:t>
                        </m:r>
                      </m:e>
                    </m:acc>
                  </m:e>
                </m:nary>
                <m:d>
                  <m:dPr>
                    <m:begChr m:val="("/>
                    <m:sepChr m:val=""/>
                    <m:endChr m:val=")"/>
                    <m:grow/>
                  </m:dPr>
                  <m:e>
                    <m:r>
                      <m:t>t</m:t>
                    </m:r>
                    <m:r>
                      <m:rPr>
                        <m:sty m:val="p"/>
                      </m:rPr>
                      <m:t>,</m:t>
                    </m:r>
                    <m:r>
                      <m:t>s</m:t>
                    </m:r>
                    <m:r>
                      <m:rPr>
                        <m:sty m:val="p"/>
                      </m:rPr>
                      <m:t>,</m:t>
                    </m:r>
                    <m:sSub>
                      <m:e>
                        <m:acc>
                          <m:accPr>
                            <m:chr m:val="‾"/>
                          </m:accPr>
                          <m:e>
                            <m:r>
                              <m:rPr>
                                <m:nor/>
                                <m:sty m:val="p"/>
                              </m:rPr>
                              <m:t>sal</m:t>
                            </m:r>
                          </m:e>
                        </m:acc>
                      </m:e>
                      <m:sub>
                        <m:r>
                          <m:t>m</m:t>
                        </m:r>
                        <m:d>
                          <m:dPr>
                            <m:begChr m:val="("/>
                            <m:sepChr m:val=""/>
                            <m:endChr m:val=")"/>
                            <m:grow/>
                          </m:dPr>
                          <m:e>
                            <m:r>
                              <m:t>t</m:t>
                            </m:r>
                          </m:e>
                        </m:d>
                        <m:r>
                          <m:rPr>
                            <m:sty m:val="p"/>
                          </m:rPr>
                          <m:t>,</m:t>
                        </m:r>
                        <m:r>
                          <m:t>y</m:t>
                        </m:r>
                        <m:d>
                          <m:dPr>
                            <m:begChr m:val="("/>
                            <m:sepChr m:val=""/>
                            <m:endChr m:val=")"/>
                            <m:grow/>
                          </m:dPr>
                          <m:e>
                            <m:r>
                              <m:t>t</m:t>
                            </m:r>
                          </m:e>
                        </m:d>
                      </m:sub>
                    </m:sSub>
                  </m:e>
                </m:d>
              </m:e>
            </m:mr>
          </m:m>
        </m:oMath>
      </m:oMathPara>
    </w:p>
    <w:bookmarkEnd w:id="24"/>
    <w:bookmarkEnd w:id="25"/>
    <w:bookmarkStart w:id="26" w:name="results"/>
    <w:p>
      <w:pPr>
        <w:pStyle w:val="Heading2"/>
      </w:pPr>
      <w:r>
        <w:t xml:space="preserve">4 Results</w:t>
      </w:r>
    </w:p>
    <w:p>
      <w:pPr>
        <w:pStyle w:val="FirstParagraph"/>
      </w:pPr>
      <w:hyperlink w:anchor="fig-obsprd">
        <w:r>
          <w:rPr>
            <w:rStyle w:val="Hyperlink"/>
          </w:rPr>
          <w:t xml:space="preserve">Figure 1</w:t>
        </w:r>
      </w:hyperlink>
      <w:r>
        <w:t xml:space="preserve">,</w:t>
      </w:r>
      <w:r>
        <w:t xml:space="preserve"> </w:t>
      </w:r>
      <w:hyperlink w:anchor="fig-prdnrm">
        <w:r>
          <w:rPr>
            <w:rStyle w:val="Hyperlink"/>
          </w:rPr>
          <w:t xml:space="preserve">Figure 2</w:t>
        </w:r>
      </w:hyperlink>
      <w:r>
        <w:t xml:space="preserve">,</w:t>
      </w:r>
      <w:r>
        <w:t xml:space="preserve"> </w:t>
      </w:r>
      <w:hyperlink w:anchor="fig-gridplo">
        <w:r>
          <w:rPr>
            <w:rStyle w:val="Hyperlink"/>
          </w:rPr>
          <w:t xml:space="preserve">Figure 3</w:t>
        </w:r>
      </w:hyperlink>
      <w:r>
        <w:t xml:space="preserve">,</w:t>
      </w:r>
      <w:r>
        <w:t xml:space="preserve"> </w:t>
      </w:r>
      <w:hyperlink w:anchor="fig-hydnrm">
        <w:r>
          <w:rPr>
            <w:rStyle w:val="Hyperlink"/>
          </w:rPr>
          <w:t xml:space="preserve">Figure 4</w:t>
        </w:r>
      </w:hyperlink>
    </w:p>
    <w:p>
      <w:pPr>
        <w:pStyle w:val="BodyText"/>
      </w:pPr>
      <w:hyperlink w:anchor="tbl-gamtab">
        <w:r>
          <w:rPr>
            <w:rStyle w:val="Hyperlink"/>
          </w:rPr>
          <w:t xml:space="preserve">Table 1</w:t>
        </w:r>
      </w:hyperlink>
      <w:r>
        <w:t xml:space="preserve">,</w:t>
      </w:r>
      <w:r>
        <w:t xml:space="preserve"> </w:t>
      </w:r>
      <w:hyperlink w:anchor="tbl-hydnrmtab">
        <w:r>
          <w:rPr>
            <w:rStyle w:val="Hyperlink"/>
          </w:rPr>
          <w:t xml:space="preserve">Table 2</w:t>
        </w:r>
      </w:hyperlink>
    </w:p>
    <w:bookmarkEnd w:id="26"/>
    <w:bookmarkStart w:id="27" w:name="discussion"/>
    <w:p>
      <w:pPr>
        <w:pStyle w:val="Heading2"/>
      </w:pPr>
      <w:r>
        <w:t xml:space="preserve">5 Discussion</w:t>
      </w:r>
    </w:p>
    <w:p>
      <w:r>
        <w:br w:type="page"/>
      </w:r>
    </w:p>
    <w:bookmarkEnd w:id="27"/>
    <w:bookmarkStart w:id="44"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1" w:name="fig-obsprd"/>
          <w:p>
            <w:pPr>
              <w:pStyle w:val="Compact"/>
              <w:jc w:val="center"/>
            </w:pPr>
            <w:r>
              <w:drawing>
                <wp:inline>
                  <wp:extent cx="5943600" cy="6686549"/>
                  <wp:effectExtent b="0" l="0" r="0" t="0"/>
                  <wp:docPr descr="" title="" id="29" name="Picture"/>
                  <a:graphic>
                    <a:graphicData uri="http://schemas.openxmlformats.org/drawingml/2006/picture">
                      <pic:pic>
                        <pic:nvPicPr>
                          <pic:cNvPr descr="figs/obsprd.png" id="30" name="Picture"/>
                          <pic:cNvPicPr>
                            <a:picLocks noChangeArrowheads="1" noChangeAspect="1"/>
                          </pic:cNvPicPr>
                        </pic:nvPicPr>
                        <pic:blipFill>
                          <a:blip r:embed="rId28"/>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1: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31"/>
        </w:tc>
      </w:tr>
    </w:tbl>
    <w:p>
      <w:r>
        <w:br w:type="page"/>
      </w:r>
    </w:p>
    <w:tbl>
      <w:tblPr>
        <w:tblStyle w:val="Table"/>
        <w:tblW w:type="pct" w:w="5000"/>
        <w:tblLayout w:type="fixed"/>
        <w:tblLook w:firstRow="0" w:lastRow="0" w:firstColumn="0" w:lastColumn="0" w:noHBand="0" w:noVBand="0" w:val="0000"/>
      </w:tblPr>
      <w:tblGrid>
        <w:gridCol w:w="7920"/>
      </w:tblGrid>
      <w:tr>
        <w:tc>
          <w:tcPr/>
          <w:bookmarkStart w:id="35" w:name="fig-prdnrm"/>
          <w:p>
            <w:pPr>
              <w:pStyle w:val="Compact"/>
              <w:jc w:val="center"/>
            </w:pPr>
            <w:r>
              <w:drawing>
                <wp:inline>
                  <wp:extent cx="5943600" cy="4245428"/>
                  <wp:effectExtent b="0" l="0" r="0" t="0"/>
                  <wp:docPr descr="" title="" id="33" name="Picture"/>
                  <a:graphic>
                    <a:graphicData uri="http://schemas.openxmlformats.org/drawingml/2006/picture">
                      <pic:pic>
                        <pic:nvPicPr>
                          <pic:cNvPr descr="figs/prdnrm.png" id="34" name="Picture"/>
                          <pic:cNvPicPr>
                            <a:picLocks noChangeArrowheads="1" noChangeAspect="1"/>
                          </pic:cNvPicPr>
                        </pic:nvPicPr>
                        <pic:blipFill>
                          <a:blip r:embed="rId3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predictions, normalized estimates, and mean salinity estimates for chlorophyll-a by major bay segment from the separate GAMs. Normalized values (solid lines) are those that remove the salinity influence using the mean result of predictions across a range of salinity values at each time step, whereas the mean salinity values (dashed lines) are annual predictions across a constant mean salinity for each bay segment. OTB: Old Tampa Bay; HB: Hillsborough Bay; MTB: Middle Tampa Bay; LTB: Lower Tampa Bay.</w:t>
            </w:r>
          </w:p>
          <w:bookmarkEnd w:id="35"/>
        </w:tc>
      </w:tr>
    </w:tbl>
    <w:p>
      <w:r>
        <w:br w:type="page"/>
      </w:r>
    </w:p>
    <w:tbl>
      <w:tblPr>
        <w:tblStyle w:val="Table"/>
        <w:tblW w:type="pct" w:w="5000"/>
        <w:tblLayout w:type="fixed"/>
        <w:tblLook w:firstRow="0" w:lastRow="0" w:firstColumn="0" w:lastColumn="0" w:noHBand="0" w:noVBand="0" w:val="0000"/>
      </w:tblPr>
      <w:tblGrid>
        <w:gridCol w:w="7920"/>
      </w:tblGrid>
      <w:tr>
        <w:tc>
          <w:tcPr/>
          <w:bookmarkStart w:id="39" w:name="fig-gridplo"/>
          <w:p>
            <w:pPr>
              <w:pStyle w:val="Compact"/>
              <w:jc w:val="center"/>
            </w:pPr>
            <w:r>
              <w:drawing>
                <wp:inline>
                  <wp:extent cx="5943600" cy="4862945"/>
                  <wp:effectExtent b="0" l="0" r="0" t="0"/>
                  <wp:docPr descr="" title="" id="37" name="Picture"/>
                  <a:graphic>
                    <a:graphicData uri="http://schemas.openxmlformats.org/drawingml/2006/picture">
                      <pic:pic>
                        <pic:nvPicPr>
                          <pic:cNvPr descr="figs/gridplo.png" id="38" name="Picture"/>
                          <pic:cNvPicPr>
                            <a:picLocks noChangeArrowheads="1" noChangeAspect="1"/>
                          </pic:cNvPicPr>
                        </pic:nvPicPr>
                        <pic:blipFill>
                          <a:blip r:embed="rId36"/>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 3: Predicted chlorophyll-a (</w:t>
            </w:r>
            <m:oMath>
              <m:r>
                <m:t>μ</m:t>
              </m:r>
            </m:oMath>
            <w:r>
              <w:t xml:space="preserve">g/L) during the rainy season (June to November) from 2005 to present as related to salinity (ppth) by major bay segment. Facets are arranged to show how the monthly predictions vary across years and different salnity ranges. The points show the model predicted results for the observed salinity. Salinity ranges in each plot are fixed the minimum and maximum observed across years for the month. OTB: Old Tampa Bay; HB: Hillsborough Bay; MTB: Middle Tampa Bay; LTB: Lower Tampa Bay.</w:t>
            </w:r>
          </w:p>
          <w:bookmarkEnd w:id="39"/>
        </w:tc>
      </w:tr>
    </w:tbl>
    <w:p>
      <w:r>
        <w:br w:type="page"/>
      </w:r>
    </w:p>
    <w:tbl>
      <w:tblPr>
        <w:tblStyle w:val="Table"/>
        <w:tblW w:type="pct" w:w="5000"/>
        <w:tblLayout w:type="fixed"/>
        <w:tblLook w:firstRow="0" w:lastRow="0" w:firstColumn="0" w:lastColumn="0" w:noHBand="0" w:noVBand="0" w:val="0000"/>
      </w:tblPr>
      <w:tblGrid>
        <w:gridCol w:w="7920"/>
      </w:tblGrid>
      <w:tr>
        <w:tc>
          <w:tcPr/>
          <w:bookmarkStart w:id="43" w:name="fig-hydnrm"/>
          <w:p>
            <w:pPr>
              <w:pStyle w:val="Compact"/>
              <w:jc w:val="center"/>
            </w:pPr>
            <w:r>
              <w:drawing>
                <wp:inline>
                  <wp:extent cx="5943600" cy="5943600"/>
                  <wp:effectExtent b="0" l="0" r="0" t="0"/>
                  <wp:docPr descr="" title="" id="41" name="Picture"/>
                  <a:graphic>
                    <a:graphicData uri="http://schemas.openxmlformats.org/drawingml/2006/picture">
                      <pic:pic>
                        <pic:nvPicPr>
                          <pic:cNvPr descr="figs/hydnrm.png" id="42" name="Picture"/>
                          <pic:cNvPicPr>
                            <a:picLocks noChangeArrowheads="1" noChangeAspect="1"/>
                          </pic:cNvPicPr>
                        </pic:nvPicPr>
                        <pic:blipFill>
                          <a:blip r:embed="rId40"/>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4: Salinity-normalized chlorophyll-a (</w:t>
            </w:r>
            <m:oMath>
              <m:r>
                <m:t>μ</m:t>
              </m:r>
            </m:oMath>
            <w:r>
              <w:t xml:space="preserve">g/L) related to hydology from 2004 to present in Old Tampa Bay. GAM-predicted chlorophyll-a (points) and salinity-normalized (lines) are shown for each quarter (a), followed by hydrologic load anomalies (10</w:t>
            </w:r>
            <m:oMath>
              <m:sSup>
                <m:e>
                  <m:r>
                    <m:t>​</m:t>
                  </m:r>
                </m:e>
                <m:sup>
                  <m:r>
                    <m:t>6</m:t>
                  </m:r>
                </m:sup>
              </m:sSup>
            </m:oMath>
            <w:r>
              <w:t xml:space="preserve"> </w:t>
            </w:r>
            <w:r>
              <w:t xml:space="preserve">m</w:t>
            </w:r>
            <m:oMath>
              <m:sSup>
                <m:e>
                  <m:r>
                    <m:t>​</m:t>
                  </m:r>
                </m:e>
                <m:sup>
                  <m:r>
                    <m:t>3</m:t>
                  </m:r>
                </m:sup>
              </m:sSup>
            </m:oMath>
            <w:r>
              <w:t xml:space="preserve"> </w:t>
            </w:r>
            <w:r>
              <w:t xml:space="preserve">/ quarter) as the load minus the long-term average by quarter (b), followed by the relationship between the predicted minus salinity-normalized chlorophyll and the hydrologic load anomalies by quarter (c). Model R</w:t>
            </w:r>
            <m:oMath>
              <m:sSup>
                <m:e>
                  <m:r>
                    <m:t>​</m:t>
                  </m:r>
                </m:e>
                <m:sup>
                  <m:r>
                    <m:t>2</m:t>
                  </m:r>
                </m:sup>
              </m:sSup>
            </m:oMath>
            <w:r>
              <w:t xml:space="preserve"> </w:t>
            </w:r>
            <w:r>
              <w:t xml:space="preserve">values are shown for the linear regression fit (lines) in (c). JFM: January, February, March; AMJ: April, May, June; JAS: July, August, September; OND: October, November, December.</w:t>
            </w:r>
          </w:p>
          <w:bookmarkEnd w:id="43"/>
        </w:tc>
      </w:tr>
    </w:tbl>
    <w:p>
      <w:r>
        <w:br w:type="page"/>
      </w:r>
    </w:p>
    <w:bookmarkEnd w:id="44"/>
    <w:bookmarkStart w:id="47"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45" w:name="tbl-gamtab"/>
          <w:p>
            <w:pPr>
              <w:jc w:val="center"/>
            </w:pPr>
            <w:pPr>
              <w:jc w:val="left"/>
              <w:spacing w:before="200"/>
              <w:pStyle w:val="ImageCaption"/>
            </w:pPr>
            <w:r>
              <w:t xml:space="preserve">Table 1: Generalized Additive Model (GAM) summary statistics for chlorophyll-a predictions by bay segment in Tampa Bay. Results for the overall model fit are shown with the Generalized Cross Validation (GCV) score and deviance explained (Dev. Expl.). Summary statistics for the smoothers used in each model are also shown with the estimated degrees of freedom (edf), reference degrees of freedom (Ref.df), F-statitic (F), and p-value (p).</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indicatees a tensor product smoother interaction between two predictors. dec_time: decimal time; doy: day of year; sal: salinity (ppth).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103"/>
              <w:gridCol w:w="608"/>
              <w:gridCol w:w="1091"/>
              <w:gridCol w:w="160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Num. Obs.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s(dec_time)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0.056</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29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s(dec_time)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0.024</w:t>
                  </w:r>
                </w:p>
              </w:tc>
            </w:tr>
            <w:tr>
              <w:trPr>
                <w:trHeight w:val="29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s(dec_time)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0.038</w:t>
                  </w:r>
                </w:p>
              </w:tc>
            </w:tr>
            <w:tr>
              <w:trPr>
                <w:trHeight w:val="29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s(dec_time)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0.235</w:t>
                  </w:r>
                </w:p>
              </w:tc>
            </w:tr>
            <w:tr>
              <w:trPr>
                <w:trHeight w:val="344" w:hRule="auto"/>
              </w:trPr>
              body28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ti(sal,doy)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0.048</w:t>
                  </w:r>
                </w:p>
              </w:tc>
            </w:tr>
          </w:tbl>
          <w:bookmarkEnd w:id="45"/>
        </w:tc>
      </w:tr>
    </w:tbl>
    <w:p>
      <w:r>
        <w:br w:type="page"/>
      </w:r>
    </w:p>
    <w:tbl>
      <w:tblPr>
        <w:tblStyle w:val="Table"/>
        <w:tblW w:type="pct" w:w="5000"/>
        <w:tblLayout w:type="fixed"/>
        <w:tblLook w:firstRow="0" w:lastRow="0" w:firstColumn="0" w:lastColumn="0" w:noHBand="0" w:noVBand="0" w:val="0000"/>
      </w:tblPr>
      <w:tblGrid>
        <w:gridCol w:w="7920"/>
      </w:tblGrid>
      <w:tr>
        <w:tc>
          <w:tcPr/>
          <w:bookmarkStart w:id="46" w:name="tbl-hydnrmtab"/>
          <w:p>
            <w:pPr>
              <w:jc w:val="center"/>
            </w:pPr>
            <w:pPr>
              <w:jc w:val="left"/>
              <w:spacing w:before="200"/>
              <w:pStyle w:val="ImageCaption"/>
            </w:pPr>
            <w:r>
              <w:t xml:space="preserve">Table 2: Linear model fits between the predicted minus salinity-normalized chlorophyll and the hydrologic load anomalies by quarter, bay segment, and annual periods. OTB: Old Tampa Bay, HB: Hillsborough Bay, MTB: Middle Tampa Bay, LTB: Lower Tampa Bay. JFM: January, February, March; AMJ: April, May, June; JAS: July, August, September; OND: October, November, December. p &lt; 0.05 *; p &lt; 0.005 **.</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816"/>
              <w:gridCol w:w="1556"/>
              <w:gridCol w:w="1085"/>
              <w:gridCol w:w="1556"/>
              <w:gridCol w:w="1085"/>
            </w:tblGrid>
            <w:tr>
              <w:trPr>
                <w:trHeight w:val="296"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1985 - 2003</w:t>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2004 - 2024</w:t>
                  </w:r>
                </w:p>
              </w:tc>
            </w:tr>
            <w:tr>
              <w:trPr>
                <w:trHeight w:val="3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Quarter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Slope (SE)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R-Squared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Slope (SE)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R-Squared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0.004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0.13</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0.013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0.41</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0.007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0.018 (0.006)**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0.35</w:t>
                  </w:r>
                </w:p>
              </w:tc>
            </w:tr>
            <w:tr>
              <w:trPr>
                <w:trHeight w:val="29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0.015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0.56</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0.012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0.39</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0.016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0.006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r>
            <w:tr>
              <w:trPr>
                <w:trHeight w:val="34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0.017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r>
            <w:tr>
              <w:trPr>
                <w:trHeight w:val="29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0.017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0.002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0.05</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0.006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0.009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0.012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0.23</w:t>
                  </w:r>
                </w:p>
              </w:tc>
            </w:tr>
            <w:tr>
              <w:trPr>
                <w:trHeight w:val="29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0.012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0.003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0.004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0.004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0.05</w:t>
                  </w:r>
                </w:p>
              </w:tc>
            </w:tr>
            <w:tr>
              <w:trPr>
                <w:trHeight w:val="344" w:hRule="auto"/>
              </w:trPr>
              body20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0.008 (0.006)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0.07</w:t>
                  </w:r>
                </w:p>
              </w:tc>
            </w:tr>
          </w:tbl>
          <w:bookmarkEnd w:id="46"/>
        </w:tc>
      </w:tr>
    </w:tbl>
    <w:p>
      <w:r>
        <w:br w:type="page"/>
      </w:r>
    </w:p>
    <w:bookmarkEnd w:id="47"/>
    <w:bookmarkStart w:id="49"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48">
        <w:r>
          <w:rPr>
            <w:rStyle w:val="Hyperlink"/>
          </w:rPr>
          <w:t xml:space="preserve">https://github.com/tbep-tech/chlhydro-manu</w:t>
        </w:r>
      </w:hyperlink>
      <w:r>
        <w:t xml:space="preserve">.</w:t>
      </w:r>
    </w:p>
    <w:bookmarkEnd w:id="49"/>
    <w:bookmarkStart w:id="50"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50"/>
    <w:bookmarkStart w:id="54" w:name="statements-and-declarations"/>
    <w:p>
      <w:pPr>
        <w:pStyle w:val="Heading2"/>
      </w:pPr>
      <w:r>
        <w:t xml:space="preserve">Statements and Declarations</w:t>
      </w:r>
    </w:p>
    <w:bookmarkStart w:id="51"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51"/>
    <w:bookmarkStart w:id="52"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52"/>
    <w:bookmarkStart w:id="53"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53"/>
    <w:bookmarkEnd w:id="54"/>
    <w:bookmarkStart w:id="55" w:name="references"/>
    <w:p>
      <w:pPr>
        <w:pStyle w:val="Heading2"/>
      </w:pPr>
      <w:r>
        <w:t xml:space="preserve">References</w:t>
      </w:r>
    </w:p>
    <w:bookmarkEnd w:id="55"/>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hyperlink" Id="rId48" Target="https://github.com/tbep-tech/chlhydro-manu"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48" Target="https://github.com/tbep-tech/chlhydro-manu"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awesome title for a great paper</dc:title>
  <dc:creator>Marcus W Beck1,✉, Kerry Flaherty-Walia1, Maya C Burke1, and Edward T Sherwood1</dc:creator>
  <cp:keywords/>
  <dcterms:created xsi:type="dcterms:W3CDTF">2025-12-14T17:18:20Z</dcterms:created>
  <dcterms:modified xsi:type="dcterms:W3CDTF">2025-12-14T17:18:20Z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