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(EPCHC).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(annual averages by bay segment are shown in</w:t>
      </w:r>
      <w:r>
        <w:t xml:space="preserve"> </w:t>
      </w:r>
      <w:hyperlink w:anchor="fig-obsdat">
        <w:r>
          <w:rPr>
            <w:rStyle w:val="Hyperlink"/>
          </w:rPr>
          <w:t xml:space="preserve">Figure 2</w:t>
        </w:r>
      </w:hyperlink>
      <w:r>
        <w:t xml:space="preserve">a, b). Salinity is measured at surface, mid, and bottom depths at each station, whereas only surface salinity was used for analysis given similar sampling depth as chorophyll-a.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(Beck et al., 2022)</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Akaike information criterion</w:t>
      </w:r>
      <w:r>
        <w:t xml:space="preserve"> </w:t>
      </w:r>
      <w:r>
        <w:t xml:space="preserve">(Akaike, 1974, Table S1)</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S2).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S3-S6),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hyperlink w:anchor="fig-obsdat">
        <w:r>
          <w:rPr>
            <w:rStyle w:val="Hyperlink"/>
          </w:rPr>
          <w:t xml:space="preserve">Figure 2</w:t>
        </w:r>
      </w:hyperlink>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w:t>
      </w:r>
    </w:p>
    <w:p>
      <w:pPr>
        <w:pStyle w:val="BodyText"/>
      </w:pPr>
      <w:r>
        <w:t xml:space="preserve">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Although long-term reductions in loading have been observed over several decades, evaluating upper and lower bounds of potential loads relative to the TMDL threshold for each bay segment provides a more contextualized assesssment.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S3) and emphasizing that the</w:t>
      </w:r>
      <w:r>
        <w:t xml:space="preserve"> </w:t>
      </w:r>
      <w:r>
        <w:t xml:space="preserve">“status quo”</w:t>
      </w:r>
      <w:r>
        <w:t xml:space="preserve"> </w:t>
      </w:r>
      <w:r>
        <w:t xml:space="preserve">may not remain protective in the future is also a worthwhile assessment.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The axis scales are not fixed in (a) to better visualize inter-annual changes within each bay segment, whereas the scales are fixed in (b) to emphasize differences in the magnitude of the drivers between bay segments.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70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6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↑6.5)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 ↑17.3)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↑2.4)</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 ↑4.3)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↑2.7)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↑3.3)</w:t>
                  </w:r>
                </w:p>
              </w:tc>
            </w:tr>
            <w:tr>
              <w:trPr>
                <w:trHeight w:val="6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↑8.2)</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2026-06-11T18:43:57Z</dcterms:created>
  <dcterms:modified xsi:type="dcterms:W3CDTF">2026-06-11T18:43:57Z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