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that focus on controlling external nutrient loading.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bay is divided into four major segments defined by physical and natural boundaries, with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Ni~no vs La Ni~na years). However, a weak but long-term inrease in rainfall over the past fifty years has lead to gradual increases in stormwater loads and, consequently, a freshening of Tampa Bay, particularly in the upper bay segments</w:t>
      </w:r>
      <w:r>
        <w:t xml:space="preserve"> </w:t>
      </w:r>
      <w:r>
        <w:t xml:space="preserve">(Marcus W. 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Salinity and chlorophyll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(n = 480 for each bay segment).</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where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(Marcus W. 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30" w:name="results"/>
    <w:p>
      <w:pPr>
        <w:pStyle w:val="Heading2"/>
      </w:pPr>
      <w:r>
        <w:t xml:space="preserve">3 Results</w:t>
      </w:r>
    </w:p>
    <w:bookmarkStart w:id="27"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2</w:t>
        </w:r>
      </w:hyperlink>
      <w:r>
        <w:t xml:space="preserve">,</w:t>
      </w:r>
      <w:r>
        <w:t xml:space="preserve"> </w:t>
      </w:r>
      <w:hyperlink w:anchor="tbl-gamtab">
        <w:r>
          <w:rPr>
            <w:rStyle w:val="Hyperlink"/>
          </w:rPr>
          <w:t xml:space="preserve">Table 1</w:t>
        </w:r>
      </w:hyperlink>
      <w:r>
        <w:t xml:space="preserve">). All bay segments had overall explained deviance of at least 70% (OTB 74%, HB 70%, MTB 76%), whereas LTB had the lowest at 60%. Model predictions over time captured the seasonality of chlorophyll and substantial variation in the seasonality was observed between years. The long-term decreases in chlorophyll were notable in the upper bay segments, i.e., purple lines earlier in the time series generally higher chlorohpyll-a predictions than the green and yellow lines later in the time series for OTB and HB (</w:t>
      </w:r>
      <w:hyperlink w:anchor="fig-obsprd">
        <w:r>
          <w:rPr>
            <w:rStyle w:val="Hyperlink"/>
          </w:rPr>
          <w:t xml:space="preserve">Figure 2</w:t>
        </w:r>
      </w:hyperlink>
      <w:r>
        <w:t xml:space="preserve">b). All bay segments had significant (</w:t>
      </w:r>
      <m:oMath>
        <m:r>
          <m:t>p</m:t>
        </m:r>
      </m:oMath>
      <w:r>
        <w:t xml:space="preserve"> </w:t>
      </w:r>
      <w:r>
        <w:t xml:space="preserve">&lt; 0.05)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suggesting an effect of loading on chlorophyll-a that was dependent on values of other predictors (loading and decimal time for OTB; loading and decimal time, day of year, and salinity for HB; and loading and day of year for MTB and LTB).</w:t>
      </w:r>
    </w:p>
    <w:p>
      <w:pPr>
        <w:pStyle w:val="BodyText"/>
      </w:pPr>
      <w:r>
        <w:t xml:space="preserve">Differences in correlations between observed and predicted chlorophyll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0.73).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0.43, 0.41, respectively). Mean correlations were similar between bay segments and annual groupings for all other seasons (mean</w:t>
      </w:r>
      <w:r>
        <w:t xml:space="preserve"> </w:t>
      </w:r>
      <m:oMath>
        <m:r>
          <m:t>ρ</m:t>
        </m:r>
      </m:oMath>
      <w:r>
        <w:t xml:space="preserve"> </w:t>
      </w:r>
      <w:r>
        <w:t xml:space="preserve">= 0.61, 0.61, 0.74 for JFM, AMJ, and JAS, respectively).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7"/>
    <w:bookmarkStart w:id="28"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3</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salinity-normalized results that were similar to those at mean loading. This result suggested that loading had more unique effects on chlorophyll-a in OTB and HB, whereas loading was less important for MTB and LTB. The unique effects of loading in OTB and HB were most notable early and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3</w:t>
        </w:r>
      </w:hyperlink>
      <w:r>
        <w:t xml:space="preserve"> </w:t>
      </w:r>
      <w:r>
        <w:t xml:space="preserve">were further assessed by the relative differences in the predictions, salinity-normalized results, and salinity-normalized results at mean loading by annual groupings and seasons</w:t>
      </w:r>
      <w:r>
        <w:t xml:space="preserve"> </w:t>
      </w:r>
      <w:hyperlink w:anchor="tbl-prdnrmtab">
        <w:r>
          <w:rPr>
            <w:rStyle w:val="Hyperlink"/>
          </w:rPr>
          <w:t xml:space="preserve">Table 3</w:t>
        </w:r>
      </w:hyperlink>
      <w:r>
        <w:t xml:space="preserve">. The results are expressed as mean absolute differences in chlorophyll for the three types of predictions in</w:t>
      </w:r>
      <w:r>
        <w:t xml:space="preserve"> </w:t>
      </w:r>
      <w:hyperlink w:anchor="fig-prdnrm">
        <w:r>
          <w:rPr>
            <w:rStyle w:val="Hyperlink"/>
          </w:rPr>
          <w:t xml:space="preserve">Figure 3</w:t>
        </w:r>
      </w:hyperlink>
      <w:r>
        <w:t xml:space="preserve"> </w:t>
      </w:r>
      <w:r>
        <w:t xml:space="preserve">to quantitavely describe the unique effects of salinity (predictions minus salinity-normalized results) and loading (salnity-normalizd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and loading had larger influences on chlorophyll-a for OTB and HB, salinity mostly influenced chlorophyll in MTB, and neither salinity nor loading had large influences in LTB. Annually, salinity had the largest influence in OTB, HB, and MTB from 1985-1999, whereas loading was most important in OTB and HB from 2015-2024, although the loading effect was smaller compared to the salinity effect in OTB during 2015-2024. By season, salinity effects were most prominent during the June, July, and August (JJA) periods in HB and MTB, whereas the OND period had the largest effect of salinity in OTB. Salinity effects for JJA for HB and MTB and for OND for OTB were largest from 1985-1999. Loading effects by season were most prominent during the JJA period in OTB and HB, with the largest seasonal effects for JJA observed during 2015-2024.</w:t>
      </w:r>
    </w:p>
    <w:p>
      <w:pPr>
        <w:pStyle w:val="BodyText"/>
      </w:pPr>
      <w:r>
        <w:t xml:space="preserve">The state-space representation provided a complementary interpretation of the effects of salinity and loading on chlorophyll-a over time</w:t>
      </w:r>
      <w:r>
        <w:t xml:space="preserve"> </w:t>
      </w:r>
      <w:hyperlink w:anchor="fig-salvload">
        <w:r>
          <w:rPr>
            <w:rStyle w:val="Hyperlink"/>
          </w:rPr>
          <w:t xml:space="preserve">Figure 4</w:t>
        </w:r>
      </w:hyperlink>
      <w:r>
        <w:t xml:space="preserve">. Differences in scale for each plot axis by bay segment provided a relative comparison of the importance of salinity and loading, i.e., OTB and HB had the largest scales, MTB had a small scale for loading but not salinity, and LTB had small scales for both salinity and loading. Overall by annual grouping (1985-1999, 2000-2014, and 2015-2024), OTB and HB suggested a shift towards more load-dominated influence on chlorophyll-a in 2015-2024 as shown by a shift in the mean effects higher on the y-axis (</w:t>
      </w:r>
      <w:hyperlink w:anchor="fig-salvload">
        <w:r>
          <w:rPr>
            <w:rStyle w:val="Hyperlink"/>
          </w:rPr>
          <w:t xml:space="preserve">Figure 4</w:t>
        </w:r>
      </w:hyperlink>
      <w:r>
        <w:t xml:space="preserve">b). A shift towards the right on the x-axis for the 2015-2024 grouping suggested loads were also influenced by more oligohaline conditions, but to a lesser degree than the loading effects. Although general trends by annual groupings were shown by the mean effects in</w:t>
      </w:r>
      <w:r>
        <w:t xml:space="preserve"> </w:t>
      </w:r>
      <w:hyperlink w:anchor="fig-salvload">
        <w:r>
          <w:rPr>
            <w:rStyle w:val="Hyperlink"/>
          </w:rPr>
          <w:t xml:space="preserve">Figure 4</w:t>
        </w:r>
      </w:hyperlink>
      <w:r>
        <w:t xml:space="preserve">b, substantial inter-annual variability was shown for some years (</w:t>
      </w:r>
      <w:hyperlink w:anchor="fig-salvload">
        <w:r>
          <w:rPr>
            <w:rStyle w:val="Hyperlink"/>
          </w:rPr>
          <w:t xml:space="preserve">Figure 4</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8"/>
    <w:bookmarkStart w:id="29"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24.9% at present and 28.4%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5</w:t>
        </w:r>
      </w:hyperlink>
      <w:r>
        <w:t xml:space="preserve">a). The left column in</w:t>
      </w:r>
      <w:r>
        <w:t xml:space="preserve"> </w:t>
      </w:r>
      <w:hyperlink w:anchor="fig-simplo">
        <w:r>
          <w:rPr>
            <w:rStyle w:val="Hyperlink"/>
          </w:rPr>
          <w:t xml:space="preserve">Figure 5</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5</w:t>
        </w:r>
      </w:hyperlink>
      <w:r>
        <w:t xml:space="preserve">b). If current loadings are maintained, the likelihood of exceeding the regulatory thresholds increases by 17% by year 50 to ~60%.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29"/>
    <w:bookmarkEnd w:id="30"/>
    <w:bookmarkStart w:id="32"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Marcus W.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managament implications. Mitigating external nutrient loads has been a fundamental approach for estuarine restoration, whereas salinity controls typically are not. In anticipation of future salinity conditions, existing management paradigms may not be as effective as in the past to maintain water quality.</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20% in fifty years to an overall likelihood of 56%. These increases must also be considered relative to potential future loading trends if no actions are taken to mitigate sources. Although total loads across all sources in OTB have been relatively stable since 1985 (with subsantial inter-annual variability),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chorophyll-a.</w:t>
      </w:r>
    </w:p>
    <w:p>
      <w:pPr>
        <w:pStyle w:val="BodyText"/>
      </w:pPr>
      <w:r>
        <w:t xml:space="preserve">Model predictions compared to salinity-normalized and salinity-normalized results at mean loading suggested that chlorophyll in 1) OTB and HB was influenced by both salinity and loading, 2) MTB was influenced primarily by salinity, and 3) LTB was influenced by neither. These relationships were also variable over time, particularly in OTB and HB, where pure loading effects appear to have recently increased in importance. This result has management implications for both bay segments, particularly for OTB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 threshold and the nutrient load ratios. Recent exceedances of the chlorophyll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(Marcus W. Beck et al. 2024;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is a relatively simplistic interpretation compared to a more mechanistic descriptions of factors driving chlorophyll-a. Controlling external nitrogen loads to each bay segment will continue to be a key focus for managements efforts to maintain or improve water quality in Tampa Bay.</w:t>
      </w:r>
    </w:p>
    <w:p>
      <w:pPr>
        <w:pStyle w:val="BodyText"/>
      </w:pPr>
      <w:r>
        <w:t xml:space="preserve">Recognizing what salinity represents as a proxy of causal mechanisms of chlorophyll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w:t>
      </w:r>
      <w:r>
        <w:t xml:space="preserve"> </w:t>
      </w:r>
      <w:hyperlink w:anchor="fig-salvload">
        <w:r>
          <w:rPr>
            <w:rStyle w:val="Hyperlink"/>
          </w:rPr>
          <w:t xml:space="preserve">Figure 4</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 independent of loading. The most likely interpretation is that salinity is a proxy for flushing, residence time, and tidal exchange</w:t>
      </w:r>
      <w:r>
        <w:t xml:space="preserve"> </w:t>
      </w:r>
      <w:r>
        <w:t xml:space="preserve">(e.g., Hagy et al. 2000; Meyers et al. 2015)</w:t>
      </w:r>
      <w:r>
        <w:t xml:space="preserve">. Lower salinity not only suggests greater freshwater inputs, but is also likely associated with higher residence time with reduced flushing and tidal exchange. Such periods of time could be visually interpreted from</w:t>
      </w:r>
      <w:r>
        <w:t xml:space="preserve"> </w:t>
      </w:r>
      <w:hyperlink w:anchor="fig-prdnrm">
        <w:r>
          <w:rPr>
            <w:rStyle w:val="Hyperlink"/>
          </w:rPr>
          <w:t xml:space="preserve">Figure 3</w:t>
        </w:r>
      </w:hyperlink>
      <w:r>
        <w:t xml:space="preserve"> </w:t>
      </w:r>
      <w:r>
        <w:t xml:space="preserve">when the solid red lines showing the salinity-normalized values are higher than the salinity-normalized values at mean loading. The opposite could be true during dry periods or when flushing and tidal exchange is high (i.e., solid lines below the dashed blue lines).</w:t>
      </w:r>
    </w:p>
    <w:p>
      <w:pPr>
        <w:pStyle w:val="BodyText"/>
      </w:pPr>
      <w:r>
        <w:t xml:space="preserve">Our approach offers a relatively novel application of GAMs to describe long-term trends in chlorophyll and how drivers have changed. We build off similar past models used for these purposes</w:t>
      </w:r>
      <w:r>
        <w:t xml:space="preserve"> </w:t>
      </w:r>
      <w:r>
        <w:t xml:space="preserve">(Richards et al. 2013; Murphy et al. 2019; M. W.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w:t>
      </w:r>
      <w:r>
        <w:t xml:space="preserve"> </w:t>
      </w:r>
      <w:r>
        <w:t xml:space="preserve">(but see, Murphy et al. 2021; Schramm 2023)</w:t>
      </w:r>
      <w:r>
        <w:t xml:space="preserve">. The use of GAMs to simulate chlorophyll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 While mechanistic models will continue to serve an important role in this capacity, simple quantitative approaches provided by GAMs are more easily adapted to support management. GAM structures are easily modified and easily interrogated for scenario assessment.</w:t>
      </w:r>
    </w:p>
    <w:p>
      <w:pPr>
        <w:pStyle w:val="BodyText"/>
      </w:pPr>
      <w:r>
        <w:t xml:space="preserve">Moreover, GAMs offer unique opportunities for data visualization to support resource management. For example,</w:t>
      </w:r>
      <w:r>
        <w:t xml:space="preserve"> </w:t>
      </w:r>
      <w:hyperlink w:anchor="fig-gridplo">
        <w:r>
          <w:rPr>
            <w:rStyle w:val="Hyperlink"/>
          </w:rPr>
          <w:t xml:space="preserve">Figure 6</w:t>
        </w:r>
      </w:hyperlink>
      <w:r>
        <w:t xml:space="preserve"> </w:t>
      </w:r>
      <w:r>
        <w:t xml:space="preserve">provides a clear depiction of the model results that helps develop an understanding of how chlorophyll has changed on annual and seasonal periods under different salinity regimes. For added context, regulatory thresholds can also be shown on these plots to identify periods of time and conditions when criteria are likely to be exceeded. For example, chlorophll exceedances in OTB are most common during the summer under more oligohaline conditions. Seasonally, exceedances have also been more infrequent in HB in the late summer/early fall, particularly in recent years in October when salinity has been lower. Although regulatory compliance is based on annual chlorophyll averages, these visualizations can aid resource managers in identifying periods of time and conditions when water quality may be most vulnerable to additional loading. Most resource managers lack sufficient quantative tools and visualization methods to aid in understanding how external factors could affect the likelihood of exceeding regulatory thresholds. These tools can help support proactive management interventions when future conditions are expected to increase the chance of being out of compliance.</w:t>
      </w:r>
    </w:p>
    <w:p>
      <w:pPr>
        <w:pStyle w:val="BodyText"/>
      </w:pPr>
      <w:r>
        <w:t xml:space="preserve">Finally, the scenario assessments using simulated results from the GAMs also assumed that current chloropyll standards are and will continue to support a light environment for seagrasses. These chloropyll thresholds, much like the loading thresholds, were developed with data from the 1990s and current conditions suggest a revisit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 Evaluating other water quality factors that attenuate light may also be important, such as color and turbidity. Although there are no standards to support the light environment other than chlorophyll, evaluating the roles of alternative drivers of light attenuation can help development expectations of times when seagrasses may be vulnerable. For example, high rainfall events, such as during tropical storms, can elevate dissolved organic carbon that alters water color. The effects of these events on light attenuation and seagrass growth are not well understood in Tampa Bay.</w:t>
      </w:r>
    </w:p>
    <w:bookmarkStart w:id="31" w:name="conclusions"/>
    <w:p>
      <w:pPr>
        <w:pStyle w:val="Heading3"/>
      </w:pPr>
      <w:r>
        <w:t xml:space="preserve">4.1 Conclusions</w:t>
      </w:r>
    </w:p>
    <w:p>
      <w:pPr>
        <w:pStyle w:val="FirstParagraph"/>
      </w:pPr>
      <w:r>
        <w:t xml:space="preserve">This study evaluated the competing effects of nutrient loading and salinity on chlorophyll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 (e.g., seagrass growth and mortality), but will also alter physiological response of phytoplankton and nutrient cycling rates. Future work should evaluate the role of additional stressors, like temperature, to better guide how Bay management should proceed to protect critical resources. Our approach can also be leveraged in other estuarine systems where the effectiveness of conventional managment paradigms should be assessed relative to changing baselines.</w:t>
      </w:r>
    </w:p>
    <w:p>
      <w:r>
        <w:br w:type="page"/>
      </w:r>
    </w:p>
    <w:bookmarkEnd w:id="31"/>
    <w:bookmarkEnd w:id="32"/>
    <w:bookmarkStart w:id="5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6" w:name="fig-map"/>
          <w:p>
            <w:pPr>
              <w:pStyle w:val="Compact"/>
              <w:jc w:val="center"/>
            </w:pPr>
            <w:r>
              <w:drawing>
                <wp:inline>
                  <wp:extent cx="3669832" cy="4587290"/>
                  <wp:effectExtent b="0" l="0" r="0" t="0"/>
                  <wp:docPr descr="" title="" id="34" name="Picture"/>
                  <a:graphic>
                    <a:graphicData uri="http://schemas.openxmlformats.org/drawingml/2006/picture">
                      <pic:pic>
                        <pic:nvPicPr>
                          <pic:cNvPr descr="figs/map.png" id="35" name="Picture"/>
                          <pic:cNvPicPr>
                            <a:picLocks noChangeArrowheads="1" noChangeAspect="1"/>
                          </pic:cNvPicPr>
                        </pic:nvPicPr>
                        <pic:blipFill>
                          <a:blip r:embed="rId33"/>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obsprd"/>
          <w:p>
            <w:pPr>
              <w:pStyle w:val="Compact"/>
              <w:jc w:val="center"/>
            </w:pPr>
            <w:r>
              <w:drawing>
                <wp:inline>
                  <wp:extent cx="5943600" cy="6686549"/>
                  <wp:effectExtent b="0" l="0" r="0" t="0"/>
                  <wp:docPr descr="" title="" id="38" name="Picture"/>
                  <a:graphic>
                    <a:graphicData uri="http://schemas.openxmlformats.org/drawingml/2006/picture">
                      <pic:pic>
                        <pic:nvPicPr>
                          <pic:cNvPr descr="figs/obsprd.png" id="39" name="Picture"/>
                          <pic:cNvPicPr>
                            <a:picLocks noChangeArrowheads="1" noChangeAspect="1"/>
                          </pic:cNvPicPr>
                        </pic:nvPicPr>
                        <pic:blipFill>
                          <a:blip r:embed="rId37"/>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2: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prdnrm"/>
          <w:p>
            <w:pPr>
              <w:pStyle w:val="Compact"/>
              <w:jc w:val="center"/>
            </w:pPr>
            <w:r>
              <w:drawing>
                <wp:inline>
                  <wp:extent cx="5943600" cy="4245428"/>
                  <wp:effectExtent b="0" l="0" r="0" t="0"/>
                  <wp:docPr descr="" title="" id="42" name="Picture"/>
                  <a:graphic>
                    <a:graphicData uri="http://schemas.openxmlformats.org/drawingml/2006/picture">
                      <pic:pic>
                        <pic:nvPicPr>
                          <pic:cNvPr descr="figs/prdnrm.png" id="43" name="Picture"/>
                          <pic:cNvPicPr>
                            <a:picLocks noChangeArrowheads="1" noChangeAspect="1"/>
                          </pic:cNvPicPr>
                        </pic:nvPicPr>
                        <pic:blipFill>
                          <a:blip r:embed="rId4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3: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salvload"/>
          <w:p>
            <w:pPr>
              <w:pStyle w:val="Compact"/>
              <w:jc w:val="center"/>
            </w:pPr>
            <w:r>
              <w:drawing>
                <wp:inline>
                  <wp:extent cx="5943600" cy="7528559"/>
                  <wp:effectExtent b="0" l="0" r="0" t="0"/>
                  <wp:docPr descr="" title="" id="46" name="Picture"/>
                  <a:graphic>
                    <a:graphicData uri="http://schemas.openxmlformats.org/drawingml/2006/picture">
                      <pic:pic>
                        <pic:nvPicPr>
                          <pic:cNvPr descr="figs/salvload.png" id="47" name="Picture"/>
                          <pic:cNvPicPr>
                            <a:picLocks noChangeArrowheads="1" noChangeAspect="1"/>
                          </pic:cNvPicPr>
                        </pic:nvPicPr>
                        <pic:blipFill>
                          <a:blip r:embed="rId45"/>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4: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simplo"/>
          <w:p>
            <w:pPr>
              <w:pStyle w:val="Compact"/>
              <w:jc w:val="center"/>
            </w:pPr>
            <w:r>
              <w:drawing>
                <wp:inline>
                  <wp:extent cx="5943600" cy="5943600"/>
                  <wp:effectExtent b="0" l="0" r="0" t="0"/>
                  <wp:docPr descr="" title="" id="50" name="Picture"/>
                  <a:graphic>
                    <a:graphicData uri="http://schemas.openxmlformats.org/drawingml/2006/picture">
                      <pic:pic>
                        <pic:nvPicPr>
                          <pic:cNvPr descr="figs/simplo.png" id="51" name="Picture"/>
                          <pic:cNvPicPr>
                            <a:picLocks noChangeArrowheads="1" noChangeAspect="1"/>
                          </pic:cNvPicPr>
                        </pic:nvPicPr>
                        <pic:blipFill>
                          <a:blip r:embed="rId49"/>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Simulated chlorophyll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gridplo"/>
          <w:p>
            <w:pPr>
              <w:pStyle w:val="Compact"/>
              <w:jc w:val="center"/>
            </w:pPr>
            <w:r>
              <w:drawing>
                <wp:inline>
                  <wp:extent cx="5943600" cy="4754880"/>
                  <wp:effectExtent b="0" l="0" r="0" t="0"/>
                  <wp:docPr descr="" title="" id="54" name="Picture"/>
                  <a:graphic>
                    <a:graphicData uri="http://schemas.openxmlformats.org/drawingml/2006/picture">
                      <pic:pic>
                        <pic:nvPicPr>
                          <pic:cNvPr descr="figs/gridplo.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6: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to the seasonal minimum and maximum observed across years for the month. Grey lines show the chlorophyll contour value for the regulatory threshold for each bay segment. OTB: Old Tampa Bay; HB: Hillsborough Bay; MTB: Middle Tampa Bay; LTB: Lower Tampa Bay.</w:t>
            </w:r>
          </w:p>
          <w:bookmarkEnd w:id="56"/>
        </w:tc>
      </w:tr>
    </w:tbl>
    <w:p>
      <w:r>
        <w:br w:type="page"/>
      </w:r>
    </w:p>
    <w:bookmarkEnd w:id="57"/>
    <w:bookmarkStart w:id="62"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8"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0.744</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0.011</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0.379</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0.197</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0.072</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0.388</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0.275</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0.294</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0.089</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0.018</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0.935</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0.970</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0.651</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0.042</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8"/>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52525"/>
                    </w:rPr>
                    <w:t xml:space="preserve">0.79</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26262"/>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E3E3E"/>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66666"/>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24242"/>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B3B3B"/>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91919"/>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C7C7C"/>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26262"/>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0.41</w:t>
                  </w:r>
                </w:p>
              </w:tc>
            </w:tr>
          </w:tbl>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2.02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17171"/>
                    </w:rPr>
                    <w:t xml:space="preserve">1.03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E6E6E"/>
                    </w:rPr>
                    <w:t xml:space="preserve">1.74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0.63</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15151"/>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25252"/>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B4B4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0.80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94949"/>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44444"/>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1.54</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46464"/>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2.08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86868"/>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87878"/>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E6E6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A6A6A"/>
                    </w:rPr>
                    <w:t xml:space="preserve">1.87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0.27</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bl>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061"/>
              <w:gridCol w:w="1171"/>
              <w:gridCol w:w="117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 ↑19.9)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 ↑13.8)</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↑1.7)</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↑3.5)</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↑0.6)</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 ↑0.5)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↑1.5)</w:t>
                  </w:r>
                </w:p>
              </w:tc>
            </w:tr>
          </w:tbl>
          <w:bookmarkEnd w:id="61"/>
        </w:tc>
      </w:tr>
    </w:tbl>
    <w:p>
      <w:r>
        <w:br w:type="page"/>
      </w:r>
    </w:p>
    <w:bookmarkEnd w:id="62"/>
    <w:bookmarkStart w:id="64"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3">
        <w:r>
          <w:rPr>
            <w:rStyle w:val="Hyperlink"/>
          </w:rPr>
          <w:t xml:space="preserve">https://github.com/tbep-tech/chlhydro-manu</w:t>
        </w:r>
      </w:hyperlink>
      <w:r>
        <w:t xml:space="preserve">.</w:t>
      </w:r>
    </w:p>
    <w:bookmarkEnd w:id="64"/>
    <w:bookmarkStart w:id="65"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5"/>
    <w:bookmarkStart w:id="69" w:name="statements-and-declarations"/>
    <w:p>
      <w:pPr>
        <w:pStyle w:val="Heading2"/>
      </w:pPr>
      <w:r>
        <w:t xml:space="preserve">Statements and Declarations</w:t>
      </w:r>
    </w:p>
    <w:bookmarkStart w:id="66"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6"/>
    <w:bookmarkStart w:id="67"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7"/>
    <w:bookmarkStart w:id="68"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8"/>
    <w:bookmarkEnd w:id="69"/>
    <w:bookmarkStart w:id="121" w:name="references"/>
    <w:p>
      <w:pPr>
        <w:pStyle w:val="Heading2"/>
      </w:pPr>
      <w:r>
        <w:t xml:space="preserve">References</w:t>
      </w:r>
    </w:p>
    <w:bookmarkStart w:id="120" w:name="refs"/>
    <w:bookmarkStart w:id="71"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70">
        <w:r>
          <w:rPr>
            <w:rStyle w:val="Hyperlink"/>
          </w:rPr>
          <w:t xml:space="preserve">https://doi.org/10.1016/j.scitotenv.2021.149927</w:t>
        </w:r>
      </w:hyperlink>
      <w:r>
        <w:t xml:space="preserve">.</w:t>
      </w:r>
    </w:p>
    <w:bookmarkEnd w:id="71"/>
    <w:bookmarkStart w:id="73" w:name="ref-beck2024"/>
    <w:p>
      <w:pPr>
        <w:pStyle w:val="Bibliography"/>
      </w:pPr>
      <w:r>
        <w:t xml:space="preserve">Beck, Marcus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72">
        <w:r>
          <w:rPr>
            <w:rStyle w:val="Hyperlink"/>
          </w:rPr>
          <w:t xml:space="preserve">https://doi.org/10.1007/s12237-024-01385-0</w:t>
        </w:r>
      </w:hyperlink>
      <w:r>
        <w:t xml:space="preserve">.</w:t>
      </w:r>
    </w:p>
    <w:bookmarkEnd w:id="73"/>
    <w:bookmarkStart w:id="75" w:name="ref-beck17"/>
    <w:p>
      <w:pPr>
        <w:pStyle w:val="Bibliography"/>
      </w:pPr>
      <w:r>
        <w:t xml:space="preserve">Beck, Marcus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74">
        <w:r>
          <w:rPr>
            <w:rStyle w:val="Hyperlink"/>
          </w:rPr>
          <w:t xml:space="preserve">https://doi.org/10.1111/1752-1688.12489</w:t>
        </w:r>
      </w:hyperlink>
      <w:r>
        <w:t xml:space="preserve">.</w:t>
      </w:r>
    </w:p>
    <w:bookmarkEnd w:id="75"/>
    <w:bookmarkStart w:id="76"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76"/>
    <w:bookmarkStart w:id="77"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77"/>
    <w:bookmarkStart w:id="79"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78">
        <w:r>
          <w:rPr>
            <w:rStyle w:val="Hyperlink"/>
          </w:rPr>
          <w:t xml:space="preserve">https://doi.org/10.2307/1353325</w:t>
        </w:r>
      </w:hyperlink>
      <w:r>
        <w:t xml:space="preserve">.</w:t>
      </w:r>
    </w:p>
    <w:bookmarkEnd w:id="79"/>
    <w:bookmarkStart w:id="80"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80"/>
    <w:bookmarkStart w:id="82" w:name="ref-tbep0696"/>
    <w:p>
      <w:pPr>
        <w:pStyle w:val="Bibliography"/>
      </w:pPr>
      <w:r>
        <w:t xml:space="preserve">Janicki, A. J., and D. L. Wade. 1996.</w:t>
      </w:r>
      <w:r>
        <w:t xml:space="preserve"> </w:t>
      </w:r>
      <w:hyperlink r:id="rId81">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82"/>
    <w:bookmarkStart w:id="84" w:name="ref-tbep0400"/>
    <w:p>
      <w:pPr>
        <w:pStyle w:val="Bibliography"/>
      </w:pPr>
      <w:r>
        <w:t xml:space="preserve">Janicki, A. J., D. L. Wade, and J. R. Pribble. 2000.</w:t>
      </w:r>
      <w:r>
        <w:t xml:space="preserve"> </w:t>
      </w:r>
      <w:hyperlink r:id="rId83">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84"/>
    <w:bookmarkStart w:id="86" w:name="ref-tbep1115"/>
    <w:p>
      <w:pPr>
        <w:pStyle w:val="Bibliography"/>
      </w:pPr>
      <w:r>
        <w:t xml:space="preserve">Janicki Environmental, Inc. 2015.</w:t>
      </w:r>
      <w:r>
        <w:t xml:space="preserve"> </w:t>
      </w:r>
      <w:hyperlink r:id="rId85">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86"/>
    <w:bookmarkStart w:id="88" w:name="ref-tbep0623"/>
    <w:p>
      <w:pPr>
        <w:pStyle w:val="Bibliography"/>
      </w:pPr>
      <w:r>
        <w:t xml:space="preserve">Janicki Environmental, Inc. 2023.</w:t>
      </w:r>
      <w:r>
        <w:t xml:space="preserve"> </w:t>
      </w:r>
      <w:hyperlink r:id="rId87">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88"/>
    <w:bookmarkStart w:id="90" w:name="ref-luther2022"/>
    <w:p>
      <w:pPr>
        <w:pStyle w:val="Bibliography"/>
      </w:pPr>
      <w:r>
        <w:t xml:space="preserve">Luther, M. E., and S. D. Meyers. 2022.</w:t>
      </w:r>
      <w:r>
        <w:t xml:space="preserve"> </w:t>
      </w:r>
      <w:hyperlink r:id="rId89">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90"/>
    <w:bookmarkStart w:id="92"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91">
        <w:r>
          <w:rPr>
            <w:rStyle w:val="Hyperlink"/>
          </w:rPr>
          <w:t xml:space="preserve">https://doi.org/10.1002/2014JC010342</w:t>
        </w:r>
      </w:hyperlink>
      <w:r>
        <w:t xml:space="preserve">.</w:t>
      </w:r>
    </w:p>
    <w:bookmarkEnd w:id="92"/>
    <w:bookmarkStart w:id="93"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93"/>
    <w:bookmarkStart w:id="95"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94">
        <w:r>
          <w:rPr>
            <w:rStyle w:val="Hyperlink"/>
          </w:rPr>
          <w:t xml:space="preserve">https://doi.org/10.1021/acs.est.1c05388</w:t>
        </w:r>
      </w:hyperlink>
      <w:r>
        <w:t xml:space="preserve">.</w:t>
      </w:r>
    </w:p>
    <w:bookmarkEnd w:id="95"/>
    <w:bookmarkStart w:id="97"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96">
        <w:r>
          <w:rPr>
            <w:rStyle w:val="Hyperlink"/>
          </w:rPr>
          <w:t xml:space="preserve">https://doi.org/10.1016/j.envsoft.2019.03.027</w:t>
        </w:r>
      </w:hyperlink>
      <w:r>
        <w:t xml:space="preserve">.</w:t>
      </w:r>
    </w:p>
    <w:bookmarkEnd w:id="97"/>
    <w:bookmarkStart w:id="98"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98"/>
    <w:bookmarkStart w:id="100"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99">
        <w:r>
          <w:rPr>
            <w:rStyle w:val="Hyperlink"/>
          </w:rPr>
          <w:t xml:space="preserve">https://doi.org/10.7717/peerj.16073</w:t>
        </w:r>
      </w:hyperlink>
      <w:r>
        <w:t xml:space="preserve">.</w:t>
      </w:r>
    </w:p>
    <w:bookmarkEnd w:id="100"/>
    <w:bookmarkStart w:id="102"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01">
        <w:r>
          <w:rPr>
            <w:rStyle w:val="Hyperlink"/>
          </w:rPr>
          <w:t xml:space="preserve">https://doi.org/10.1353/sgo.2017.0026</w:t>
        </w:r>
      </w:hyperlink>
      <w:r>
        <w:t xml:space="preserve">.</w:t>
      </w:r>
    </w:p>
    <w:bookmarkEnd w:id="102"/>
    <w:bookmarkStart w:id="104"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03">
        <w:r>
          <w:rPr>
            <w:rStyle w:val="Hyperlink"/>
          </w:rPr>
          <w:t xml:space="preserve">https://doi.org/10.32614/CRAN.package.gratia</w:t>
        </w:r>
      </w:hyperlink>
      <w:r>
        <w:t xml:space="preserve">.</w:t>
      </w:r>
    </w:p>
    <w:bookmarkEnd w:id="104"/>
    <w:bookmarkStart w:id="106" w:name="ref-SWFWMD25"/>
    <w:p>
      <w:pPr>
        <w:pStyle w:val="Bibliography"/>
      </w:pPr>
      <w:r>
        <w:t xml:space="preserve">Southwest Florida Water Management District. 2025.</w:t>
      </w:r>
      <w:r>
        <w:t xml:space="preserve"> </w:t>
      </w:r>
      <w:hyperlink r:id="rId105">
        <w:r>
          <w:rPr>
            <w:rStyle w:val="Hyperlink"/>
          </w:rPr>
          <w:t xml:space="preserve">2023 land use land cover shapefile for SWFWMD</w:t>
        </w:r>
      </w:hyperlink>
      <w:r>
        <w:t xml:space="preserve">.</w:t>
      </w:r>
    </w:p>
    <w:bookmarkEnd w:id="106"/>
    <w:bookmarkStart w:id="108" w:name="ref-tbep0310"/>
    <w:p>
      <w:pPr>
        <w:pStyle w:val="Bibliography"/>
      </w:pPr>
      <w:r>
        <w:t xml:space="preserve">Tampa Bay Nitrogen Management Consortium. 2010.</w:t>
      </w:r>
      <w:r>
        <w:t xml:space="preserve"> </w:t>
      </w:r>
      <w:hyperlink r:id="rId107">
        <w:r>
          <w:rPr>
            <w:rStyle w:val="Hyperlink"/>
            <w:i/>
            <w:iCs/>
          </w:rPr>
          <w:t xml:space="preserve">2009 reasonable assurance addendum: Allocation and assessment report</w:t>
        </w:r>
      </w:hyperlink>
      <w:r>
        <w:t xml:space="preserve">. Technical report 03-10. St. Petersburg, Florida: Tampa Bay Estuary Program.</w:t>
      </w:r>
    </w:p>
    <w:bookmarkEnd w:id="108"/>
    <w:bookmarkStart w:id="110"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09">
        <w:r>
          <w:rPr>
            <w:rStyle w:val="Hyperlink"/>
          </w:rPr>
          <w:t xml:space="preserve">https://doi.org/10.1111/1752-1688.70070</w:t>
        </w:r>
      </w:hyperlink>
      <w:r>
        <w:t xml:space="preserve">.</w:t>
      </w:r>
    </w:p>
    <w:bookmarkEnd w:id="110"/>
    <w:bookmarkStart w:id="112"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11">
        <w:r>
          <w:rPr>
            <w:rStyle w:val="Hyperlink"/>
          </w:rPr>
          <w:t xml:space="preserve">https://doi.org/10.1007/978-0-387-21706-2</w:t>
        </w:r>
      </w:hyperlink>
      <w:r>
        <w:t xml:space="preserve">.</w:t>
      </w:r>
    </w:p>
    <w:bookmarkEnd w:id="112"/>
    <w:bookmarkStart w:id="114"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13">
        <w:r>
          <w:rPr>
            <w:rStyle w:val="Hyperlink"/>
          </w:rPr>
          <w:t xml:space="preserve">https://doi.org/10.1016/j.jhydrol.2025.134851</w:t>
        </w:r>
      </w:hyperlink>
      <w:r>
        <w:t xml:space="preserve">.</w:t>
      </w:r>
    </w:p>
    <w:bookmarkEnd w:id="114"/>
    <w:bookmarkStart w:id="116"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15">
        <w:r>
          <w:rPr>
            <w:rStyle w:val="Hyperlink"/>
          </w:rPr>
          <w:t xml:space="preserve">https://doi.org/10.1111/j.1467-9868.2010.00749.x</w:t>
        </w:r>
      </w:hyperlink>
      <w:r>
        <w:t xml:space="preserve">.</w:t>
      </w:r>
    </w:p>
    <w:bookmarkEnd w:id="116"/>
    <w:bookmarkStart w:id="117"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17"/>
    <w:bookmarkStart w:id="119" w:name="ref-tbep0494"/>
    <w:p>
      <w:pPr>
        <w:pStyle w:val="Bibliography"/>
      </w:pPr>
      <w:r>
        <w:t xml:space="preserve">Zarbock, H. W., A. J. Janicki, D. L. Wade, and D. G. Heimbuch. 1994.</w:t>
      </w:r>
      <w:r>
        <w:t xml:space="preserve"> </w:t>
      </w:r>
      <w:hyperlink r:id="rId118">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19"/>
    <w:bookmarkEnd w:id="120"/>
    <w:bookmarkEnd w:id="12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91" Target="https://doi.org/10.1002/2014JC010342" TargetMode="External" /><Relationship Type="http://schemas.openxmlformats.org/officeDocument/2006/relationships/hyperlink" Id="rId111" Target="https://doi.org/10.1007/978-0-387-21706-2" TargetMode="External" /><Relationship Type="http://schemas.openxmlformats.org/officeDocument/2006/relationships/hyperlink" Id="rId72" Target="https://doi.org/10.1007/s12237-024-01385-0" TargetMode="External" /><Relationship Type="http://schemas.openxmlformats.org/officeDocument/2006/relationships/hyperlink" Id="rId96" Target="https://doi.org/10.1016/j.envsoft.2019.03.027" TargetMode="External" /><Relationship Type="http://schemas.openxmlformats.org/officeDocument/2006/relationships/hyperlink" Id="rId113" Target="https://doi.org/10.1016/j.jhydrol.2025.134851" TargetMode="External" /><Relationship Type="http://schemas.openxmlformats.org/officeDocument/2006/relationships/hyperlink" Id="rId70" Target="https://doi.org/10.1016/j.scitotenv.2021.149927" TargetMode="External" /><Relationship Type="http://schemas.openxmlformats.org/officeDocument/2006/relationships/hyperlink" Id="rId94" Target="https://doi.org/10.1021/acs.est.1c05388" TargetMode="External" /><Relationship Type="http://schemas.openxmlformats.org/officeDocument/2006/relationships/hyperlink" Id="rId74" Target="https://doi.org/10.1111/1752-1688.12489" TargetMode="External" /><Relationship Type="http://schemas.openxmlformats.org/officeDocument/2006/relationships/hyperlink" Id="rId109" Target="https://doi.org/10.1111/1752-1688.70070" TargetMode="External" /><Relationship Type="http://schemas.openxmlformats.org/officeDocument/2006/relationships/hyperlink" Id="rId115" Target="https://doi.org/10.1111/j.1467-9868.2010.00749.x" TargetMode="External" /><Relationship Type="http://schemas.openxmlformats.org/officeDocument/2006/relationships/hyperlink" Id="rId101" Target="https://doi.org/10.1353/sgo.2017.0026" TargetMode="External" /><Relationship Type="http://schemas.openxmlformats.org/officeDocument/2006/relationships/hyperlink" Id="rId78" Target="https://doi.org/10.2307/1353325" TargetMode="External" /><Relationship Type="http://schemas.openxmlformats.org/officeDocument/2006/relationships/hyperlink" Id="rId103" Target="https://doi.org/10.32614/CRAN.package.gratia" TargetMode="External" /><Relationship Type="http://schemas.openxmlformats.org/officeDocument/2006/relationships/hyperlink" Id="rId99" Target="https://doi.org/10.7717/peerj.16073" TargetMode="External" /><Relationship Type="http://schemas.openxmlformats.org/officeDocument/2006/relationships/hyperlink" Id="rId85" Target="https://drive.google.com/drive/folders/1-vIRAsuZQmQEXZk-0FwqsjhSex0GDu7-?usp=sharing" TargetMode="External" /><Relationship Type="http://schemas.openxmlformats.org/officeDocument/2006/relationships/hyperlink" Id="rId89" Target="https://drive.google.com/file/d/1-1Jq9vly5EvVwEp698brlBucXjSMDbNn/view?usp=sharing" TargetMode="External" /><Relationship Type="http://schemas.openxmlformats.org/officeDocument/2006/relationships/hyperlink" Id="rId107" Target="https://drive.google.com/file/d/10IjJAfcGFf007a5VdPXAUtUi4dx-cmsA/view?usp=drivesdk" TargetMode="External" /><Relationship Type="http://schemas.openxmlformats.org/officeDocument/2006/relationships/hyperlink" Id="rId87" Target="https://drive.google.com/file/d/1KARuSC5fGx05MuT1wiOQFWNXysBokkQl/view?usp=share_link" TargetMode="External" /><Relationship Type="http://schemas.openxmlformats.org/officeDocument/2006/relationships/hyperlink" Id="rId83" Target="https://drive.google.com/file/d/1XMULU8w4syWcSv_ciOUOhnC_G4xt6GIF/view?usp=drivesdk" TargetMode="External" /><Relationship Type="http://schemas.openxmlformats.org/officeDocument/2006/relationships/hyperlink" Id="rId81" Target="https://drive.google.com/file/d/1kZkvuprvsMyN9nPS5PHYvXHyo1KQxKTr/view?usp=drivesdk" TargetMode="External" /><Relationship Type="http://schemas.openxmlformats.org/officeDocument/2006/relationships/hyperlink" Id="rId118" Target="https://drive.google.com/file/d/1vNl3kvRmxQ7VW-2VYbykB__e_ESGSoVz/view?usp=drivesdk" TargetMode="External" /><Relationship Type="http://schemas.openxmlformats.org/officeDocument/2006/relationships/hyperlink" Id="rId63" Target="https://github.com/tbep-tech/chlhydro-manu" TargetMode="External" /><Relationship Type="http://schemas.openxmlformats.org/officeDocument/2006/relationships/hyperlink" Id="rId10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2014JC010342" TargetMode="External" /><Relationship Type="http://schemas.openxmlformats.org/officeDocument/2006/relationships/hyperlink" Id="rId111" Target="https://doi.org/10.1007/978-0-387-21706-2" TargetMode="External" /><Relationship Type="http://schemas.openxmlformats.org/officeDocument/2006/relationships/hyperlink" Id="rId72" Target="https://doi.org/10.1007/s12237-024-01385-0" TargetMode="External" /><Relationship Type="http://schemas.openxmlformats.org/officeDocument/2006/relationships/hyperlink" Id="rId96" Target="https://doi.org/10.1016/j.envsoft.2019.03.027" TargetMode="External" /><Relationship Type="http://schemas.openxmlformats.org/officeDocument/2006/relationships/hyperlink" Id="rId113" Target="https://doi.org/10.1016/j.jhydrol.2025.134851" TargetMode="External" /><Relationship Type="http://schemas.openxmlformats.org/officeDocument/2006/relationships/hyperlink" Id="rId70" Target="https://doi.org/10.1016/j.scitotenv.2021.149927" TargetMode="External" /><Relationship Type="http://schemas.openxmlformats.org/officeDocument/2006/relationships/hyperlink" Id="rId94" Target="https://doi.org/10.1021/acs.est.1c05388" TargetMode="External" /><Relationship Type="http://schemas.openxmlformats.org/officeDocument/2006/relationships/hyperlink" Id="rId74" Target="https://doi.org/10.1111/1752-1688.12489" TargetMode="External" /><Relationship Type="http://schemas.openxmlformats.org/officeDocument/2006/relationships/hyperlink" Id="rId109" Target="https://doi.org/10.1111/1752-1688.70070" TargetMode="External" /><Relationship Type="http://schemas.openxmlformats.org/officeDocument/2006/relationships/hyperlink" Id="rId115" Target="https://doi.org/10.1111/j.1467-9868.2010.00749.x" TargetMode="External" /><Relationship Type="http://schemas.openxmlformats.org/officeDocument/2006/relationships/hyperlink" Id="rId101" Target="https://doi.org/10.1353/sgo.2017.0026" TargetMode="External" /><Relationship Type="http://schemas.openxmlformats.org/officeDocument/2006/relationships/hyperlink" Id="rId78" Target="https://doi.org/10.2307/1353325" TargetMode="External" /><Relationship Type="http://schemas.openxmlformats.org/officeDocument/2006/relationships/hyperlink" Id="rId103" Target="https://doi.org/10.32614/CRAN.package.gratia" TargetMode="External" /><Relationship Type="http://schemas.openxmlformats.org/officeDocument/2006/relationships/hyperlink" Id="rId99" Target="https://doi.org/10.7717/peerj.16073" TargetMode="External" /><Relationship Type="http://schemas.openxmlformats.org/officeDocument/2006/relationships/hyperlink" Id="rId85" Target="https://drive.google.com/drive/folders/1-vIRAsuZQmQEXZk-0FwqsjhSex0GDu7-?usp=sharing" TargetMode="External" /><Relationship Type="http://schemas.openxmlformats.org/officeDocument/2006/relationships/hyperlink" Id="rId89" Target="https://drive.google.com/file/d/1-1Jq9vly5EvVwEp698brlBucXjSMDbNn/view?usp=sharing" TargetMode="External" /><Relationship Type="http://schemas.openxmlformats.org/officeDocument/2006/relationships/hyperlink" Id="rId107" Target="https://drive.google.com/file/d/10IjJAfcGFf007a5VdPXAUtUi4dx-cmsA/view?usp=drivesdk" TargetMode="External" /><Relationship Type="http://schemas.openxmlformats.org/officeDocument/2006/relationships/hyperlink" Id="rId87" Target="https://drive.google.com/file/d/1KARuSC5fGx05MuT1wiOQFWNXysBokkQl/view?usp=share_link" TargetMode="External" /><Relationship Type="http://schemas.openxmlformats.org/officeDocument/2006/relationships/hyperlink" Id="rId83" Target="https://drive.google.com/file/d/1XMULU8w4syWcSv_ciOUOhnC_G4xt6GIF/view?usp=drivesdk" TargetMode="External" /><Relationship Type="http://schemas.openxmlformats.org/officeDocument/2006/relationships/hyperlink" Id="rId81" Target="https://drive.google.com/file/d/1kZkvuprvsMyN9nPS5PHYvXHyo1KQxKTr/view?usp=drivesdk" TargetMode="External" /><Relationship Type="http://schemas.openxmlformats.org/officeDocument/2006/relationships/hyperlink" Id="rId118" Target="https://drive.google.com/file/d/1vNl3kvRmxQ7VW-2VYbykB__e_ESGSoVz/view?usp=drivesdk" TargetMode="External" /><Relationship Type="http://schemas.openxmlformats.org/officeDocument/2006/relationships/hyperlink" Id="rId63" Target="https://github.com/tbep-tech/chlhydro-manu" TargetMode="External" /><Relationship Type="http://schemas.openxmlformats.org/officeDocument/2006/relationships/hyperlink" Id="rId10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Maya C Burke1, and Edward T Sherwood1</dc:creator>
  <cp:keywords/>
  <dcterms:created xsi:type="dcterms:W3CDTF">2026-02-02T22:16:54Z</dcterms:created>
  <dcterms:modified xsi:type="dcterms:W3CDTF">2026-02-02T22:16:54Z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