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G. Morrison and Yates 2011)</w:t>
      </w:r>
      <w:r>
        <w:t xml:space="preserve">, with substantial variation by location. Major inflows enter HB via the Hillsborough and Alafia Rivers, MTB via the Little Manatee river, and LTB via the Manatee River.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chlorophyll-a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did not indicate improved model fit.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The second objective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effect, negative being more euhaline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seasonal period for all bay segments. Similarly, loading effects increased over time, although the effects varied by season. The largest seasonal effects, particularly in OTB and HB, were observed for the JJA period where the effect incrased across year groupings, whereas other seasonal groupings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additional load reductions may be needed.</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exceedances of the chlorophyll-a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chlorophyll-a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chlorophyll-a independent of loading. The most likely interpretation is that salinity is a proxy for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oligohaline conditions. Rather, periods of low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9" w:name="references"/>
    <w:p>
      <w:pPr>
        <w:pStyle w:val="Heading2"/>
      </w:pPr>
      <w:r>
        <w:t xml:space="preserve">References</w:t>
      </w:r>
    </w:p>
    <w:bookmarkStart w:id="188"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27">
        <w:r>
          <w:rPr>
            <w:rStyle w:val="Hyperlink"/>
          </w:rPr>
          <w:t xml:space="preserve">https://doi.org/10.1016/j.dsr2.2013.12.011</w:t>
        </w:r>
      </w:hyperlink>
      <w:r>
        <w:t xml:space="preserve">.</w:t>
      </w:r>
    </w:p>
    <w:bookmarkEnd w:id="128"/>
    <w:bookmarkStart w:id="13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9">
        <w:r>
          <w:rPr>
            <w:rStyle w:val="Hyperlink"/>
          </w:rPr>
          <w:t xml:space="preserve">https://doi.org/10.1016/j.cosust.2012.03.002</w:t>
        </w:r>
      </w:hyperlink>
      <w:r>
        <w:t xml:space="preserve">.</w:t>
      </w:r>
    </w:p>
    <w:bookmarkEnd w:id="130"/>
    <w:bookmarkStart w:id="132" w:name="ref-luther2022"/>
    <w:p>
      <w:pPr>
        <w:pStyle w:val="Bibliography"/>
      </w:pPr>
      <w:r>
        <w:t xml:space="preserve">Luther, M. E., and S. D. Meyers. 2022.</w:t>
      </w:r>
      <w:r>
        <w:t xml:space="preserve"> </w:t>
      </w:r>
      <w:hyperlink r:id="rId13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2"/>
    <w:bookmarkStart w:id="13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3">
        <w:r>
          <w:rPr>
            <w:rStyle w:val="Hyperlink"/>
          </w:rPr>
          <w:t xml:space="preserve">https://doi.org/10.2112/SI54-000.1</w:t>
        </w:r>
      </w:hyperlink>
      <w:r>
        <w:t xml:space="preserve">.</w:t>
      </w:r>
    </w:p>
    <w:bookmarkEnd w:id="134"/>
    <w:bookmarkStart w:id="13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5">
        <w:r>
          <w:rPr>
            <w:rStyle w:val="Hyperlink"/>
          </w:rPr>
          <w:t xml:space="preserve">https://doi.org/10.1002/2014JC010342</w:t>
        </w:r>
      </w:hyperlink>
      <w:r>
        <w:t xml:space="preserve">.</w:t>
      </w:r>
    </w:p>
    <w:bookmarkEnd w:id="136"/>
    <w:bookmarkStart w:id="138"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7">
        <w:r>
          <w:rPr>
            <w:rStyle w:val="Hyperlink"/>
          </w:rPr>
          <w:t xml:space="preserve">https://doi.org/10.1007/bf02798652</w:t>
        </w:r>
      </w:hyperlink>
      <w:r>
        <w:t xml:space="preserve">.</w:t>
      </w:r>
    </w:p>
    <w:bookmarkEnd w:id="138"/>
    <w:bookmarkStart w:id="13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9"/>
    <w:bookmarkStart w:id="14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0">
        <w:r>
          <w:rPr>
            <w:rStyle w:val="Hyperlink"/>
          </w:rPr>
          <w:t xml:space="preserve">https://doi.org/10.1007/s00267-010-9531-1</w:t>
        </w:r>
      </w:hyperlink>
      <w:r>
        <w:t xml:space="preserve">.</w:t>
      </w:r>
    </w:p>
    <w:bookmarkEnd w:id="141"/>
    <w:bookmarkStart w:id="14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2">
        <w:r>
          <w:rPr>
            <w:rStyle w:val="Hyperlink"/>
          </w:rPr>
          <w:t xml:space="preserve">https://doi.org/10.1021/acs.est.1c05388</w:t>
        </w:r>
      </w:hyperlink>
      <w:r>
        <w:t xml:space="preserve">.</w:t>
      </w:r>
    </w:p>
    <w:bookmarkEnd w:id="143"/>
    <w:bookmarkStart w:id="14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4">
        <w:r>
          <w:rPr>
            <w:rStyle w:val="Hyperlink"/>
          </w:rPr>
          <w:t xml:space="preserve">https://doi.org/10.1016/j.envsoft.2019.03.027</w:t>
        </w:r>
      </w:hyperlink>
      <w:r>
        <w:t xml:space="preserve">.</w:t>
      </w:r>
    </w:p>
    <w:bookmarkEnd w:id="145"/>
    <w:bookmarkStart w:id="147"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6">
        <w:r>
          <w:rPr>
            <w:rStyle w:val="Hyperlink"/>
          </w:rPr>
          <w:t xml:space="preserve">https://doi.org/10.1080/00785236.1995.10422044</w:t>
        </w:r>
      </w:hyperlink>
      <w:r>
        <w:t xml:space="preserve">.</w:t>
      </w:r>
    </w:p>
    <w:bookmarkEnd w:id="147"/>
    <w:bookmarkStart w:id="149"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8">
        <w:r>
          <w:rPr>
            <w:rStyle w:val="Hyperlink"/>
          </w:rPr>
          <w:t xml:space="preserve">https://doi.org/10.1007/s00267-004-0034-9</w:t>
        </w:r>
      </w:hyperlink>
      <w:r>
        <w:t xml:space="preserve">.</w:t>
      </w:r>
    </w:p>
    <w:bookmarkEnd w:id="149"/>
    <w:bookmarkStart w:id="150"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0"/>
    <w:bookmarkStart w:id="152"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51">
        <w:r>
          <w:rPr>
            <w:rStyle w:val="Hyperlink"/>
          </w:rPr>
          <w:t xml:space="preserve">https://doi.org/10.1016/j.rsma.2015.11.007</w:t>
        </w:r>
      </w:hyperlink>
      <w:r>
        <w:t xml:space="preserve">.</w:t>
      </w:r>
    </w:p>
    <w:bookmarkEnd w:id="152"/>
    <w:bookmarkStart w:id="154"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3">
        <w:r>
          <w:rPr>
            <w:rStyle w:val="Hyperlink"/>
          </w:rPr>
          <w:t xml:space="preserve">https://doi.org/10.7717/peerj.16073</w:t>
        </w:r>
      </w:hyperlink>
      <w:r>
        <w:t xml:space="preserve">.</w:t>
      </w:r>
    </w:p>
    <w:bookmarkEnd w:id="154"/>
    <w:bookmarkStart w:id="156" w:name="ref-sherwood2015"/>
    <w:p>
      <w:pPr>
        <w:pStyle w:val="Bibliography"/>
      </w:pPr>
      <w:r>
        <w:t xml:space="preserve">Sherwood, E. T., H. S. Greening, L. Garcia, K. Kaufman, A. J. Janicki, R. Pribble, B. Cunningham, et al. 2015.</w:t>
      </w:r>
      <w:r>
        <w:t xml:space="preserve"> </w:t>
      </w:r>
      <w:hyperlink r:id="rId155">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6"/>
    <w:bookmarkStart w:id="158"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7">
        <w:r>
          <w:rPr>
            <w:rStyle w:val="Hyperlink"/>
          </w:rPr>
          <w:t xml:space="preserve">https://doi.org/10.1016/j.rsma.2015.05.005</w:t>
        </w:r>
      </w:hyperlink>
      <w:r>
        <w:t xml:space="preserve">.</w:t>
      </w:r>
    </w:p>
    <w:bookmarkEnd w:id="158"/>
    <w:bookmarkStart w:id="160"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9">
        <w:r>
          <w:rPr>
            <w:rStyle w:val="Hyperlink"/>
          </w:rPr>
          <w:t xml:space="preserve">https://doi.org/10.1353/sgo.2017.0026</w:t>
        </w:r>
      </w:hyperlink>
      <w:r>
        <w:t xml:space="preserve">.</w:t>
      </w:r>
    </w:p>
    <w:bookmarkEnd w:id="160"/>
    <w:bookmarkStart w:id="162"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61">
        <w:r>
          <w:rPr>
            <w:rStyle w:val="Hyperlink"/>
          </w:rPr>
          <w:t xml:space="preserve">https://doi.org/10.32614/CRAN.package.gratia</w:t>
        </w:r>
      </w:hyperlink>
      <w:r>
        <w:t xml:space="preserve">.</w:t>
      </w:r>
    </w:p>
    <w:bookmarkEnd w:id="162"/>
    <w:bookmarkStart w:id="164"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63">
        <w:r>
          <w:rPr>
            <w:rStyle w:val="Hyperlink"/>
          </w:rPr>
          <w:t xml:space="preserve">https://doi.org/10.2307/1352982</w:t>
        </w:r>
      </w:hyperlink>
      <w:r>
        <w:t xml:space="preserve">.</w:t>
      </w:r>
    </w:p>
    <w:bookmarkEnd w:id="164"/>
    <w:bookmarkStart w:id="166" w:name="ref-SWFWMD25"/>
    <w:p>
      <w:pPr>
        <w:pStyle w:val="Bibliography"/>
      </w:pPr>
      <w:r>
        <w:t xml:space="preserve">Southwest Florida Water Management District. 2025.</w:t>
      </w:r>
      <w:r>
        <w:t xml:space="preserve"> </w:t>
      </w:r>
      <w:hyperlink r:id="rId165">
        <w:r>
          <w:rPr>
            <w:rStyle w:val="Hyperlink"/>
          </w:rPr>
          <w:t xml:space="preserve">2023 land use land cover shapefile for SWFWMD</w:t>
        </w:r>
      </w:hyperlink>
      <w:r>
        <w:t xml:space="preserve">.</w:t>
      </w:r>
    </w:p>
    <w:bookmarkEnd w:id="166"/>
    <w:bookmarkStart w:id="168"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7">
        <w:r>
          <w:rPr>
            <w:rStyle w:val="Hyperlink"/>
          </w:rPr>
          <w:t xml:space="preserve">https://doi.org/10.1016/j.scitotenv.2011.09.088</w:t>
        </w:r>
      </w:hyperlink>
      <w:r>
        <w:t xml:space="preserve">.</w:t>
      </w:r>
    </w:p>
    <w:bookmarkEnd w:id="168"/>
    <w:bookmarkStart w:id="170" w:name="ref-tbep0310"/>
    <w:p>
      <w:pPr>
        <w:pStyle w:val="Bibliography"/>
      </w:pPr>
      <w:r>
        <w:t xml:space="preserve">Tampa Bay Nitrogen Management Consortium. 2010.</w:t>
      </w:r>
      <w:r>
        <w:t xml:space="preserve"> </w:t>
      </w:r>
      <w:hyperlink r:id="rId169">
        <w:r>
          <w:rPr>
            <w:rStyle w:val="Hyperlink"/>
            <w:i/>
            <w:iCs/>
          </w:rPr>
          <w:t xml:space="preserve">2009 reasonable assurance addendum: Allocation and assessment report</w:t>
        </w:r>
      </w:hyperlink>
      <w:r>
        <w:t xml:space="preserve">. Technical report 03-10. St. Petersburg, Florida: Tampa Bay Estuary Program.</w:t>
      </w:r>
    </w:p>
    <w:bookmarkEnd w:id="170"/>
    <w:bookmarkStart w:id="17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71">
        <w:r>
          <w:rPr>
            <w:rStyle w:val="Hyperlink"/>
          </w:rPr>
          <w:t xml:space="preserve">https://doi.org/10.1111/1752-1688.70070</w:t>
        </w:r>
      </w:hyperlink>
      <w:r>
        <w:t xml:space="preserve">.</w:t>
      </w:r>
    </w:p>
    <w:bookmarkEnd w:id="172"/>
    <w:bookmarkStart w:id="17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73">
        <w:r>
          <w:rPr>
            <w:rStyle w:val="Hyperlink"/>
          </w:rPr>
          <w:t xml:space="preserve">https://doi.org/10.1007/978-0-387-21706-2</w:t>
        </w:r>
      </w:hyperlink>
      <w:r>
        <w:t xml:space="preserve">.</w:t>
      </w:r>
    </w:p>
    <w:bookmarkEnd w:id="174"/>
    <w:bookmarkStart w:id="176"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5">
        <w:r>
          <w:rPr>
            <w:rStyle w:val="Hyperlink"/>
          </w:rPr>
          <w:t xml:space="preserve">https://doi.org/10.1016/j.jhydrol.2025.134851</w:t>
        </w:r>
      </w:hyperlink>
      <w:r>
        <w:t xml:space="preserve">.</w:t>
      </w:r>
    </w:p>
    <w:bookmarkEnd w:id="176"/>
    <w:bookmarkStart w:id="178"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7">
        <w:r>
          <w:rPr>
            <w:rStyle w:val="Hyperlink"/>
          </w:rPr>
          <w:t xml:space="preserve">https://doi.org/10.1006/ecss.1999.0490</w:t>
        </w:r>
      </w:hyperlink>
      <w:r>
        <w:t xml:space="preserve">.</w:t>
      </w:r>
    </w:p>
    <w:bookmarkEnd w:id="178"/>
    <w:bookmarkStart w:id="18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9">
        <w:r>
          <w:rPr>
            <w:rStyle w:val="Hyperlink"/>
          </w:rPr>
          <w:t xml:space="preserve">https://doi.org/10.1111/j.1467-9868.2010.00749.x</w:t>
        </w:r>
      </w:hyperlink>
      <w:r>
        <w:t xml:space="preserve">.</w:t>
      </w:r>
    </w:p>
    <w:bookmarkEnd w:id="180"/>
    <w:bookmarkStart w:id="18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81"/>
    <w:bookmarkStart w:id="183"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82">
        <w:r>
          <w:rPr>
            <w:rStyle w:val="Hyperlink"/>
          </w:rPr>
          <w:t xml:space="preserve">https://doi.org/10.1061/(ASCE)0733-9496(2003)129:4(295)</w:t>
        </w:r>
      </w:hyperlink>
      <w:r>
        <w:t xml:space="preserve">.</w:t>
      </w:r>
    </w:p>
    <w:bookmarkEnd w:id="183"/>
    <w:bookmarkStart w:id="185" w:name="ref-tbep0511"/>
    <w:p>
      <w:pPr>
        <w:pStyle w:val="Bibliography"/>
      </w:pPr>
      <w:r>
        <w:t xml:space="preserve">Yates, K., H. Greening, and G. Morrison. 2011.</w:t>
      </w:r>
      <w:r>
        <w:t xml:space="preserve"> </w:t>
      </w:r>
      <w:hyperlink r:id="rId184">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5"/>
    <w:bookmarkStart w:id="187" w:name="ref-tbep0494"/>
    <w:p>
      <w:pPr>
        <w:pStyle w:val="Bibliography"/>
      </w:pPr>
      <w:r>
        <w:t xml:space="preserve">Zarbock, H. W., A. J. Janicki, D. L. Wade, and D. G. Heimbuch. 1994.</w:t>
      </w:r>
      <w:r>
        <w:t xml:space="preserve"> </w:t>
      </w:r>
      <w:hyperlink r:id="rId186">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7"/>
    <w:bookmarkEnd w:id="188"/>
    <w:bookmarkEnd w:id="18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2026-02-11T21:47:47Z</dcterms:created>
  <dcterms:modified xsi:type="dcterms:W3CDTF">2026-02-11T21:47:47Z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