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495559" cy="7327412"/>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495559" cy="7327412"/>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 The inset in (c) shows how the normalized results are used to identify the unique effects of salinity and loading.</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paicseltab"/>
          <w:p>
            <w:pPr>
              <w:jc w:val="center"/>
            </w:pPr>
            <w:pPr>
              <w:jc w:val="left"/>
              <w:spacing w:before="200"/>
              <w:pStyle w:val="ImageCaption"/>
            </w:pPr>
            <w:r>
              <w:t xml:space="preserve">Table 1: Comparison of Generalized Additive Models for chlorophyll-a for each bay segment using full models and fit using the select option.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Full</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3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2,284.5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3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w:t>
                  </w:r>
                </w:p>
              </w:tc>
            </w:tr>
            <w:tr>
              <w:trPr>
                <w:trHeight w:val="3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 = Full AIC - Select AIC</w:t>
                  </w:r>
                </w:p>
              </w:tc>
            </w:tr>
          </w:tbl>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2" w:name="tbl-suppaictab"/>
          <w:p>
            <w:pPr>
              <w:jc w:val="center"/>
            </w:pPr>
            <w:pPr>
              <w:jc w:val="left"/>
              <w:spacing w:before="200"/>
              <w:pStyle w:val="ImageCaption"/>
            </w:pPr>
            <w:r>
              <w:t xml:space="preserve">Table 2: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Dev. Expl.: deviance explained;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91"/>
              <w:gridCol w:w="1080"/>
              <w:gridCol w:w="1080"/>
              <w:gridCol w:w="1091"/>
              <w:gridCol w:w="1080"/>
              <w:gridCol w:w="1080"/>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3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-218.6</w:t>
                  </w:r>
                </w:p>
              </w:tc>
            </w:tr>
            <w:tr>
              <w:trPr>
                <w:trHeight w:val="3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-283.6</w:t>
                  </w:r>
                </w:p>
              </w:tc>
            </w:tr>
            <w:tr>
              <w:trPr>
                <w:trHeight w:val="3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-148.6</w:t>
                  </w:r>
                </w:p>
              </w:tc>
            </w:tr>
            <w:tr>
              <w:trPr>
                <w:trHeight w:val="3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-177.2</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 = Gamma AIC - Gaussian (log) AIC</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pgamtab"/>
          <w:p>
            <w:pPr>
              <w:jc w:val="center"/>
            </w:pPr>
            <w:pPr>
              <w:jc w:val="left"/>
              <w:spacing w:before="200"/>
              <w:pStyle w:val="ImageCaption"/>
            </w:pPr>
            <w:r>
              <w:t xml:space="preserve">Table 3: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pconcurvotbtab"/>
          <w:p>
            <w:pPr>
              <w:jc w:val="center"/>
            </w:pPr>
            <w:pPr>
              <w:jc w:val="left"/>
              <w:spacing w:before="200"/>
              <w:pStyle w:val="ImageCaption"/>
            </w:pPr>
            <w:r>
              <w:t xml:space="preserve">Table 4: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pconcurvhbtab"/>
          <w:p>
            <w:pPr>
              <w:jc w:val="center"/>
            </w:pPr>
            <w:pPr>
              <w:jc w:val="left"/>
              <w:spacing w:before="200"/>
              <w:pStyle w:val="ImageCaption"/>
            </w:pPr>
            <w:r>
              <w:t xml:space="preserve">Table 5: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pconcurvmtbtab"/>
          <w:p>
            <w:pPr>
              <w:jc w:val="center"/>
            </w:pPr>
            <w:pPr>
              <w:jc w:val="left"/>
              <w:spacing w:before="200"/>
              <w:pStyle w:val="ImageCaption"/>
            </w:pPr>
            <w:r>
              <w:t xml:space="preserve">Table 6: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uppconcurvltbtab"/>
          <w:p>
            <w:pPr>
              <w:jc w:val="center"/>
            </w:pPr>
            <w:pPr>
              <w:jc w:val="left"/>
              <w:spacing w:before="200"/>
              <w:pStyle w:val="ImageCaption"/>
            </w:pPr>
            <w:r>
              <w:t xml:space="preserve">Table 7: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tbl-suppldtrendtab"/>
          <w:p>
            <w:pPr>
              <w:jc w:val="center"/>
            </w:pPr>
            <w:pPr>
              <w:jc w:val="left"/>
              <w:spacing w:before="200"/>
              <w:pStyle w:val="ImageCaption"/>
            </w:pPr>
            <w:r>
              <w:t xml:space="preserve">Table 8: Contemporary loading trends from 2012 to 2024 by bay segment. Results are for regression models of annual loading with year.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596"/>
              <w:gridCol w:w="1396"/>
              <w:gridCol w:w="1012"/>
              <w:gridCol w:w="63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0.479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0.794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0.840</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0.204</w:t>
                  </w:r>
                </w:p>
              </w:tc>
            </w:tr>
          </w:tbl>
          <w:bookmarkEnd w:id="48"/>
        </w:tc>
      </w:tr>
    </w:tbl>
    <w:p>
      <w:r>
        <w:br w:type="page"/>
      </w:r>
    </w:p>
    <w:bookmarkEnd w:id="49"/>
    <w:bookmarkStart w:id="53" w:name="references"/>
    <w:p>
      <w:pPr>
        <w:pStyle w:val="Heading2"/>
      </w:pPr>
      <w:r>
        <w:t xml:space="preserve">References</w:t>
      </w:r>
    </w:p>
    <w:bookmarkStart w:id="52" w:name="refs"/>
    <w:bookmarkStart w:id="51"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50">
        <w:r>
          <w:rPr>
            <w:rStyle w:val="Hyperlink"/>
          </w:rPr>
          <w:t xml:space="preserve">https://doi.org/10.1109/TAC.1974.1100705</w:t>
        </w:r>
      </w:hyperlink>
      <w:r>
        <w:t xml:space="preserve">.</w:t>
      </w:r>
    </w:p>
    <w:bookmarkEnd w:id="51"/>
    <w:bookmarkEnd w:id="52"/>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2026-06-12T18:36:42Z</dcterms:created>
  <dcterms:modified xsi:type="dcterms:W3CDTF">2026-06-12T18:36:42Z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