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26.png" ContentType="image/png"/>
  <Override PartName="/word/media/rId3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awesome title for a great paper</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fig"/>
    <w:p>
      <w:pPr>
        <w:pStyle w:val="Heading2"/>
      </w:pPr>
      <w:r>
        <w:t xml:space="preserve">1 Fig</w:t>
      </w:r>
    </w:p>
    <w:p>
      <w:pPr>
        <w:pStyle w:val="Compact"/>
        <w:numPr>
          <w:ilvl w:val="0"/>
          <w:numId w:val="1001"/>
        </w:numPr>
      </w:pPr>
      <w:r>
        <w:t xml:space="preserve">observed chl and model fit</w:t>
      </w:r>
    </w:p>
    <w:p>
      <w:pPr>
        <w:pStyle w:val="Compact"/>
        <w:numPr>
          <w:ilvl w:val="0"/>
          <w:numId w:val="1001"/>
        </w:numPr>
      </w:pPr>
      <w:r>
        <w:t xml:space="preserve">model fit v normalized</w:t>
      </w:r>
    </w:p>
    <w:p>
      <w:pPr>
        <w:pStyle w:val="Compact"/>
        <w:numPr>
          <w:ilvl w:val="0"/>
          <w:numId w:val="1001"/>
        </w:numPr>
      </w:pPr>
      <w:r>
        <w:t xml:space="preserve">grid plots</w:t>
      </w:r>
    </w:p>
    <w:p>
      <w:pPr>
        <w:pStyle w:val="Compact"/>
        <w:numPr>
          <w:ilvl w:val="0"/>
          <w:numId w:val="1001"/>
        </w:numPr>
      </w:pPr>
      <w:r>
        <w:t xml:space="preserve">normalized - fit v hydrology</w:t>
      </w:r>
    </w:p>
    <w:bookmarkEnd w:id="21"/>
    <w:bookmarkStart w:id="22" w:name="table"/>
    <w:p>
      <w:pPr>
        <w:pStyle w:val="Heading2"/>
      </w:pPr>
      <w:r>
        <w:t xml:space="preserve">2 Table</w:t>
      </w:r>
    </w:p>
    <w:p>
      <w:pPr>
        <w:pStyle w:val="Compact"/>
        <w:numPr>
          <w:ilvl w:val="0"/>
          <w:numId w:val="1002"/>
        </w:numPr>
      </w:pPr>
      <w:r>
        <w:t xml:space="preserve">Model summary statistics (include by month?)</w:t>
      </w:r>
    </w:p>
    <w:bookmarkEnd w:id="22"/>
    <w:bookmarkStart w:id="25" w:name="methods"/>
    <w:p>
      <w:pPr>
        <w:pStyle w:val="Heading2"/>
      </w:pPr>
      <w:r>
        <w:t xml:space="preserve">3 Methods</w:t>
      </w:r>
    </w:p>
    <w:bookmarkStart w:id="23" w:name="data-processing"/>
    <w:p>
      <w:pPr>
        <w:pStyle w:val="Heading3"/>
      </w:pPr>
      <w:r>
        <w:t xml:space="preserve">3.1 Data processing</w:t>
      </w:r>
    </w:p>
    <w:p>
      <w:pPr>
        <w:pStyle w:val="FirstParagraph"/>
      </w:pPr>
      <w:r>
        <w:t xml:space="preserve">Salinity gaps were filled using linear interpolation between observed, where the maximum gap fill was three time steps (months). Gaps accounted for less than 5% of the observatiosn for each bay segment.</w:t>
      </w:r>
    </w:p>
    <w:bookmarkEnd w:id="23"/>
    <w:bookmarkStart w:id="24" w:name="gams"/>
    <w:p>
      <w:pPr>
        <w:pStyle w:val="Heading3"/>
      </w:pPr>
      <w:r>
        <w:t xml:space="preserve">3.2 GAMs</w:t>
      </w:r>
    </w:p>
    <w:p>
      <w:pPr>
        <w:pStyle w:val="FirstParagraph"/>
      </w:pPr>
      <w:hyperlink w:anchor="fig-obsprd">
        <w:r>
          <w:rPr>
            <w:rStyle w:val="Hyperlink"/>
          </w:rPr>
          <w:t xml:space="preserve">Figure 1</w:t>
        </w:r>
      </w:hyperlink>
      <w:r>
        <w:t xml:space="preserve">,</w:t>
      </w:r>
      <w:r>
        <w:t xml:space="preserve"> </w:t>
      </w:r>
      <w:hyperlink w:anchor="fig-prdnrm">
        <w:r>
          <w:rPr>
            <w:rStyle w:val="Hyperlink"/>
          </w:rPr>
          <w:t xml:space="preserve">Figure 2</w:t>
        </w:r>
      </w:hyperlink>
      <w:r>
        <w:t xml:space="preserve">,</w:t>
      </w:r>
      <w:r>
        <w:t xml:space="preserve"> </w:t>
      </w:r>
      <w:hyperlink w:anchor="fig-gridplo">
        <w:r>
          <w:rPr>
            <w:rStyle w:val="Hyperlink"/>
          </w:rPr>
          <w:t xml:space="preserve">Figure 3</w:t>
        </w:r>
      </w:hyperlink>
    </w:p>
    <w:p>
      <w:pPr>
        <w:pStyle w:val="BodyText"/>
      </w:pPr>
      <w:r>
        <w:t xml:space="preserve">ACF plots showed minimal autocorrelation of model residuals at lag 1 (all &lt; 0.20 rho).</w:t>
      </w:r>
    </w:p>
    <w:p>
      <w:pPr>
        <w:pStyle w:val="BodyText"/>
      </w:pPr>
      <w:r>
        <w:t xml:space="preserve">K values chosen for each smoother to allow sufficient degress of freedom for each smoother.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w:t>
      </w:r>
    </w:p>
    <w:p>
      <w:r>
        <w:br w:type="page"/>
      </w:r>
    </w:p>
    <w:bookmarkEnd w:id="24"/>
    <w:bookmarkEnd w:id="25"/>
    <w:bookmarkStart w:id="38"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9" w:name="fig-obsprd"/>
          <w:p>
            <w:pPr>
              <w:pStyle w:val="Compact"/>
              <w:jc w:val="center"/>
            </w:pPr>
            <w:r>
              <w:drawing>
                <wp:inline>
                  <wp:extent cx="5943600" cy="6686549"/>
                  <wp:effectExtent b="0" l="0" r="0" t="0"/>
                  <wp:docPr descr="" title="" id="27" name="Picture"/>
                  <a:graphic>
                    <a:graphicData uri="http://schemas.openxmlformats.org/drawingml/2006/picture">
                      <pic:pic>
                        <pic:nvPicPr>
                          <pic:cNvPr descr="figs/obsprd.png" id="28" name="Picture"/>
                          <pic:cNvPicPr>
                            <a:picLocks noChangeArrowheads="1" noChangeAspect="1"/>
                          </pic:cNvPicPr>
                        </pic:nvPicPr>
                        <pic:blipFill>
                          <a:blip r:embed="rId26"/>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1: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29"/>
        </w:tc>
      </w:tr>
    </w:tbl>
    <w:p>
      <w:r>
        <w:br w:type="page"/>
      </w:r>
    </w:p>
    <w:tbl>
      <w:tblPr>
        <w:tblStyle w:val="Table"/>
        <w:tblW w:type="pct" w:w="5000"/>
        <w:tblLayout w:type="fixed"/>
        <w:tblLook w:firstRow="0" w:lastRow="0" w:firstColumn="0" w:lastColumn="0" w:noHBand="0" w:noVBand="0" w:val="0000"/>
      </w:tblPr>
      <w:tblGrid>
        <w:gridCol w:w="7920"/>
      </w:tblGrid>
      <w:tr>
        <w:tc>
          <w:tcPr/>
          <w:bookmarkStart w:id="33" w:name="fig-prdnrm"/>
          <w:p>
            <w:pPr>
              <w:pStyle w:val="Compact"/>
              <w:jc w:val="center"/>
            </w:pPr>
            <w:r>
              <w:drawing>
                <wp:inline>
                  <wp:extent cx="5943600" cy="4245428"/>
                  <wp:effectExtent b="0" l="0" r="0" t="0"/>
                  <wp:docPr descr="" title="" id="31" name="Picture"/>
                  <a:graphic>
                    <a:graphicData uri="http://schemas.openxmlformats.org/drawingml/2006/picture">
                      <pic:pic>
                        <pic:nvPicPr>
                          <pic:cNvPr descr="figs/prdnrm.png" id="32" name="Picture"/>
                          <pic:cNvPicPr>
                            <a:picLocks noChangeArrowheads="1" noChangeAspect="1"/>
                          </pic:cNvPicPr>
                        </pic:nvPicPr>
                        <pic:blipFill>
                          <a:blip r:embed="rId30"/>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predictions, normalized estimates, and mean salinity estimates for chlorophyll-a by major bay segment from the separate GAMs. Normalized values (solid lines) are those that remove the salinity influence using the mean result of predictions across a range of salinity values at each time step, whereas the mean salinity values (dashed lines) are annual predictions across a constant mean salinity for each bay segment. OTB: Old Tampa Bay; HB: Hillsborough Bay; MTB: Middle Tampa Bay; LTB: Lower Tampa Bay.</w:t>
            </w:r>
          </w:p>
          <w:bookmarkEnd w:id="33"/>
        </w:tc>
      </w:tr>
    </w:tbl>
    <w:p>
      <w:r>
        <w:br w:type="page"/>
      </w:r>
    </w:p>
    <w:tbl>
      <w:tblPr>
        <w:tblStyle w:val="Table"/>
        <w:tblW w:type="pct" w:w="5000"/>
        <w:tblLayout w:type="fixed"/>
        <w:tblLook w:firstRow="0" w:lastRow="0" w:firstColumn="0" w:lastColumn="0" w:noHBand="0" w:noVBand="0" w:val="0000"/>
      </w:tblPr>
      <w:tblGrid>
        <w:gridCol w:w="7920"/>
      </w:tblGrid>
      <w:tr>
        <w:tc>
          <w:tcPr/>
          <w:bookmarkStart w:id="37" w:name="fig-gridplo"/>
          <w:p>
            <w:pPr>
              <w:pStyle w:val="Compact"/>
              <w:jc w:val="center"/>
            </w:pPr>
            <w:r>
              <w:drawing>
                <wp:inline>
                  <wp:extent cx="5943600" cy="4862945"/>
                  <wp:effectExtent b="0" l="0" r="0" t="0"/>
                  <wp:docPr descr="" title="" id="35" name="Picture"/>
                  <a:graphic>
                    <a:graphicData uri="http://schemas.openxmlformats.org/drawingml/2006/picture">
                      <pic:pic>
                        <pic:nvPicPr>
                          <pic:cNvPr descr="figs/gridplo.png" id="36" name="Picture"/>
                          <pic:cNvPicPr>
                            <a:picLocks noChangeArrowheads="1" noChangeAspect="1"/>
                          </pic:cNvPicPr>
                        </pic:nvPicPr>
                        <pic:blipFill>
                          <a:blip r:embed="rId34"/>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 3: Chlorophyll-a (</w:t>
            </w:r>
            <m:oMath>
              <m:r>
                <m:t>μ</m:t>
              </m:r>
            </m:oMath>
            <w:r>
              <w:t xml:space="preserve">g/L) during the rainy season (June to November) from 2005 to present as related to salinity (ppth) by major bay segment. Facets are arranged to show how the monthly predictions vary across years and different salnity ranges. The points show the model predicted results for the observed salinity. Salinity ranges in each plot are fixed the minimum and maximum observed across years for the month. OTB: Old Tampa Bay; HB: Hillsborough Bay; MTB: Middle Tampa Bay; LTB: Lower Tampa Bay.</w:t>
            </w:r>
          </w:p>
          <w:bookmarkEnd w:id="37"/>
        </w:tc>
      </w:tr>
    </w:tbl>
    <w:p>
      <w:r>
        <w:br w:type="page"/>
      </w:r>
    </w:p>
    <w:bookmarkEnd w:id="38"/>
    <w:bookmarkStart w:id="40"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39">
        <w:r>
          <w:rPr>
            <w:rStyle w:val="Hyperlink"/>
          </w:rPr>
          <w:t xml:space="preserve">https://github.com/tbep-tech/chlhydro-manu</w:t>
        </w:r>
      </w:hyperlink>
      <w:r>
        <w:t xml:space="preserve">.</w:t>
      </w:r>
    </w:p>
    <w:bookmarkEnd w:id="40"/>
    <w:bookmarkStart w:id="41"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41"/>
    <w:bookmarkStart w:id="45" w:name="statements-and-declarations"/>
    <w:p>
      <w:pPr>
        <w:pStyle w:val="Heading2"/>
      </w:pPr>
      <w:r>
        <w:t xml:space="preserve">Statements and Declarations</w:t>
      </w:r>
    </w:p>
    <w:bookmarkStart w:id="42"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42"/>
    <w:bookmarkStart w:id="43"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43"/>
    <w:bookmarkStart w:id="44"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44"/>
    <w:bookmarkEnd w:id="45"/>
    <w:bookmarkStart w:id="46" w:name="references"/>
    <w:p>
      <w:pPr>
        <w:pStyle w:val="Heading2"/>
      </w:pPr>
      <w:r>
        <w:t xml:space="preserve">References</w:t>
      </w:r>
    </w:p>
    <w:bookmarkEnd w:id="46"/>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hyperlink" Id="rId39" Target="https://github.com/tbep-tech/chlhydro-manu"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39" Target="https://github.com/tbep-tech/chlhydro-manu"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awesome title for a great paper</dc:title>
  <dc:creator>Marcus W Beck1,✉, Kerry Flaherty-Walia1, Maya C Burke1, and Edward T Sherwood1</dc:creator>
  <cp:keywords/>
  <dcterms:created xsi:type="dcterms:W3CDTF">2025-12-12T21:04:58Z</dcterms:created>
  <dcterms:modified xsi:type="dcterms:W3CDTF">2025-12-12T21:04:58Z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