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29.png" ContentType="image/png"/>
  <Override PartName="/word/media/rId33.png" ContentType="image/png"/>
  <Override PartName="/word/media/rId37.png" ContentType="image/png"/>
  <Override PartName="/word/media/rId49.png" ContentType="image/png"/>
  <Override PartName="/word/media/rId4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for seagrasses, macroalgae, oysters, tidal flats, and hard bottom. Average depth of the bay is 11 ft with a maximum depth of 43 feet in the dredged shipping channels that traverse the longitudinal axis. The bay is divided into four major segments defined by physical and natural boundaries, with Old Tampa Bay (OTB) in the northwest, Hillsborough Bay (HB) in the norteast,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reporting and compliance assessment is provided to the Florida Department of Environmental Protection. Regulatory criteria for chlorophyll-a apply to each bay segment, such that consecutive exceedances greater than two years in a row require an assessment of the assimilative capacity for the segment where the exceedance occurred. The assimilative capacity for each bay segment is currently defined by a maximum annual nitrogen loading beyond which negative water quality outcomes are expected if exceeded. Chlorophyll and nitrogen loading thresholds for each bay segment were established primarily to maintain a light environment supportive of seagrass growth. Efforts of the TBNMC to manage external nutrient loads have contributed in part to the long-term recovery of Tampa Bay. However, current ecology and physical conditions of the bay compared to past conditions from which regulatory thresholds were developed have been the focus of recent discussions by the TBNMC and have also motivated this current work.</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being averaged across bottom, mid, and surface depth measurements. Salinity and chlorophyll gaps were filled using linear interpolation between observed values, where the maximum gap filled was three months. Salinity gaps accounted for less than 5% of the observations for each bay segment. Chlorophyll gaps were primarily bserved during the beginning of the COVID-19 pandemic in 2020 when sampling did not occur and only accounted for 2 to 3 observations per bay segment. Monthly data from 1985 to present by bay segment were used for analysis to coincide with the period of record for the nutrient loading data.</w:t>
      </w:r>
    </w:p>
    <w:p>
      <w:pPr>
        <w:pStyle w:val="BodyText"/>
      </w:pPr>
      <w:r>
        <w:t xml:space="preserve">Monthhly nitrogen loading data to each bay segment were estimated following methods in</w:t>
      </w:r>
      <w:r>
        <w:t xml:space="preserve"> </w:t>
      </w:r>
      <w:r>
        <w:t xml:space="preserve">Zarbock et al. (1994)</w:t>
      </w:r>
      <w:r>
        <w:t xml:space="preserve">.</w:t>
      </w:r>
    </w:p>
    <w:bookmarkEnd w:id="22"/>
    <w:bookmarkStart w:id="23" w:name="gams"/>
    <w:p>
      <w:pPr>
        <w:pStyle w:val="Heading3"/>
      </w:pPr>
      <w:r>
        <w:t xml:space="preserve">2.2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 and</w:t>
      </w:r>
      <w:r>
        <w:t xml:space="preserve"> </w:t>
      </w:r>
      <m:oMath>
        <m:sSub>
          <m:e>
            <m:r>
              <m:t>f</m:t>
            </m:r>
          </m:e>
          <m:sub>
            <m:r>
              <m:t>23</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3"/>
    <w:bookmarkStart w:id="24" w:name="X76cddf9583b502cf49d60a22feb10f6a81aad30"/>
    <w:p>
      <w:pPr>
        <w:pStyle w:val="Heading3"/>
      </w:pPr>
      <w:r>
        <w:t xml:space="preserve">2.3 Partitioning Drivers of Chlorophyll Changes</w:t>
      </w:r>
    </w:p>
    <w:bookmarkEnd w:id="24"/>
    <w:bookmarkStart w:id="25" w:name="X82026799b3307457963ec31cd05ff83c81fd279"/>
    <w:p>
      <w:pPr>
        <w:pStyle w:val="Heading3"/>
      </w:pPr>
      <w:r>
        <w:t xml:space="preserve">2.4 Likelihood of Exceeding Regulatory Criteria</w:t>
      </w:r>
    </w:p>
    <w:p>
      <w:pPr>
        <w:pStyle w:val="FirstParagraph"/>
      </w:pPr>
      <w:r>
        <w:t xml:space="preserve">Make a note about forecasting with GAMs, they are tricky because the polynomial surfaces behave poorly outside of the range of the observed data.</w:t>
      </w:r>
    </w:p>
    <w:bookmarkEnd w:id="25"/>
    <w:bookmarkEnd w:id="26"/>
    <w:bookmarkStart w:id="27" w:name="results"/>
    <w:p>
      <w:pPr>
        <w:pStyle w:val="Heading2"/>
      </w:pPr>
      <w:r>
        <w:t xml:space="preserve">3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fig-simplo">
        <w:r>
          <w:rPr>
            <w:rStyle w:val="Hyperlink"/>
          </w:rPr>
          <w:t xml:space="preserve">Figure 5</w:t>
        </w:r>
      </w:hyperlink>
      <w:r>
        <w:t xml:space="preserve">,</w:t>
      </w:r>
      <w:r>
        <w:t xml:space="preserve"> </w:t>
      </w:r>
      <w:hyperlink w:anchor="fig-simex">
        <w:r>
          <w:rPr>
            <w:rStyle w:val="Hyperlink"/>
          </w:rPr>
          <w:t xml:space="preserve">Figure 6</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liktab">
        <w:r>
          <w:rPr>
            <w:rStyle w:val="Hyperlink"/>
          </w:rPr>
          <w:t xml:space="preserve">Table 4</w:t>
        </w:r>
      </w:hyperlink>
    </w:p>
    <w:bookmarkEnd w:id="27"/>
    <w:bookmarkStart w:id="28" w:name="discussion"/>
    <w:p>
      <w:pPr>
        <w:pStyle w:val="Heading2"/>
      </w:pPr>
      <w:r>
        <w:t xml:space="preserve">4 Discussion</w:t>
      </w:r>
    </w:p>
    <w:p>
      <w:pPr>
        <w:pStyle w:val="FirstParagraph"/>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28"/>
    <w:bookmarkStart w:id="5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2" w:name="fig-obsprd"/>
          <w:p>
            <w:pPr>
              <w:pStyle w:val="Compact"/>
              <w:jc w:val="center"/>
            </w:pPr>
            <w:r>
              <w:drawing>
                <wp:inline>
                  <wp:extent cx="5943600" cy="6686549"/>
                  <wp:effectExtent b="0" l="0" r="0" t="0"/>
                  <wp:docPr descr="" title="" id="30" name="Picture"/>
                  <a:graphic>
                    <a:graphicData uri="http://schemas.openxmlformats.org/drawingml/2006/picture">
                      <pic:pic>
                        <pic:nvPicPr>
                          <pic:cNvPr descr="figs/obsprd.png" id="31" name="Picture"/>
                          <pic:cNvPicPr>
                            <a:picLocks noChangeArrowheads="1" noChangeAspect="1"/>
                          </pic:cNvPicPr>
                        </pic:nvPicPr>
                        <pic:blipFill>
                          <a:blip r:embed="rId2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2"/>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fig-prdnrm"/>
          <w:p>
            <w:pPr>
              <w:pStyle w:val="Compact"/>
              <w:jc w:val="center"/>
            </w:pPr>
            <w:r>
              <w:drawing>
                <wp:inline>
                  <wp:extent cx="5943600" cy="4245428"/>
                  <wp:effectExtent b="0" l="0" r="0" t="0"/>
                  <wp:docPr descr="" title="" id="34" name="Picture"/>
                  <a:graphic>
                    <a:graphicData uri="http://schemas.openxmlformats.org/drawingml/2006/picture">
                      <pic:pic>
                        <pic:nvPicPr>
                          <pic:cNvPr descr="figs/prdnrm.png" id="35" name="Picture"/>
                          <pic:cNvPicPr>
                            <a:picLocks noChangeArrowheads="1" noChangeAspect="1"/>
                          </pic:cNvPicPr>
                        </pic:nvPicPr>
                        <pic:blipFill>
                          <a:blip r:embed="rId3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salvload"/>
          <w:p>
            <w:pPr>
              <w:pStyle w:val="Compact"/>
              <w:jc w:val="center"/>
            </w:pPr>
            <w:r>
              <w:drawing>
                <wp:inline>
                  <wp:extent cx="5943600" cy="7528559"/>
                  <wp:effectExtent b="0" l="0" r="0" t="0"/>
                  <wp:docPr descr="" title="" id="38" name="Picture"/>
                  <a:graphic>
                    <a:graphicData uri="http://schemas.openxmlformats.org/drawingml/2006/picture">
                      <pic:pic>
                        <pic:nvPicPr>
                          <pic:cNvPr descr="figs/salvload.png" id="39" name="Picture"/>
                          <pic:cNvPicPr>
                            <a:picLocks noChangeArrowheads="1" noChangeAspect="1"/>
                          </pic:cNvPicPr>
                        </pic:nvPicPr>
                        <pic:blipFill>
                          <a:blip r:embed="rId37"/>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gridplo"/>
          <w:p>
            <w:pPr>
              <w:pStyle w:val="Compact"/>
              <w:jc w:val="center"/>
            </w:pPr>
            <w:r>
              <w:drawing>
                <wp:inline>
                  <wp:extent cx="5943600" cy="4754880"/>
                  <wp:effectExtent b="0" l="0" r="0" t="0"/>
                  <wp:docPr descr="" title="" id="42" name="Picture"/>
                  <a:graphic>
                    <a:graphicData uri="http://schemas.openxmlformats.org/drawingml/2006/picture">
                      <pic:pic>
                        <pic:nvPicPr>
                          <pic:cNvPr descr="figs/gridplo.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implo"/>
          <w:p>
            <w:pPr>
              <w:pStyle w:val="Compact"/>
              <w:jc w:val="center"/>
            </w:pPr>
            <w:r>
              <w:drawing>
                <wp:inline>
                  <wp:extent cx="5943600" cy="5943600"/>
                  <wp:effectExtent b="0" l="0" r="0" t="0"/>
                  <wp:docPr descr="" title="" id="46" name="Picture"/>
                  <a:graphic>
                    <a:graphicData uri="http://schemas.openxmlformats.org/drawingml/2006/picture">
                      <pic:pic>
                        <pic:nvPicPr>
                          <pic:cNvPr descr="figs/simplo.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ex"/>
          <w:p>
            <w:pPr>
              <w:pStyle w:val="Compact"/>
              <w:jc w:val="center"/>
            </w:pPr>
            <w:r>
              <w:drawing>
                <wp:inline>
                  <wp:extent cx="4587290" cy="5504749"/>
                  <wp:effectExtent b="0" l="0" r="0" t="0"/>
                  <wp:docPr descr="" title="" id="50" name="Picture"/>
                  <a:graphic>
                    <a:graphicData uri="http://schemas.openxmlformats.org/drawingml/2006/picture">
                      <pic:pic>
                        <pic:nvPicPr>
                          <pic:cNvPr descr="figs/simex.png" id="51" name="Picture"/>
                          <pic:cNvPicPr>
                            <a:picLocks noChangeArrowheads="1" noChangeAspect="1"/>
                          </pic:cNvPicPr>
                        </pic:nvPicPr>
                        <pic:blipFill>
                          <a:blip r:embed="rId49"/>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2"/>
        </w:tc>
      </w:tr>
    </w:tbl>
    <w:p>
      <w:r>
        <w:br w:type="page"/>
      </w:r>
    </w:p>
    <w:bookmarkEnd w:id="53"/>
    <w:bookmarkStart w:id="5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4"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4"/>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57"/>
        </w:tc>
      </w:tr>
    </w:tbl>
    <w:p>
      <w:r>
        <w:br w:type="page"/>
      </w:r>
    </w:p>
    <w:bookmarkEnd w:id="58"/>
    <w:bookmarkStart w:id="6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9">
        <w:r>
          <w:rPr>
            <w:rStyle w:val="Hyperlink"/>
          </w:rPr>
          <w:t xml:space="preserve">https://github.com/tbep-tech/chlhydro-manu</w:t>
        </w:r>
      </w:hyperlink>
      <w:r>
        <w:t xml:space="preserve">.</w:t>
      </w:r>
    </w:p>
    <w:bookmarkEnd w:id="60"/>
    <w:bookmarkStart w:id="6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1"/>
    <w:bookmarkStart w:id="65" w:name="statements-and-declarations"/>
    <w:p>
      <w:pPr>
        <w:pStyle w:val="Heading2"/>
      </w:pPr>
      <w:r>
        <w:t xml:space="preserve">Statements and Declarations</w:t>
      </w:r>
    </w:p>
    <w:bookmarkStart w:id="62"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2"/>
    <w:bookmarkStart w:id="6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3"/>
    <w:bookmarkStart w:id="6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4"/>
    <w:bookmarkEnd w:id="65"/>
    <w:bookmarkStart w:id="82" w:name="references"/>
    <w:p>
      <w:pPr>
        <w:pStyle w:val="Heading2"/>
      </w:pPr>
      <w:r>
        <w:t xml:space="preserve">References</w:t>
      </w:r>
    </w:p>
    <w:bookmarkStart w:id="81" w:name="refs"/>
    <w:bookmarkStart w:id="67"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6">
        <w:r>
          <w:rPr>
            <w:rStyle w:val="Hyperlink"/>
          </w:rPr>
          <w:t xml:space="preserve">https://doi.org/10.1007/s12237-024-01385-0</w:t>
        </w:r>
      </w:hyperlink>
      <w:r>
        <w:t xml:space="preserve">.</w:t>
      </w:r>
    </w:p>
    <w:bookmarkEnd w:id="67"/>
    <w:bookmarkStart w:id="6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68"/>
    <w:bookmarkStart w:id="6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69"/>
    <w:bookmarkStart w:id="71" w:name="ref-tbep1115"/>
    <w:p>
      <w:pPr>
        <w:pStyle w:val="Bibliography"/>
      </w:pPr>
      <w:r>
        <w:t xml:space="preserve">Janicki Environmental, Inc. 2015.</w:t>
      </w:r>
      <w:r>
        <w:t xml:space="preserve"> </w:t>
      </w:r>
      <w:hyperlink r:id="rId7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71"/>
    <w:bookmarkStart w:id="73" w:name="ref-luther2022"/>
    <w:p>
      <w:pPr>
        <w:pStyle w:val="Bibliography"/>
      </w:pPr>
      <w:r>
        <w:t xml:space="preserve">Luther, M. E., and S. D. Meyers. 2022.</w:t>
      </w:r>
      <w:r>
        <w:t xml:space="preserve"> </w:t>
      </w:r>
      <w:hyperlink r:id="rId72">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73"/>
    <w:bookmarkStart w:id="74"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74"/>
    <w:bookmarkStart w:id="76" w:name="ref-SWFWMD25"/>
    <w:p>
      <w:pPr>
        <w:pStyle w:val="Bibliography"/>
      </w:pPr>
      <w:r>
        <w:t xml:space="preserve">Southwest Florida Water Management District. 2025.</w:t>
      </w:r>
      <w:r>
        <w:t xml:space="preserve"> </w:t>
      </w:r>
      <w:hyperlink r:id="rId75">
        <w:r>
          <w:rPr>
            <w:rStyle w:val="Hyperlink"/>
          </w:rPr>
          <w:t xml:space="preserve">2023 land use land cover shapefile for SWFWMD</w:t>
        </w:r>
      </w:hyperlink>
      <w:r>
        <w:t xml:space="preserve">.</w:t>
      </w:r>
    </w:p>
    <w:bookmarkEnd w:id="76"/>
    <w:bookmarkStart w:id="7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77">
        <w:r>
          <w:rPr>
            <w:rStyle w:val="Hyperlink"/>
          </w:rPr>
          <w:t xml:space="preserve">https://doi.org/10.1111/1752-1688.70070</w:t>
        </w:r>
      </w:hyperlink>
      <w:r>
        <w:t xml:space="preserve">.</w:t>
      </w:r>
    </w:p>
    <w:bookmarkEnd w:id="78"/>
    <w:bookmarkStart w:id="80" w:name="ref-tbep0494"/>
    <w:p>
      <w:pPr>
        <w:pStyle w:val="Bibliography"/>
      </w:pPr>
      <w:r>
        <w:t xml:space="preserve">Zarbock, H. W., A. J. Janicki, D. L. Wade, and D. G. Heimbuch. 1994.</w:t>
      </w:r>
      <w:r>
        <w:t xml:space="preserve"> </w:t>
      </w:r>
      <w:hyperlink r:id="rId79">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80"/>
    <w:bookmarkEnd w:id="81"/>
    <w:bookmarkEnd w:id="8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66" Target="https://doi.org/10.1007/s12237-024-01385-0" TargetMode="External" /><Relationship Type="http://schemas.openxmlformats.org/officeDocument/2006/relationships/hyperlink" Id="rId77" Target="https://doi.org/10.1111/1752-1688.70070" TargetMode="External" /><Relationship Type="http://schemas.openxmlformats.org/officeDocument/2006/relationships/hyperlink" Id="rId70" Target="https://drive.google.com/drive/folders/1-vIRAsuZQmQEXZk-0FwqsjhSex0GDu7-?usp=sharing" TargetMode="External" /><Relationship Type="http://schemas.openxmlformats.org/officeDocument/2006/relationships/hyperlink" Id="rId72" Target="https://drive.google.com/file/d/1-1Jq9vly5EvVwEp698brlBucXjSMDbNn/view?usp=sharing" TargetMode="External" /><Relationship Type="http://schemas.openxmlformats.org/officeDocument/2006/relationships/hyperlink" Id="rId79"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7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7/s12237-024-01385-0" TargetMode="External" /><Relationship Type="http://schemas.openxmlformats.org/officeDocument/2006/relationships/hyperlink" Id="rId77" Target="https://doi.org/10.1111/1752-1688.70070" TargetMode="External" /><Relationship Type="http://schemas.openxmlformats.org/officeDocument/2006/relationships/hyperlink" Id="rId70" Target="https://drive.google.com/drive/folders/1-vIRAsuZQmQEXZk-0FwqsjhSex0GDu7-?usp=sharing" TargetMode="External" /><Relationship Type="http://schemas.openxmlformats.org/officeDocument/2006/relationships/hyperlink" Id="rId72" Target="https://drive.google.com/file/d/1-1Jq9vly5EvVwEp698brlBucXjSMDbNn/view?usp=sharing" TargetMode="External" /><Relationship Type="http://schemas.openxmlformats.org/officeDocument/2006/relationships/hyperlink" Id="rId79"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7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2026-01-20T22:24:16Z</dcterms:created>
  <dcterms:modified xsi:type="dcterms:W3CDTF">2026-01-20T22:24:16Z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