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29.png" ContentType="image/png"/>
  <Override PartName="/word/media/rId33.png" ContentType="image/png"/>
  <Override PartName="/word/media/rId37.png" ContentType="image/png"/>
  <Override PartName="/word/media/rId49.png" ContentType="image/pn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gaps accounted for less than 5% of the observations for each bay segment. Chlorophyll gaps were only observed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(as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oligohalien,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influences chlorophyll for that time period.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27" w:name="results"/>
    <w:p>
      <w:pPr>
        <w:pStyle w:val="Heading2"/>
      </w:pPr>
      <w:r>
        <w:t xml:space="preserve">3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7"/>
    <w:bookmarkStart w:id="28" w:name="discussion"/>
    <w:p>
      <w:pPr>
        <w:pStyle w:val="Heading2"/>
      </w:pPr>
      <w:r>
        <w:t xml:space="preserve">4 Discussion</w:t>
      </w:r>
    </w:p>
    <w:p>
      <w:pPr>
        <w:pStyle w:val="FirstParagraph"/>
      </w:pPr>
      <w:r>
        <w:t xml:space="preserve">Why was this particular GAM structure chosen, e.g., decimal time and doy as opposed to decimal time with large k?</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8"/>
    <w:bookmarkStart w:id="5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obsprd"/>
          <w:p>
            <w:pPr>
              <w:pStyle w:val="Compact"/>
              <w:jc w:val="center"/>
            </w:pPr>
            <w:r>
              <w:drawing>
                <wp:inline>
                  <wp:extent cx="5943600" cy="6686549"/>
                  <wp:effectExtent b="0" l="0" r="0" t="0"/>
                  <wp:docPr descr="" title="" id="30" name="Picture"/>
                  <a:graphic>
                    <a:graphicData uri="http://schemas.openxmlformats.org/drawingml/2006/picture">
                      <pic:pic>
                        <pic:nvPicPr>
                          <pic:cNvPr descr="figs/obsprd.png" id="31" name="Picture"/>
                          <pic:cNvPicPr>
                            <a:picLocks noChangeArrowheads="1" noChangeAspect="1"/>
                          </pic:cNvPicPr>
                        </pic:nvPicPr>
                        <pic:blipFill>
                          <a:blip r:embed="rId2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prdnrm"/>
          <w:p>
            <w:pPr>
              <w:pStyle w:val="Compact"/>
              <w:jc w:val="center"/>
            </w:pPr>
            <w:r>
              <w:drawing>
                <wp:inline>
                  <wp:extent cx="5943600" cy="4245428"/>
                  <wp:effectExtent b="0" l="0" r="0" t="0"/>
                  <wp:docPr descr="" title="" id="34" name="Picture"/>
                  <a:graphic>
                    <a:graphicData uri="http://schemas.openxmlformats.org/drawingml/2006/picture">
                      <pic:pic>
                        <pic:nvPicPr>
                          <pic:cNvPr descr="figs/prdnrm.png" id="35" name="Picture"/>
                          <pic:cNvPicPr>
                            <a:picLocks noChangeArrowheads="1" noChangeAspect="1"/>
                          </pic:cNvPicPr>
                        </pic:nvPicPr>
                        <pic:blipFill>
                          <a:blip r:embed="rId3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salvload"/>
          <w:p>
            <w:pPr>
              <w:pStyle w:val="Compact"/>
              <w:jc w:val="center"/>
            </w:pPr>
            <w:r>
              <w:drawing>
                <wp:inline>
                  <wp:extent cx="5943600" cy="7528559"/>
                  <wp:effectExtent b="0" l="0" r="0" t="0"/>
                  <wp:docPr descr="" title="" id="38" name="Picture"/>
                  <a:graphic>
                    <a:graphicData uri="http://schemas.openxmlformats.org/drawingml/2006/picture">
                      <pic:pic>
                        <pic:nvPicPr>
                          <pic:cNvPr descr="figs/salvload.png" id="39" name="Picture"/>
                          <pic:cNvPicPr>
                            <a:picLocks noChangeArrowheads="1" noChangeAspect="1"/>
                          </pic:cNvPicPr>
                        </pic:nvPicPr>
                        <pic:blipFill>
                          <a:blip r:embed="rId37"/>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gridplo"/>
          <w:p>
            <w:pPr>
              <w:pStyle w:val="Compact"/>
              <w:jc w:val="center"/>
            </w:pPr>
            <w:r>
              <w:drawing>
                <wp:inline>
                  <wp:extent cx="5943600" cy="4754880"/>
                  <wp:effectExtent b="0" l="0" r="0" t="0"/>
                  <wp:docPr descr="" title="" id="42" name="Picture"/>
                  <a:graphic>
                    <a:graphicData uri="http://schemas.openxmlformats.org/drawingml/2006/picture">
                      <pic:pic>
                        <pic:nvPicPr>
                          <pic:cNvPr descr="figs/gridplo.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implo"/>
          <w:p>
            <w:pPr>
              <w:pStyle w:val="Compact"/>
              <w:jc w:val="center"/>
            </w:pPr>
            <w:r>
              <w:drawing>
                <wp:inline>
                  <wp:extent cx="5943600" cy="5943600"/>
                  <wp:effectExtent b="0" l="0" r="0" t="0"/>
                  <wp:docPr descr="" title="" id="46" name="Picture"/>
                  <a:graphic>
                    <a:graphicData uri="http://schemas.openxmlformats.org/drawingml/2006/picture">
                      <pic:pic>
                        <pic:nvPicPr>
                          <pic:cNvPr descr="figs/simplo.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ex"/>
          <w:p>
            <w:pPr>
              <w:pStyle w:val="Compact"/>
              <w:jc w:val="center"/>
            </w:pPr>
            <w:r>
              <w:drawing>
                <wp:inline>
                  <wp:extent cx="4587290" cy="5504749"/>
                  <wp:effectExtent b="0" l="0" r="0" t="0"/>
                  <wp:docPr descr="" title="" id="50" name="Picture"/>
                  <a:graphic>
                    <a:graphicData uri="http://schemas.openxmlformats.org/drawingml/2006/picture">
                      <pic:pic>
                        <pic:nvPicPr>
                          <pic:cNvPr descr="figs/simex.png" id="51" name="Picture"/>
                          <pic:cNvPicPr>
                            <a:picLocks noChangeArrowheads="1" noChangeAspect="1"/>
                          </pic:cNvPicPr>
                        </pic:nvPicPr>
                        <pic:blipFill>
                          <a:blip r:embed="rId49"/>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2"/>
        </w:tc>
      </w:tr>
    </w:tbl>
    <w:p>
      <w:r>
        <w:br w:type="page"/>
      </w:r>
    </w:p>
    <w:bookmarkEnd w:id="53"/>
    <w:bookmarkStart w:id="5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4"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7"/>
        </w:tc>
      </w:tr>
    </w:tbl>
    <w:p>
      <w:r>
        <w:br w:type="page"/>
      </w:r>
    </w:p>
    <w:bookmarkEnd w:id="58"/>
    <w:bookmarkStart w:id="6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9">
        <w:r>
          <w:rPr>
            <w:rStyle w:val="Hyperlink"/>
          </w:rPr>
          <w:t xml:space="preserve">https://github.com/tbep-tech/chlhydro-manu</w:t>
        </w:r>
      </w:hyperlink>
      <w:r>
        <w:t xml:space="preserve">.</w:t>
      </w:r>
    </w:p>
    <w:bookmarkEnd w:id="60"/>
    <w:bookmarkStart w:id="6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1"/>
    <w:bookmarkStart w:id="65" w:name="statements-and-declarations"/>
    <w:p>
      <w:pPr>
        <w:pStyle w:val="Heading2"/>
      </w:pPr>
      <w:r>
        <w:t xml:space="preserve">Statements and Declarations</w:t>
      </w:r>
    </w:p>
    <w:bookmarkStart w:id="6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2"/>
    <w:bookmarkStart w:id="6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3"/>
    <w:bookmarkStart w:id="6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4"/>
    <w:bookmarkEnd w:id="65"/>
    <w:bookmarkStart w:id="101" w:name="references"/>
    <w:p>
      <w:pPr>
        <w:pStyle w:val="Heading2"/>
      </w:pPr>
      <w:r>
        <w:t xml:space="preserve">References</w:t>
      </w:r>
    </w:p>
    <w:bookmarkStart w:id="100" w:name="refs"/>
    <w:bookmarkStart w:id="67"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6">
        <w:r>
          <w:rPr>
            <w:rStyle w:val="Hyperlink"/>
          </w:rPr>
          <w:t xml:space="preserve">https://doi.org/10.1007/s12237-024-01385-0</w:t>
        </w:r>
      </w:hyperlink>
      <w:r>
        <w:t xml:space="preserve">.</w:t>
      </w:r>
    </w:p>
    <w:bookmarkEnd w:id="67"/>
    <w:bookmarkStart w:id="6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68">
        <w:r>
          <w:rPr>
            <w:rStyle w:val="Hyperlink"/>
          </w:rPr>
          <w:t xml:space="preserve">https://doi.org/10.1111/1752-1688.12489</w:t>
        </w:r>
      </w:hyperlink>
      <w:r>
        <w:t xml:space="preserve">.</w:t>
      </w:r>
    </w:p>
    <w:bookmarkEnd w:id="69"/>
    <w:bookmarkStart w:id="70"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0"/>
    <w:bookmarkStart w:id="71"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1"/>
    <w:bookmarkStart w:id="73" w:name="ref-tbep0696"/>
    <w:p>
      <w:pPr>
        <w:pStyle w:val="Bibliography"/>
      </w:pPr>
      <w:r>
        <w:t xml:space="preserve">Janicki, A. J., and D. L. Wade. 1996.</w:t>
      </w:r>
      <w:r>
        <w:t xml:space="preserve"> </w:t>
      </w:r>
      <w:hyperlink r:id="rId72">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3"/>
    <w:bookmarkStart w:id="75" w:name="ref-tbep0400"/>
    <w:p>
      <w:pPr>
        <w:pStyle w:val="Bibliography"/>
      </w:pPr>
      <w:r>
        <w:t xml:space="preserve">Janicki, A. J., D. Wade, and J. R. Pribble. 2000.</w:t>
      </w:r>
      <w:r>
        <w:t xml:space="preserve"> </w:t>
      </w:r>
      <w:hyperlink r:id="rId74">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5"/>
    <w:bookmarkStart w:id="77" w:name="ref-tbep1115"/>
    <w:p>
      <w:pPr>
        <w:pStyle w:val="Bibliography"/>
      </w:pPr>
      <w:r>
        <w:t xml:space="preserve">Janicki Environmental, Inc. 2015.</w:t>
      </w:r>
      <w:r>
        <w:t xml:space="preserve"> </w:t>
      </w:r>
      <w:hyperlink r:id="rId76">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77"/>
    <w:bookmarkStart w:id="79" w:name="ref-tbep0623"/>
    <w:p>
      <w:pPr>
        <w:pStyle w:val="Bibliography"/>
      </w:pPr>
      <w:r>
        <w:t xml:space="preserve">Janicki Environmental, Inc. 2023.</w:t>
      </w:r>
      <w:r>
        <w:t xml:space="preserve"> </w:t>
      </w:r>
      <w:hyperlink r:id="rId78">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79"/>
    <w:bookmarkStart w:id="81" w:name="ref-luther2022"/>
    <w:p>
      <w:pPr>
        <w:pStyle w:val="Bibliography"/>
      </w:pPr>
      <w:r>
        <w:t xml:space="preserve">Luther, M. E., and S. D. Meyers. 2022.</w:t>
      </w:r>
      <w:r>
        <w:t xml:space="preserve"> </w:t>
      </w:r>
      <w:hyperlink r:id="rId80">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1"/>
    <w:bookmarkStart w:id="82"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2"/>
    <w:bookmarkStart w:id="84"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3">
        <w:r>
          <w:rPr>
            <w:rStyle w:val="Hyperlink"/>
          </w:rPr>
          <w:t xml:space="preserve">https://doi.org/10.1016/j.envsoft.2019.03.027</w:t>
        </w:r>
      </w:hyperlink>
      <w:r>
        <w:t xml:space="preserve">.</w:t>
      </w:r>
    </w:p>
    <w:bookmarkEnd w:id="84"/>
    <w:bookmarkStart w:id="86"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5">
        <w:r>
          <w:rPr>
            <w:rStyle w:val="Hyperlink"/>
          </w:rPr>
          <w:t xml:space="preserve">https://doi.org/10.32614/CRAN.package.gratia</w:t>
        </w:r>
      </w:hyperlink>
      <w:r>
        <w:t xml:space="preserve">.</w:t>
      </w:r>
    </w:p>
    <w:bookmarkEnd w:id="86"/>
    <w:bookmarkStart w:id="88" w:name="ref-SWFWMD25"/>
    <w:p>
      <w:pPr>
        <w:pStyle w:val="Bibliography"/>
      </w:pPr>
      <w:r>
        <w:t xml:space="preserve">Southwest Florida Water Management District. 2025.</w:t>
      </w:r>
      <w:r>
        <w:t xml:space="preserve"> </w:t>
      </w:r>
      <w:hyperlink r:id="rId87">
        <w:r>
          <w:rPr>
            <w:rStyle w:val="Hyperlink"/>
          </w:rPr>
          <w:t xml:space="preserve">2023 land use land cover shapefile for SWFWMD</w:t>
        </w:r>
      </w:hyperlink>
      <w:r>
        <w:t xml:space="preserve">.</w:t>
      </w:r>
    </w:p>
    <w:bookmarkEnd w:id="88"/>
    <w:bookmarkStart w:id="90" w:name="ref-tbep0310"/>
    <w:p>
      <w:pPr>
        <w:pStyle w:val="Bibliography"/>
      </w:pPr>
      <w:r>
        <w:t xml:space="preserve">Tampa Bay Nitrogen Management Consortium. 2010.</w:t>
      </w:r>
      <w:r>
        <w:t xml:space="preserve"> </w:t>
      </w:r>
      <w:hyperlink r:id="rId89">
        <w:r>
          <w:rPr>
            <w:rStyle w:val="Hyperlink"/>
            <w:i/>
            <w:iCs/>
          </w:rPr>
          <w:t xml:space="preserve">2009 reasonable assurance addendum: Allocation and assessment report</w:t>
        </w:r>
      </w:hyperlink>
      <w:r>
        <w:t xml:space="preserve">. Technical report 03-10. St. Petersburg, Florida: Tampa Bay Estuary Program.</w:t>
      </w:r>
    </w:p>
    <w:bookmarkEnd w:id="90"/>
    <w:bookmarkStart w:id="9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1">
        <w:r>
          <w:rPr>
            <w:rStyle w:val="Hyperlink"/>
          </w:rPr>
          <w:t xml:space="preserve">https://doi.org/10.1111/1752-1688.70070</w:t>
        </w:r>
      </w:hyperlink>
      <w:r>
        <w:t xml:space="preserve">.</w:t>
      </w:r>
    </w:p>
    <w:bookmarkEnd w:id="92"/>
    <w:bookmarkStart w:id="9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3">
        <w:r>
          <w:rPr>
            <w:rStyle w:val="Hyperlink"/>
          </w:rPr>
          <w:t xml:space="preserve">https://doi.org/10.1007/978-0-387-21706-2</w:t>
        </w:r>
      </w:hyperlink>
      <w:r>
        <w:t xml:space="preserve">.</w:t>
      </w:r>
    </w:p>
    <w:bookmarkEnd w:id="94"/>
    <w:bookmarkStart w:id="9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5">
        <w:r>
          <w:rPr>
            <w:rStyle w:val="Hyperlink"/>
          </w:rPr>
          <w:t xml:space="preserve">https://doi.org/10.1111/j.1467-9868.2010.00749.x</w:t>
        </w:r>
      </w:hyperlink>
      <w:r>
        <w:t xml:space="preserve">.</w:t>
      </w:r>
    </w:p>
    <w:bookmarkEnd w:id="96"/>
    <w:bookmarkStart w:id="9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97"/>
    <w:bookmarkStart w:id="99" w:name="ref-tbep0494"/>
    <w:p>
      <w:pPr>
        <w:pStyle w:val="Bibliography"/>
      </w:pPr>
      <w:r>
        <w:t xml:space="preserve">Zarbock, H. W., A. J. Janicki, D. L. Wade, and D. G. Heimbuch. 1994.</w:t>
      </w:r>
      <w:r>
        <w:t xml:space="preserve"> </w:t>
      </w:r>
      <w:hyperlink r:id="rId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99"/>
    <w:bookmarkEnd w:id="100"/>
    <w:bookmarkEnd w:id="1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93"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83"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91" Target="https://doi.org/10.1111/1752-1688.70070" TargetMode="External" /><Relationship Type="http://schemas.openxmlformats.org/officeDocument/2006/relationships/hyperlink" Id="rId95" Target="https://doi.org/10.1111/j.1467-9868.2010.00749.x" TargetMode="External" /><Relationship Type="http://schemas.openxmlformats.org/officeDocument/2006/relationships/hyperlink" Id="rId85" Target="https://doi.org/10.32614/CRAN.package.gratia" TargetMode="External" /><Relationship Type="http://schemas.openxmlformats.org/officeDocument/2006/relationships/hyperlink" Id="rId76" Target="https://drive.google.com/drive/folders/1-vIRAsuZQmQEXZk-0FwqsjhSex0GDu7-?usp=sharing" TargetMode="External" /><Relationship Type="http://schemas.openxmlformats.org/officeDocument/2006/relationships/hyperlink" Id="rId80" Target="https://drive.google.com/file/d/1-1Jq9vly5EvVwEp698brlBucXjSMDbNn/view?usp=sharing" TargetMode="External" /><Relationship Type="http://schemas.openxmlformats.org/officeDocument/2006/relationships/hyperlink" Id="rId89" Target="https://drive.google.com/file/d/10IjJAfcGFf007a5VdPXAUtUi4dx-cmsA/view?usp=drivesdk" TargetMode="External" /><Relationship Type="http://schemas.openxmlformats.org/officeDocument/2006/relationships/hyperlink" Id="rId78" Target="https://drive.google.com/file/d/1KARuSC5fGx05MuT1wiOQFWNXysBokkQl/view?usp=share_link" TargetMode="External" /><Relationship Type="http://schemas.openxmlformats.org/officeDocument/2006/relationships/hyperlink" Id="rId74" Target="https://drive.google.com/file/d/1XMULU8w4syWcSv_ciOUOhnC_G4xt6GIF/view?usp=drivesdk" TargetMode="External" /><Relationship Type="http://schemas.openxmlformats.org/officeDocument/2006/relationships/hyperlink" Id="rId72" Target="https://drive.google.com/file/d/1kZkvuprvsMyN9nPS5PHYvXHyo1KQxKTr/view?usp=drivesdk" TargetMode="External" /><Relationship Type="http://schemas.openxmlformats.org/officeDocument/2006/relationships/hyperlink" Id="rId98"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83"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91" Target="https://doi.org/10.1111/1752-1688.70070" TargetMode="External" /><Relationship Type="http://schemas.openxmlformats.org/officeDocument/2006/relationships/hyperlink" Id="rId95" Target="https://doi.org/10.1111/j.1467-9868.2010.00749.x" TargetMode="External" /><Relationship Type="http://schemas.openxmlformats.org/officeDocument/2006/relationships/hyperlink" Id="rId85" Target="https://doi.org/10.32614/CRAN.package.gratia" TargetMode="External" /><Relationship Type="http://schemas.openxmlformats.org/officeDocument/2006/relationships/hyperlink" Id="rId76" Target="https://drive.google.com/drive/folders/1-vIRAsuZQmQEXZk-0FwqsjhSex0GDu7-?usp=sharing" TargetMode="External" /><Relationship Type="http://schemas.openxmlformats.org/officeDocument/2006/relationships/hyperlink" Id="rId80" Target="https://drive.google.com/file/d/1-1Jq9vly5EvVwEp698brlBucXjSMDbNn/view?usp=sharing" TargetMode="External" /><Relationship Type="http://schemas.openxmlformats.org/officeDocument/2006/relationships/hyperlink" Id="rId89" Target="https://drive.google.com/file/d/10IjJAfcGFf007a5VdPXAUtUi4dx-cmsA/view?usp=drivesdk" TargetMode="External" /><Relationship Type="http://schemas.openxmlformats.org/officeDocument/2006/relationships/hyperlink" Id="rId78" Target="https://drive.google.com/file/d/1KARuSC5fGx05MuT1wiOQFWNXysBokkQl/view?usp=share_link" TargetMode="External" /><Relationship Type="http://schemas.openxmlformats.org/officeDocument/2006/relationships/hyperlink" Id="rId74" Target="https://drive.google.com/file/d/1XMULU8w4syWcSv_ciOUOhnC_G4xt6GIF/view?usp=drivesdk" TargetMode="External" /><Relationship Type="http://schemas.openxmlformats.org/officeDocument/2006/relationships/hyperlink" Id="rId72" Target="https://drive.google.com/file/d/1kZkvuprvsMyN9nPS5PHYvXHyo1KQxKTr/view?usp=drivesdk" TargetMode="External" /><Relationship Type="http://schemas.openxmlformats.org/officeDocument/2006/relationships/hyperlink" Id="rId98"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2026-01-23T21:35:10Z</dcterms:created>
  <dcterms:modified xsi:type="dcterms:W3CDTF">2026-01-23T21:35:10Z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