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29.png" ContentType="image/png"/>
  <Override PartName="/word/media/rId33.png" ContentType="image/png"/>
  <Override PartName="/word/media/rId37.png" ContentType="image/png"/>
  <Override PartName="/word/media/rId49.png" ContentType="image/png"/>
  <Override PartName="/word/media/rId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for seagrasses, macroalgae, oysters, tidal flats, and hard bottom. Average depth of the bay is 11 ft with a maximum depth of 43 feet in the dredged shipping channels that traverse the longitudinal axis. The bay is divided into four major segments defined by physical and natural boundaries, with Old Tampa Bay (OTB) in the northwest, Hillsborough Bay (HB) in the norteast,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consecutive exceedances greater than two years in a row require an assessment of the assimilative capacity for the segment where the exceedance occurred. The assimilative capacity for each bay segment is currently defined by a maximum annual nitrogen loading beyond which negative water quality outcomes are expected if exceeded. Chlorophyll and nitrogen loading thresholds for each bay segment were established primarily to maintain a light environment supportive of seagrass growth. Efforts of the TBNMC to manage external nutrient loads have contributed in part to the long-term recovery of Tampa Bay. However, current ecology and physical conditions of the bay compared to past conditions from which regulatory thresholds were developed have been the focus of recent discussions by the TBNMC and have also motivated this current work.</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being averaged across bottom, mid, and surface depth measurements. Salinity and chlorophyll gaps were filled using linear interpolation between observed values, where the maximum gap filled was three months. Salinity gaps accounted for less than 5% of the observations for each bay segment. Chlorophyll gaps were primarily 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based on external source, including domestic point-sources (wastewater treatment effluent, reclaimed water), industrial point sources, non-point sources, atmospheric deposition, groundwater/springs, and material losses from nutrients entering the bay through port/shipping activities. Methods for calculating point source loads are straightforward and are derived from reported flow and concentration data for every permitted entity in the Tampa Bay watershed. Conversely, non-point source loads are estimated from gauged and ungauged portions of the watershed by combining rainfall and flow estimates with event mean concentration data by land use and soil type. Atmospheric deposition is estimated using rainfall and airshed chemical constituent data obtained from the Verna well-field long-term air quality monitoring site. Groundwater loading is estimated from aquifer concentration data combined with potentiometric sub-surface flow data, wheras springs loadings are calculated dircectly from discharge and concentration data measured at each location. Finally, material losses are based on a loss factor per unit shipped at each port location. For the purpose of this analysis, no distinction is made between load sources such that the total load as the sum across sources was used for modelling. However, it is noted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date expressed as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(as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 rho), indicating a time-correlated variance structure was not needed.</w:t>
      </w:r>
    </w:p>
    <w:p>
      <w:pPr>
        <w:pStyle w:val="BodyText"/>
      </w:pPr>
      <w:r>
        <w:t xml:space="preserve">In addition to predicted chlorophyll-a, the GAMs can be used to created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p>
      <w:pPr>
        <w:pStyle w:val="FirstParagraph"/>
      </w:pPr>
      <w:r>
        <w:t xml:space="preserve">The final set of predictions for each bay segment were salinity-normalized predictions at mean loading, which can be considered the chlorophyll trend independent of changes in both salinity and loading. This is accomplished by predicting chlorophyll-a at each time step using the mean loading for the bay segment across the entire time series. Mean loading is used in this case as opposed to the more involved grid based appraoch for salinity.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summary statistics for GAMs.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differerence between the predictions and salinity-normalized values as a simple subtraction was used an expression of salinity effects on chlorophyll. Likewise,</w:t>
      </w:r>
    </w:p>
    <w:bookmarkEnd w:id="24"/>
    <w:bookmarkStart w:id="25" w:name="X82026799b3307457963ec31cd05ff83c81fd279"/>
    <w:p>
      <w:pPr>
        <w:pStyle w:val="Heading3"/>
      </w:pPr>
      <w:r>
        <w:t xml:space="preserve">2.4 Likelihood of Exceeding Regulatory Criteria</w:t>
      </w:r>
    </w:p>
    <w:p>
      <w:pPr>
        <w:pStyle w:val="FirstParagraph"/>
      </w:pPr>
      <w:r>
        <w:t xml:space="preserve">Make a note about forecasting with GAMs, they are tricky because the polynomial surfaces behave poorly outside of the range of the observed data.</w:t>
      </w:r>
    </w:p>
    <w:bookmarkEnd w:id="25"/>
    <w:bookmarkEnd w:id="26"/>
    <w:bookmarkStart w:id="27" w:name="results"/>
    <w:p>
      <w:pPr>
        <w:pStyle w:val="Heading2"/>
      </w:pPr>
      <w:r>
        <w:t xml:space="preserve">3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liktab">
        <w:r>
          <w:rPr>
            <w:rStyle w:val="Hyperlink"/>
          </w:rPr>
          <w:t xml:space="preserve">Table 4</w:t>
        </w:r>
      </w:hyperlink>
    </w:p>
    <w:bookmarkEnd w:id="27"/>
    <w:bookmarkStart w:id="28" w:name="discussion"/>
    <w:p>
      <w:pPr>
        <w:pStyle w:val="Heading2"/>
      </w:pPr>
      <w:r>
        <w:t xml:space="preserve">4 Discussion</w:t>
      </w:r>
    </w:p>
    <w:p>
      <w:pPr>
        <w:pStyle w:val="FirstParagraph"/>
      </w:pPr>
      <w:r>
        <w:t xml:space="preserve">Why was this particular GAM structure chosen, e.g., decimal time and doy as opposed to decimal time with large k?</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8"/>
    <w:bookmarkStart w:id="5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2" w:name="fig-obsprd"/>
          <w:p>
            <w:pPr>
              <w:pStyle w:val="Compact"/>
              <w:jc w:val="center"/>
            </w:pPr>
            <w:r>
              <w:drawing>
                <wp:inline>
                  <wp:extent cx="5943600" cy="6686549"/>
                  <wp:effectExtent b="0" l="0" r="0" t="0"/>
                  <wp:docPr descr="" title="" id="30" name="Picture"/>
                  <a:graphic>
                    <a:graphicData uri="http://schemas.openxmlformats.org/drawingml/2006/picture">
                      <pic:pic>
                        <pic:nvPicPr>
                          <pic:cNvPr descr="figs/obsprd.png" id="31" name="Picture"/>
                          <pic:cNvPicPr>
                            <a:picLocks noChangeArrowheads="1" noChangeAspect="1"/>
                          </pic:cNvPicPr>
                        </pic:nvPicPr>
                        <pic:blipFill>
                          <a:blip r:embed="rId2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2"/>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prdnrm"/>
          <w:p>
            <w:pPr>
              <w:pStyle w:val="Compact"/>
              <w:jc w:val="center"/>
            </w:pPr>
            <w:r>
              <w:drawing>
                <wp:inline>
                  <wp:extent cx="5943600" cy="4245428"/>
                  <wp:effectExtent b="0" l="0" r="0" t="0"/>
                  <wp:docPr descr="" title="" id="34" name="Picture"/>
                  <a:graphic>
                    <a:graphicData uri="http://schemas.openxmlformats.org/drawingml/2006/picture">
                      <pic:pic>
                        <pic:nvPicPr>
                          <pic:cNvPr descr="figs/prdnrm.png" id="35" name="Picture"/>
                          <pic:cNvPicPr>
                            <a:picLocks noChangeArrowheads="1" noChangeAspect="1"/>
                          </pic:cNvPicPr>
                        </pic:nvPicPr>
                        <pic:blipFill>
                          <a:blip r:embed="rId3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salvload"/>
          <w:p>
            <w:pPr>
              <w:pStyle w:val="Compact"/>
              <w:jc w:val="center"/>
            </w:pPr>
            <w:r>
              <w:drawing>
                <wp:inline>
                  <wp:extent cx="5943600" cy="7528559"/>
                  <wp:effectExtent b="0" l="0" r="0" t="0"/>
                  <wp:docPr descr="" title="" id="38" name="Picture"/>
                  <a:graphic>
                    <a:graphicData uri="http://schemas.openxmlformats.org/drawingml/2006/picture">
                      <pic:pic>
                        <pic:nvPicPr>
                          <pic:cNvPr descr="figs/salvload.png" id="39" name="Picture"/>
                          <pic:cNvPicPr>
                            <a:picLocks noChangeArrowheads="1" noChangeAspect="1"/>
                          </pic:cNvPicPr>
                        </pic:nvPicPr>
                        <pic:blipFill>
                          <a:blip r:embed="rId37"/>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gridplo"/>
          <w:p>
            <w:pPr>
              <w:pStyle w:val="Compact"/>
              <w:jc w:val="center"/>
            </w:pPr>
            <w:r>
              <w:drawing>
                <wp:inline>
                  <wp:extent cx="5943600" cy="4754880"/>
                  <wp:effectExtent b="0" l="0" r="0" t="0"/>
                  <wp:docPr descr="" title="" id="42" name="Picture"/>
                  <a:graphic>
                    <a:graphicData uri="http://schemas.openxmlformats.org/drawingml/2006/picture">
                      <pic:pic>
                        <pic:nvPicPr>
                          <pic:cNvPr descr="figs/gridplo.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implo"/>
          <w:p>
            <w:pPr>
              <w:pStyle w:val="Compact"/>
              <w:jc w:val="center"/>
            </w:pPr>
            <w:r>
              <w:drawing>
                <wp:inline>
                  <wp:extent cx="5943600" cy="5943600"/>
                  <wp:effectExtent b="0" l="0" r="0" t="0"/>
                  <wp:docPr descr="" title="" id="46" name="Picture"/>
                  <a:graphic>
                    <a:graphicData uri="http://schemas.openxmlformats.org/drawingml/2006/picture">
                      <pic:pic>
                        <pic:nvPicPr>
                          <pic:cNvPr descr="figs/simplo.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ex"/>
          <w:p>
            <w:pPr>
              <w:pStyle w:val="Compact"/>
              <w:jc w:val="center"/>
            </w:pPr>
            <w:r>
              <w:drawing>
                <wp:inline>
                  <wp:extent cx="4587290" cy="5504749"/>
                  <wp:effectExtent b="0" l="0" r="0" t="0"/>
                  <wp:docPr descr="" title="" id="50" name="Picture"/>
                  <a:graphic>
                    <a:graphicData uri="http://schemas.openxmlformats.org/drawingml/2006/picture">
                      <pic:pic>
                        <pic:nvPicPr>
                          <pic:cNvPr descr="figs/simex.png" id="51" name="Picture"/>
                          <pic:cNvPicPr>
                            <a:picLocks noChangeArrowheads="1" noChangeAspect="1"/>
                          </pic:cNvPicPr>
                        </pic:nvPicPr>
                        <pic:blipFill>
                          <a:blip r:embed="rId49"/>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2"/>
        </w:tc>
      </w:tr>
    </w:tbl>
    <w:p>
      <w:r>
        <w:br w:type="page"/>
      </w:r>
    </w:p>
    <w:bookmarkEnd w:id="53"/>
    <w:bookmarkStart w:id="5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4"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57"/>
        </w:tc>
      </w:tr>
    </w:tbl>
    <w:p>
      <w:r>
        <w:br w:type="page"/>
      </w:r>
    </w:p>
    <w:bookmarkEnd w:id="58"/>
    <w:bookmarkStart w:id="6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9">
        <w:r>
          <w:rPr>
            <w:rStyle w:val="Hyperlink"/>
          </w:rPr>
          <w:t xml:space="preserve">https://github.com/tbep-tech/chlhydro-manu</w:t>
        </w:r>
      </w:hyperlink>
      <w:r>
        <w:t xml:space="preserve">.</w:t>
      </w:r>
    </w:p>
    <w:bookmarkEnd w:id="60"/>
    <w:bookmarkStart w:id="6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1"/>
    <w:bookmarkStart w:id="65" w:name="statements-and-declarations"/>
    <w:p>
      <w:pPr>
        <w:pStyle w:val="Heading2"/>
      </w:pPr>
      <w:r>
        <w:t xml:space="preserve">Statements and Declarations</w:t>
      </w:r>
    </w:p>
    <w:bookmarkStart w:id="62"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2"/>
    <w:bookmarkStart w:id="6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3"/>
    <w:bookmarkStart w:id="6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4"/>
    <w:bookmarkEnd w:id="65"/>
    <w:bookmarkStart w:id="93" w:name="references"/>
    <w:p>
      <w:pPr>
        <w:pStyle w:val="Heading2"/>
      </w:pPr>
      <w:r>
        <w:t xml:space="preserve">References</w:t>
      </w:r>
    </w:p>
    <w:bookmarkStart w:id="92" w:name="refs"/>
    <w:bookmarkStart w:id="67"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6">
        <w:r>
          <w:rPr>
            <w:rStyle w:val="Hyperlink"/>
          </w:rPr>
          <w:t xml:space="preserve">https://doi.org/10.1007/s12237-024-01385-0</w:t>
        </w:r>
      </w:hyperlink>
      <w:r>
        <w:t xml:space="preserve">.</w:t>
      </w:r>
    </w:p>
    <w:bookmarkEnd w:id="67"/>
    <w:bookmarkStart w:id="6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68">
        <w:r>
          <w:rPr>
            <w:rStyle w:val="Hyperlink"/>
          </w:rPr>
          <w:t xml:space="preserve">https://doi.org/10.1111/1752-1688.12489</w:t>
        </w:r>
      </w:hyperlink>
      <w:r>
        <w:t xml:space="preserve">.</w:t>
      </w:r>
    </w:p>
    <w:bookmarkEnd w:id="69"/>
    <w:bookmarkStart w:id="70"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0"/>
    <w:bookmarkStart w:id="71"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1"/>
    <w:bookmarkStart w:id="73" w:name="ref-tbep1115"/>
    <w:p>
      <w:pPr>
        <w:pStyle w:val="Bibliography"/>
      </w:pPr>
      <w:r>
        <w:t xml:space="preserve">Janicki Environmental, Inc. 2015.</w:t>
      </w:r>
      <w:r>
        <w:t xml:space="preserve"> </w:t>
      </w:r>
      <w:hyperlink r:id="rId72">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73"/>
    <w:bookmarkStart w:id="75" w:name="ref-tbep0623"/>
    <w:p>
      <w:pPr>
        <w:pStyle w:val="Bibliography"/>
      </w:pPr>
      <w:r>
        <w:t xml:space="preserve">Janicki Environmental, Inc. 2023.</w:t>
      </w:r>
      <w:r>
        <w:t xml:space="preserve"> </w:t>
      </w:r>
      <w:hyperlink r:id="rId74">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75"/>
    <w:bookmarkStart w:id="77" w:name="ref-luther2022"/>
    <w:p>
      <w:pPr>
        <w:pStyle w:val="Bibliography"/>
      </w:pPr>
      <w:r>
        <w:t xml:space="preserve">Luther, M. E., and S. D. Meyers. 2022.</w:t>
      </w:r>
      <w:r>
        <w:t xml:space="preserve"> </w:t>
      </w:r>
      <w:hyperlink r:id="rId76">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77"/>
    <w:bookmarkStart w:id="78"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78"/>
    <w:bookmarkStart w:id="80"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79">
        <w:r>
          <w:rPr>
            <w:rStyle w:val="Hyperlink"/>
          </w:rPr>
          <w:t xml:space="preserve">https://doi.org/10.1016/j.envsoft.2019.03.027</w:t>
        </w:r>
      </w:hyperlink>
      <w:r>
        <w:t xml:space="preserve">.</w:t>
      </w:r>
    </w:p>
    <w:bookmarkEnd w:id="80"/>
    <w:bookmarkStart w:id="82" w:name="ref-SWFWMD25"/>
    <w:p>
      <w:pPr>
        <w:pStyle w:val="Bibliography"/>
      </w:pPr>
      <w:r>
        <w:t xml:space="preserve">Southwest Florida Water Management District. 2025.</w:t>
      </w:r>
      <w:r>
        <w:t xml:space="preserve"> </w:t>
      </w:r>
      <w:hyperlink r:id="rId81">
        <w:r>
          <w:rPr>
            <w:rStyle w:val="Hyperlink"/>
          </w:rPr>
          <w:t xml:space="preserve">2023 land use land cover shapefile for SWFWMD</w:t>
        </w:r>
      </w:hyperlink>
      <w:r>
        <w:t xml:space="preserve">.</w:t>
      </w:r>
    </w:p>
    <w:bookmarkEnd w:id="82"/>
    <w:bookmarkStart w:id="84"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83">
        <w:r>
          <w:rPr>
            <w:rStyle w:val="Hyperlink"/>
          </w:rPr>
          <w:t xml:space="preserve">https://doi.org/10.1111/1752-1688.70070</w:t>
        </w:r>
      </w:hyperlink>
      <w:r>
        <w:t xml:space="preserve">.</w:t>
      </w:r>
    </w:p>
    <w:bookmarkEnd w:id="84"/>
    <w:bookmarkStart w:id="86"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85">
        <w:r>
          <w:rPr>
            <w:rStyle w:val="Hyperlink"/>
          </w:rPr>
          <w:t xml:space="preserve">https://doi.org/10.1007/978-0-387-21706-2</w:t>
        </w:r>
      </w:hyperlink>
      <w:r>
        <w:t xml:space="preserve">.</w:t>
      </w:r>
    </w:p>
    <w:bookmarkEnd w:id="86"/>
    <w:bookmarkStart w:id="88"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87">
        <w:r>
          <w:rPr>
            <w:rStyle w:val="Hyperlink"/>
          </w:rPr>
          <w:t xml:space="preserve">https://doi.org/10.1111/j.1467-9868.2010.00749.x</w:t>
        </w:r>
      </w:hyperlink>
      <w:r>
        <w:t xml:space="preserve">.</w:t>
      </w:r>
    </w:p>
    <w:bookmarkEnd w:id="88"/>
    <w:bookmarkStart w:id="89"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89"/>
    <w:bookmarkStart w:id="91" w:name="ref-tbep0494"/>
    <w:p>
      <w:pPr>
        <w:pStyle w:val="Bibliography"/>
      </w:pPr>
      <w:r>
        <w:t xml:space="preserve">Zarbock, H. W., A. J. Janicki, D. L. Wade, and D. G. Heimbuch. 1994.</w:t>
      </w:r>
      <w:r>
        <w:t xml:space="preserve"> </w:t>
      </w:r>
      <w:hyperlink r:id="rId90">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91"/>
    <w:bookmarkEnd w:id="92"/>
    <w:bookmarkEnd w:id="9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85" Target="https://doi.org/10.1007/978-0-387-21706-2" TargetMode="External" /><Relationship Type="http://schemas.openxmlformats.org/officeDocument/2006/relationships/hyperlink" Id="rId66" Target="https://doi.org/10.1007/s12237-024-01385-0" TargetMode="External" /><Relationship Type="http://schemas.openxmlformats.org/officeDocument/2006/relationships/hyperlink" Id="rId79" Target="https://doi.org/10.1016/j.envsoft.2019.03.027" TargetMode="External" /><Relationship Type="http://schemas.openxmlformats.org/officeDocument/2006/relationships/hyperlink" Id="rId68" Target="https://doi.org/10.1111/1752-1688.12489" TargetMode="External" /><Relationship Type="http://schemas.openxmlformats.org/officeDocument/2006/relationships/hyperlink" Id="rId83" Target="https://doi.org/10.1111/1752-1688.70070" TargetMode="External" /><Relationship Type="http://schemas.openxmlformats.org/officeDocument/2006/relationships/hyperlink" Id="rId87" Target="https://doi.org/10.1111/j.1467-9868.2010.00749.x" TargetMode="External" /><Relationship Type="http://schemas.openxmlformats.org/officeDocument/2006/relationships/hyperlink" Id="rId72" Target="https://drive.google.com/drive/folders/1-vIRAsuZQmQEXZk-0FwqsjhSex0GDu7-?usp=sharing" TargetMode="External" /><Relationship Type="http://schemas.openxmlformats.org/officeDocument/2006/relationships/hyperlink" Id="rId76" Target="https://drive.google.com/file/d/1-1Jq9vly5EvVwEp698brlBucXjSMDbNn/view?usp=sharing" TargetMode="External" /><Relationship Type="http://schemas.openxmlformats.org/officeDocument/2006/relationships/hyperlink" Id="rId74" Target="https://drive.google.com/file/d/1KARuSC5fGx05MuT1wiOQFWNXysBokkQl/view?usp=share_link" TargetMode="External" /><Relationship Type="http://schemas.openxmlformats.org/officeDocument/2006/relationships/hyperlink" Id="rId90"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8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7/978-0-387-21706-2" TargetMode="External" /><Relationship Type="http://schemas.openxmlformats.org/officeDocument/2006/relationships/hyperlink" Id="rId66" Target="https://doi.org/10.1007/s12237-024-01385-0" TargetMode="External" /><Relationship Type="http://schemas.openxmlformats.org/officeDocument/2006/relationships/hyperlink" Id="rId79" Target="https://doi.org/10.1016/j.envsoft.2019.03.027" TargetMode="External" /><Relationship Type="http://schemas.openxmlformats.org/officeDocument/2006/relationships/hyperlink" Id="rId68" Target="https://doi.org/10.1111/1752-1688.12489" TargetMode="External" /><Relationship Type="http://schemas.openxmlformats.org/officeDocument/2006/relationships/hyperlink" Id="rId83" Target="https://doi.org/10.1111/1752-1688.70070" TargetMode="External" /><Relationship Type="http://schemas.openxmlformats.org/officeDocument/2006/relationships/hyperlink" Id="rId87" Target="https://doi.org/10.1111/j.1467-9868.2010.00749.x" TargetMode="External" /><Relationship Type="http://schemas.openxmlformats.org/officeDocument/2006/relationships/hyperlink" Id="rId72" Target="https://drive.google.com/drive/folders/1-vIRAsuZQmQEXZk-0FwqsjhSex0GDu7-?usp=sharing" TargetMode="External" /><Relationship Type="http://schemas.openxmlformats.org/officeDocument/2006/relationships/hyperlink" Id="rId76" Target="https://drive.google.com/file/d/1-1Jq9vly5EvVwEp698brlBucXjSMDbNn/view?usp=sharing" TargetMode="External" /><Relationship Type="http://schemas.openxmlformats.org/officeDocument/2006/relationships/hyperlink" Id="rId74" Target="https://drive.google.com/file/d/1KARuSC5fGx05MuT1wiOQFWNXysBokkQl/view?usp=share_link" TargetMode="External" /><Relationship Type="http://schemas.openxmlformats.org/officeDocument/2006/relationships/hyperlink" Id="rId90"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8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2026-01-21T22:19:35Z</dcterms:created>
  <dcterms:modified xsi:type="dcterms:W3CDTF">2026-01-21T22:19:35Z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