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31.png" ContentType="image/png"/>
  <Override PartName="/word/media/rId35.png" ContentType="image/png"/>
  <Override PartName="/word/media/rId39.png" ContentType="image/png"/>
  <Override PartName="/word/media/rId51.png" ContentType="image/png"/>
  <Override PartName="/word/media/rId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3" w:name="inroduction"/>
    <w:p>
      <w:pPr>
        <w:pStyle w:val="Heading2"/>
      </w:pPr>
      <w:r>
        <w:t xml:space="preserve">3 Inroduction</w:t>
      </w:r>
    </w:p>
    <w:p>
      <w:pPr>
        <w:pStyle w:val="FirstParagraph"/>
      </w:pPr>
      <w:r>
        <w:t xml:space="preserve">(Testa et al. 2025)</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focus on dominant factors that influence chlorophyll-a. This shift may be particularly important in upper bay segments where long-term nitrogen loads have changed and residence time may be affected by freshwater inflows and barriers to circulation. Overall, this work provides an in-depth assessment of chlorophyll trends for informing the management of water quality under past and contemporary conditions, with a generalized framework that could be applied in other locations with long-term data.</w:t>
      </w:r>
    </w:p>
    <w:bookmarkEnd w:id="23"/>
    <w:bookmarkStart w:id="28" w:name="methods"/>
    <w:p>
      <w:pPr>
        <w:pStyle w:val="Heading2"/>
      </w:pPr>
      <w:r>
        <w:t xml:space="preserve">4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for seagrasses, macroalgae, oysters, tidal flats, and hard bottom. Average depth of the bay is 11 ft with a maximum depth of 43 feet in the dredged shipping channels that traverse the longitudinal axis. The bay is divided into four major segments defined by physical and natural boundaries, with Old Tampa Bay (OTB) in the northwest, Hillsborough Bay (HB) in the norteast, Middle Tampa Bay (MTB), and Lower Tampa Bay (LTB) at the southernmost extent that exchanges with the Gulf of Mexico.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 Major inflows enter HB via the Hillsborough and Alafia Rivers, MTB via the Little Manatee river, and LTB via the Manatee River. Notably, OTB has four major bridges with substantial causeways that impede circulation.</w:t>
      </w:r>
    </w:p>
    <w:p>
      <w:pPr>
        <w:pStyle w:val="BodyText"/>
      </w:pPr>
      <w:r>
        <w:t xml:space="preserve">Long-term monitoring data for Tampa Bay were obtained from the Environmental Protection Commission of Hillsborough County. This program has been ongoing since the mid-1970s, with monthly sampling at fixed stations throughout the bay.</w:t>
      </w:r>
    </w:p>
    <w:bookmarkStart w:id="24" w:name="data-processing"/>
    <w:p>
      <w:pPr>
        <w:pStyle w:val="Heading3"/>
      </w:pPr>
      <w:r>
        <w:t xml:space="preserve">4.1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4"/>
    <w:bookmarkStart w:id="25" w:name="gams"/>
    <w:p>
      <w:pPr>
        <w:pStyle w:val="Heading3"/>
      </w:pPr>
      <w:r>
        <w:t xml:space="preserve">4.2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 and</w:t>
      </w:r>
      <w:r>
        <w:t xml:space="preserve"> </w:t>
      </w:r>
      <m:oMath>
        <m:sSub>
          <m:e>
            <m:r>
              <m:t>f</m:t>
            </m:r>
          </m:e>
          <m:sub>
            <m:r>
              <m:t>23</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5"/>
    <w:bookmarkStart w:id="26" w:name="X76cddf9583b502cf49d60a22feb10f6a81aad30"/>
    <w:p>
      <w:pPr>
        <w:pStyle w:val="Heading3"/>
      </w:pPr>
      <w:r>
        <w:t xml:space="preserve">4.3 Partitioning Drivers of Chlorophyll Changes</w:t>
      </w:r>
    </w:p>
    <w:bookmarkEnd w:id="26"/>
    <w:bookmarkStart w:id="27" w:name="X82026799b3307457963ec31cd05ff83c81fd279"/>
    <w:p>
      <w:pPr>
        <w:pStyle w:val="Heading3"/>
      </w:pPr>
      <w:r>
        <w:t xml:space="preserve">4.4 Likelihood of Exceeding Regulatory Criteria</w:t>
      </w:r>
    </w:p>
    <w:p>
      <w:pPr>
        <w:pStyle w:val="FirstParagraph"/>
      </w:pPr>
      <w:r>
        <w:t xml:space="preserve">Make a note about forecasting with GAMs, they are tricky because the polynomial surfaces behave poorly outside of the range of the observed data.</w:t>
      </w:r>
    </w:p>
    <w:bookmarkEnd w:id="27"/>
    <w:bookmarkEnd w:id="28"/>
    <w:bookmarkStart w:id="29" w:name="results"/>
    <w:p>
      <w:pPr>
        <w:pStyle w:val="Heading2"/>
      </w:pPr>
      <w:r>
        <w:t xml:space="preserve">5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4</w:t>
        </w:r>
      </w:hyperlink>
      <w:r>
        <w:t xml:space="preserve">,</w:t>
      </w:r>
      <w:r>
        <w:t xml:space="preserve"> </w:t>
      </w:r>
      <w:hyperlink w:anchor="fig-salvload">
        <w:r>
          <w:rPr>
            <w:rStyle w:val="Hyperlink"/>
          </w:rPr>
          <w:t xml:space="preserve">Figure 3</w:t>
        </w:r>
      </w:hyperlink>
      <w:r>
        <w:t xml:space="preserve">,</w:t>
      </w:r>
      <w:r>
        <w:t xml:space="preserve"> </w:t>
      </w:r>
      <w:hyperlink w:anchor="fig-simplo">
        <w:r>
          <w:rPr>
            <w:rStyle w:val="Hyperlink"/>
          </w:rPr>
          <w:t xml:space="preserve">Figure 5</w:t>
        </w:r>
      </w:hyperlink>
      <w:r>
        <w:t xml:space="preserve">,</w:t>
      </w:r>
      <w:r>
        <w:t xml:space="preserve"> </w:t>
      </w:r>
      <w:hyperlink w:anchor="fig-simex">
        <w:r>
          <w:rPr>
            <w:rStyle w:val="Hyperlink"/>
          </w:rPr>
          <w:t xml:space="preserve">Figure 6</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prdnrmtab">
        <w:r>
          <w:rPr>
            <w:rStyle w:val="Hyperlink"/>
          </w:rPr>
          <w:t xml:space="preserve">Table 3</w:t>
        </w:r>
      </w:hyperlink>
      <w:r>
        <w:t xml:space="preserve">,</w:t>
      </w:r>
      <w:r>
        <w:t xml:space="preserve"> </w:t>
      </w:r>
      <w:hyperlink w:anchor="tbl-liktab">
        <w:r>
          <w:rPr>
            <w:rStyle w:val="Hyperlink"/>
          </w:rPr>
          <w:t xml:space="preserve">Table 4</w:t>
        </w:r>
      </w:hyperlink>
    </w:p>
    <w:bookmarkEnd w:id="29"/>
    <w:bookmarkStart w:id="30" w:name="discussion"/>
    <w:p>
      <w:pPr>
        <w:pStyle w:val="Heading2"/>
      </w:pPr>
      <w:r>
        <w:t xml:space="preserve">6 Discussion</w:t>
      </w:r>
    </w:p>
    <w:p>
      <w:pPr>
        <w:pStyle w:val="FirstParagraph"/>
      </w:pPr>
      <w:r>
        <w:t xml:space="preserve">Why do chlorophyll simulations using actual loads at time zero show lower likelihoods of exceeding the threshold than the actual percent of years in the time period that exceeded? For example, in OTB from 2017-2021, 4 of the 5 years exceeded the threshold, producing an expectation that the baseline likelihood would be 80% for the actual load at time zero (observed salinity). First, the actual values for chlorophyll were very close to the threshold. Given the inherent uncertainty in measured data (observational and process uncertainy) and the uncertainty of the models (model uncertainty, affected by both observation and process uncertainty), a lower than expected likelihood of exceeding the threshold for that time period was provided by the simulations. Further, annual exceedances are largely driven by high values during the summer months which produce a higher mean value in a variable that is inherently log-distributed. Because GAMs, like most empirical models, describe the mean response, these high values are poorly described and are not common outputs in the simulated values. So, the likelihoods of exceeding the threshold can be considered underestimates, whereas the more important result is the relative increase in the likelihood over time given projected salinity changes in the future. In other words, all scenarios suggested greater exceedances of regulatory thresholds from present to fifty years.</w:t>
      </w:r>
    </w:p>
    <w:p>
      <w:r>
        <w:br w:type="page"/>
      </w:r>
    </w:p>
    <w:bookmarkEnd w:id="30"/>
    <w:bookmarkStart w:id="5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4" w:name="fig-obsprd"/>
          <w:p>
            <w:pPr>
              <w:pStyle w:val="Compact"/>
              <w:jc w:val="center"/>
            </w:pPr>
            <w:r>
              <w:drawing>
                <wp:inline>
                  <wp:extent cx="5943600" cy="6686549"/>
                  <wp:effectExtent b="0" l="0" r="0" t="0"/>
                  <wp:docPr descr="" title="" id="32" name="Picture"/>
                  <a:graphic>
                    <a:graphicData uri="http://schemas.openxmlformats.org/drawingml/2006/picture">
                      <pic:pic>
                        <pic:nvPicPr>
                          <pic:cNvPr descr="figs/obsprd.png" id="33" name="Picture"/>
                          <pic:cNvPicPr>
                            <a:picLocks noChangeArrowheads="1" noChangeAspect="1"/>
                          </pic:cNvPicPr>
                        </pic:nvPicPr>
                        <pic:blipFill>
                          <a:blip r:embed="rId31"/>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4"/>
        </w:tc>
      </w:tr>
    </w:tbl>
    <w:p>
      <w:r>
        <w:br w:type="page"/>
      </w:r>
    </w:p>
    <w:tbl>
      <w:tblPr>
        <w:tblStyle w:val="Table"/>
        <w:tblW w:type="pct" w:w="5000"/>
        <w:tblLayout w:type="fixed"/>
        <w:tblLook w:firstRow="0" w:lastRow="0" w:firstColumn="0" w:lastColumn="0" w:noHBand="0" w:noVBand="0" w:val="0000"/>
      </w:tblPr>
      <w:tblGrid>
        <w:gridCol w:w="7920"/>
      </w:tblGrid>
      <w:tr>
        <w:tc>
          <w:tcPr/>
          <w:bookmarkStart w:id="38" w:name="fig-prdnrm"/>
          <w:p>
            <w:pPr>
              <w:pStyle w:val="Compact"/>
              <w:jc w:val="center"/>
            </w:pPr>
            <w:r>
              <w:drawing>
                <wp:inline>
                  <wp:extent cx="5943600" cy="4245428"/>
                  <wp:effectExtent b="0" l="0" r="0" t="0"/>
                  <wp:docPr descr="" title="" id="36" name="Picture"/>
                  <a:graphic>
                    <a:graphicData uri="http://schemas.openxmlformats.org/drawingml/2006/picture">
                      <pic:pic>
                        <pic:nvPicPr>
                          <pic:cNvPr descr="figs/prdnrm.png" id="37" name="Picture"/>
                          <pic:cNvPicPr>
                            <a:picLocks noChangeArrowheads="1" noChangeAspect="1"/>
                          </pic:cNvPicPr>
                        </pic:nvPicPr>
                        <pic:blipFill>
                          <a:blip r:embed="rId3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38"/>
        </w:tc>
      </w:tr>
    </w:tbl>
    <w:p>
      <w:r>
        <w:br w:type="page"/>
      </w:r>
    </w:p>
    <w:tbl>
      <w:tblPr>
        <w:tblStyle w:val="Table"/>
        <w:tblW w:type="pct" w:w="5000"/>
        <w:tblLayout w:type="fixed"/>
        <w:tblLook w:firstRow="0" w:lastRow="0" w:firstColumn="0" w:lastColumn="0" w:noHBand="0" w:noVBand="0" w:val="0000"/>
      </w:tblPr>
      <w:tblGrid>
        <w:gridCol w:w="7920"/>
      </w:tblGrid>
      <w:tr>
        <w:tc>
          <w:tcPr/>
          <w:bookmarkStart w:id="42" w:name="fig-salvload"/>
          <w:p>
            <w:pPr>
              <w:pStyle w:val="Compact"/>
              <w:jc w:val="center"/>
            </w:pPr>
            <w:r>
              <w:drawing>
                <wp:inline>
                  <wp:extent cx="5943600" cy="7528559"/>
                  <wp:effectExtent b="0" l="0" r="0" t="0"/>
                  <wp:docPr descr="" title="" id="40" name="Picture"/>
                  <a:graphic>
                    <a:graphicData uri="http://schemas.openxmlformats.org/drawingml/2006/picture">
                      <pic:pic>
                        <pic:nvPicPr>
                          <pic:cNvPr descr="figs/salvload.png" id="41" name="Picture"/>
                          <pic:cNvPicPr>
                            <a:picLocks noChangeArrowheads="1" noChangeAspect="1"/>
                          </pic:cNvPicPr>
                        </pic:nvPicPr>
                        <pic:blipFill>
                          <a:blip r:embed="rId39"/>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3: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42"/>
        </w:tc>
      </w:tr>
    </w:tbl>
    <w:p>
      <w:r>
        <w:br w:type="page"/>
      </w:r>
    </w:p>
    <w:tbl>
      <w:tblPr>
        <w:tblStyle w:val="Table"/>
        <w:tblW w:type="pct" w:w="5000"/>
        <w:tblLayout w:type="fixed"/>
        <w:tblLook w:firstRow="0" w:lastRow="0" w:firstColumn="0" w:lastColumn="0" w:noHBand="0" w:noVBand="0" w:val="0000"/>
      </w:tblPr>
      <w:tblGrid>
        <w:gridCol w:w="7920"/>
      </w:tblGrid>
      <w:tr>
        <w:tc>
          <w:tcPr/>
          <w:bookmarkStart w:id="46" w:name="fig-gridplo"/>
          <w:p>
            <w:pPr>
              <w:pStyle w:val="Compact"/>
              <w:jc w:val="center"/>
            </w:pPr>
            <w:r>
              <w:drawing>
                <wp:inline>
                  <wp:extent cx="5943600" cy="4754880"/>
                  <wp:effectExtent b="0" l="0" r="0" t="0"/>
                  <wp:docPr descr="" title="" id="44" name="Picture"/>
                  <a:graphic>
                    <a:graphicData uri="http://schemas.openxmlformats.org/drawingml/2006/picture">
                      <pic:pic>
                        <pic:nvPicPr>
                          <pic:cNvPr descr="figs/gridplo.png" id="45" name="Picture"/>
                          <pic:cNvPicPr>
                            <a:picLocks noChangeArrowheads="1" noChangeAspect="1"/>
                          </pic:cNvPicPr>
                        </pic:nvPicPr>
                        <pic:blipFill>
                          <a:blip r:embed="rId4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 4: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Grey lines show the chlorophyll contour value for the regulatory threshold for each bay segment. OTB: Old Tampa Bay; HB: Hillsborough Bay; MTB: Middle Tampa Bay; LTB: Lower Tampa Bay.</w:t>
            </w:r>
          </w:p>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50" w:name="fig-simplo"/>
          <w:p>
            <w:pPr>
              <w:pStyle w:val="Compact"/>
              <w:jc w:val="center"/>
            </w:pPr>
            <w:r>
              <w:drawing>
                <wp:inline>
                  <wp:extent cx="5943600" cy="5943600"/>
                  <wp:effectExtent b="0" l="0" r="0" t="0"/>
                  <wp:docPr descr="" title="" id="48" name="Picture"/>
                  <a:graphic>
                    <a:graphicData uri="http://schemas.openxmlformats.org/drawingml/2006/picture">
                      <pic:pic>
                        <pic:nvPicPr>
                          <pic:cNvPr descr="figs/simplo.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Likelihood of exceeding regulatory thresholds in each bay segment under different loading conditions and salinity changes. Results for two time periods are shown where starting conditions were those from 1992 to 1994 (red) and from 2017 to 2021 (blue). Line show the average and standard deviations of likelihoods of exceeding the thresholds for 10,000 simulations with each GAM by bay segment. OTB: Old Tampa Bay; HB: Hillsborough Bay; MTB: Middle Tampa Bay; LTB: Lower Tampa Bay.</w:t>
            </w:r>
          </w:p>
          <w:bookmarkEnd w:id="50"/>
        </w:tc>
      </w:tr>
    </w:tbl>
    <w:p>
      <w:r>
        <w:br w:type="page"/>
      </w:r>
    </w:p>
    <w:tbl>
      <w:tblPr>
        <w:tblStyle w:val="Table"/>
        <w:tblW w:type="pct" w:w="5000"/>
        <w:tblLayout w:type="fixed"/>
        <w:tblLook w:firstRow="0" w:lastRow="0" w:firstColumn="0" w:lastColumn="0" w:noHBand="0" w:noVBand="0" w:val="0000"/>
      </w:tblPr>
      <w:tblGrid>
        <w:gridCol w:w="7920"/>
      </w:tblGrid>
      <w:tr>
        <w:tc>
          <w:tcPr/>
          <w:bookmarkStart w:id="54" w:name="fig-simex"/>
          <w:p>
            <w:pPr>
              <w:pStyle w:val="Compact"/>
              <w:jc w:val="center"/>
            </w:pPr>
            <w:r>
              <w:drawing>
                <wp:inline>
                  <wp:extent cx="4587290" cy="5504749"/>
                  <wp:effectExtent b="0" l="0" r="0" t="0"/>
                  <wp:docPr descr="" title="" id="52" name="Picture"/>
                  <a:graphic>
                    <a:graphicData uri="http://schemas.openxmlformats.org/drawingml/2006/picture">
                      <pic:pic>
                        <pic:nvPicPr>
                          <pic:cNvPr descr="figs/simex.png" id="53" name="Picture"/>
                          <pic:cNvPicPr>
                            <a:picLocks noChangeArrowheads="1" noChangeAspect="1"/>
                          </pic:cNvPicPr>
                        </pic:nvPicPr>
                        <pic:blipFill>
                          <a:blip r:embed="rId51"/>
                          <a:stretch>
                            <a:fillRect/>
                          </a:stretch>
                        </pic:blipFill>
                        <pic:spPr bwMode="auto">
                          <a:xfrm>
                            <a:off x="0" y="0"/>
                            <a:ext cx="4587290"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6: Example simulations of chlorophyll-a for Old Tampa Bay for the period 2017 to 2021. One hundred simulations are shown for the first year where salinity is set at observed and those for expected salinity fifty years from present. Nitrogen load values are set to observed. Mean chlorophyll across the simulations are shown by the black loess smooth, whereas actual mean annual chlorophyll is shown by the blue line. The regulatory threshold is shown by the horizontal red line.</w:t>
            </w:r>
          </w:p>
          <w:bookmarkEnd w:id="54"/>
        </w:tc>
      </w:tr>
    </w:tbl>
    <w:p>
      <w:r>
        <w:br w:type="page"/>
      </w:r>
    </w:p>
    <w:bookmarkEnd w:id="55"/>
    <w:bookmarkStart w:id="6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56"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0.743</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0.015</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0.724</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0.342</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0.205</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0.094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0.004</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0.001</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0.013</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0.176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0.029</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0.167</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0.037</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0.329</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0.128</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0.021</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0.024</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0.998</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0.978</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0.640</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0.034</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bl>
          <w:bookmarkEnd w:id="56"/>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2"/>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67676"/>
                    </w:rPr>
                    <w:t xml:space="preserve">0.46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0.83</w:t>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E5E5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23232"/>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52525"/>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55555"/>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C6C6C"/>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D5D5D"/>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24242"/>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3D3D3D"/>
                    </w:rPr>
                    <w:t xml:space="preserve">0.72</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86868"/>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404040"/>
                    </w:rPr>
                    <w:t xml:space="preserve">0.71</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C1C1C"/>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0.85</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C2C2C"/>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9595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1616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F1F1F"/>
                    </w:rPr>
                    <w:t xml:space="preserve">0.81</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7373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F1F1F"/>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0.82</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5757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C2C2C"/>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1515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2424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E8E8E"/>
                    </w:rPr>
                    <w:t xml:space="preserve">0.43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D7D7D"/>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87878"/>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0.40</w:t>
                  </w:r>
                </w:p>
              </w:tc>
            </w:tr>
          </w:tbl>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58"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500"/>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E5E5E"/>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97979"/>
                    </w:rPr>
                    <w:t xml:space="preserve">1.41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33333"/>
                    </w:rPr>
                    <w:t xml:space="preserve">2.17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08080"/>
                    </w:rPr>
                    <w:t xml:space="preserve">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0.39</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F7F7F"/>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26262"/>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27272"/>
                    </w:rPr>
                    <w:t xml:space="preserve">1.01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1.71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0.67</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2.84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4.74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000000"/>
                    </w:rPr>
                    <w:t xml:space="preserve">3.06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72727"/>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94949"/>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45454"/>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D4D4D"/>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0303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B4B4B"/>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A5A5A"/>
                    </w:rPr>
                    <w:t xml:space="preserve">2.35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1.75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464646"/>
                    </w:rPr>
                    <w:t xml:space="preserve">0.38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3.79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1.53</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56565"/>
                    </w:rPr>
                    <w:t xml:space="preserve">1.25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56565"/>
                    </w:rPr>
                    <w:t xml:space="preserve">2.04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65656"/>
                    </w:rPr>
                    <w:t xml:space="preserve">1.65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0.21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78787"/>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0.16</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8383"/>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B7B7B"/>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0.22</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D7D7D"/>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96969"/>
                    </w:rPr>
                    <w:t xml:space="preserve">1.92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0.21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8E8E"/>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0.19</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28282"/>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0.15</w:t>
                  </w:r>
                </w:p>
              </w:tc>
            </w:tr>
          </w:tbl>
          <w:bookmarkEnd w:id="58"/>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tbl-liktab"/>
          <w:p>
            <w:pPr>
              <w:jc w:val="center"/>
            </w:pPr>
            <w:pPr>
              <w:jc w:val="left"/>
              <w:spacing w:before="200"/>
              <w:pStyle w:val="ImageCaption"/>
            </w:pPr>
            <w:r>
              <w:t xml:space="preserve">Table 4: Likelihoods of exceeding regulatory chlorophyll-a thresholds for each bay segment by simulated time period and loading scenarios under projected future salinity changes. Results shown are likelihoods with standard deviations and the relative changes from present for years 25 and 50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81"/>
              <w:gridCol w:w="1281"/>
              <w:gridCol w:w="1281"/>
              <w:gridCol w:w="128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(20.9,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47.6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(19.1, ↑6.8)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(20.5,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44.8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(21.3, ↑20.7)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↑21.4)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(17.1, ↑13.7)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(18.5)</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(18.6, ↑1.4)</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(2.7, ↑0.2)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(18.4, ↑2.2)</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≈0)</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≈0)</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↑0.3)</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(9.3,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↑1.2)</w:t>
                  </w:r>
                </w:p>
              </w:tc>
            </w:tr>
          </w:tbl>
          <w:bookmarkEnd w:id="59"/>
        </w:tc>
      </w:tr>
    </w:tbl>
    <w:p>
      <w:r>
        <w:br w:type="page"/>
      </w:r>
    </w:p>
    <w:bookmarkEnd w:id="60"/>
    <w:bookmarkStart w:id="62"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1">
        <w:r>
          <w:rPr>
            <w:rStyle w:val="Hyperlink"/>
          </w:rPr>
          <w:t xml:space="preserve">https://github.com/tbep-tech/chlhydro-manu</w:t>
        </w:r>
      </w:hyperlink>
      <w:r>
        <w:t xml:space="preserve">.</w:t>
      </w:r>
    </w:p>
    <w:bookmarkEnd w:id="62"/>
    <w:bookmarkStart w:id="63"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63"/>
    <w:bookmarkStart w:id="67" w:name="statements-and-declarations"/>
    <w:p>
      <w:pPr>
        <w:pStyle w:val="Heading2"/>
      </w:pPr>
      <w:r>
        <w:t xml:space="preserve">Statements and Declarations</w:t>
      </w:r>
    </w:p>
    <w:bookmarkStart w:id="64"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64"/>
    <w:bookmarkStart w:id="65"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65"/>
    <w:bookmarkStart w:id="66"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66"/>
    <w:bookmarkEnd w:id="67"/>
    <w:bookmarkStart w:id="73" w:name="references"/>
    <w:p>
      <w:pPr>
        <w:pStyle w:val="Heading2"/>
      </w:pPr>
      <w:r>
        <w:t xml:space="preserve">References</w:t>
      </w:r>
    </w:p>
    <w:bookmarkStart w:id="72" w:name="refs"/>
    <w:bookmarkStart w:id="69" w:name="ref-SWFWMD25"/>
    <w:p>
      <w:pPr>
        <w:pStyle w:val="Bibliography"/>
      </w:pPr>
      <w:r>
        <w:t xml:space="preserve">Southwest Florida Water Management District. 2025.</w:t>
      </w:r>
      <w:r>
        <w:t xml:space="preserve"> </w:t>
      </w:r>
      <w:hyperlink r:id="rId68">
        <w:r>
          <w:rPr>
            <w:rStyle w:val="Hyperlink"/>
          </w:rPr>
          <w:t xml:space="preserve">2023 land use land cover shapefile for SWFWMD</w:t>
        </w:r>
      </w:hyperlink>
      <w:r>
        <w:t xml:space="preserve">.</w:t>
      </w:r>
    </w:p>
    <w:bookmarkEnd w:id="69"/>
    <w:bookmarkStart w:id="71"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70">
        <w:r>
          <w:rPr>
            <w:rStyle w:val="Hyperlink"/>
          </w:rPr>
          <w:t xml:space="preserve">https://doi.org/10.1111/1752-1688.70070</w:t>
        </w:r>
      </w:hyperlink>
      <w:r>
        <w:t xml:space="preserve">.</w:t>
      </w:r>
    </w:p>
    <w:bookmarkEnd w:id="71"/>
    <w:bookmarkEnd w:id="72"/>
    <w:bookmarkEnd w:id="7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hyperlink" Id="rId70" Target="https://doi.org/10.1111/1752-1688.70070" TargetMode="External" /><Relationship Type="http://schemas.openxmlformats.org/officeDocument/2006/relationships/hyperlink" Id="rId61" Target="https://github.com/tbep-tech/chlhydro-manu" TargetMode="External" /><Relationship Type="http://schemas.openxmlformats.org/officeDocument/2006/relationships/hyperlink" Id="rId68"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111/1752-1688.70070" TargetMode="External" /><Relationship Type="http://schemas.openxmlformats.org/officeDocument/2006/relationships/hyperlink" Id="rId61" Target="https://github.com/tbep-tech/chlhydro-manu" TargetMode="External" /><Relationship Type="http://schemas.openxmlformats.org/officeDocument/2006/relationships/hyperlink" Id="rId68"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2026-01-20T16:26:14Z</dcterms:created>
  <dcterms:modified xsi:type="dcterms:W3CDTF">2026-01-20T16:26:14Z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