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29.png" ContentType="image/png"/>
  <Override PartName="/word/media/rId33.png" ContentType="image/png"/>
  <Override PartName="/word/media/rId37.png" ContentType="image/png"/>
  <Override PartName="/word/media/rId49.png" ContentType="image/png"/>
  <Override PartName="/word/media/rId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inroduction"/>
    <w:p>
      <w:pPr>
        <w:pStyle w:val="Heading2"/>
      </w:pPr>
      <w:r>
        <w:t xml:space="preserve">1 Inroduction</w:t>
      </w:r>
    </w:p>
    <w:p>
      <w:pPr>
        <w:pStyle w:val="FirstParagraph"/>
      </w:pPr>
      <w:r>
        <w:t xml:space="preserve">(Testa et al. 2025)</w:t>
      </w:r>
    </w:p>
    <w:p>
      <w:pPr>
        <w:pStyle w:val="BodyText"/>
      </w:pPr>
      <w:r>
        <w:t xml:space="preserve">Nitrogen loads in Tampa Bay have been reduced substantially since the 1970s due to concerted efforts to quantify and manage external nutrient inputs.</w:t>
      </w:r>
    </w:p>
    <w:p>
      <w:pPr>
        <w:pStyle w:val="BodyText"/>
      </w:pPr>
      <w:r>
        <w:t xml:space="preserve">WRTDS vs GAMs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1"/>
    <w:bookmarkStart w:id="26"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Average depth of the bay is 11 ft with a maximum depth of 43 feet in the dredged shipping channels that primarily traverse the longitudinal axis. The bay is divided into four major segments defined by physical and natural boundaries, with Old Tampa Bay (OTB) in the northwest, Hillsborough Bay (HB) in the northeast,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Ni~no vs La Ni~na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reporting and compliance assessment is provided to the Florida Department of Environmental Protection. Regulatory criteria for chlorophyll-a apply to each bay segment, such that consecutive exceedances greater than two years in a row require an assessment of the assimilative capacity for the segment where the exceedance occurred. The assimilative capacity for each bay segment is currently defined by a maximum annual nitrogen loading beyond which negative water quality outcomes are expected if exceeded. Chlorophyll and nitrogen loading thresholds for each bay segment were established primarily to maintain a light environment supportive of seagrass growth. Efforts of the TBNMC to manage external nutrient loads have contributed in part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2"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Surface chlorophyll-a and salinity observations at each station were averaged by month for each bay segment, with salinity being averaged across bottom, mid, and surface depth measurements. Salinity and chlorophyll gaps were filled using linear interpolation between observed values, where the maximum gap filled was three months. Salinity gaps accounted for less than 5% of the observations for each bay segment. Chlorophyll gaps were primarily bserved during the beginning of the COVID-19 pandemic in 2020 when sampling did not occur and only accounted for 2 to 3 observations per bay segment. Monthly data from 1985 to present by bay segment were used for analysis to coincide with the period of record for the nutrient loading data.</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based on external source, including domestic point-sources (wastewater treatment effluent, reclaimed water), industrial point sources, non-point sources, atmospheric deposition, groundwater/springs, and material losses from nutrients entering the bay through port/shipping activities. Methods for calculating point source loads are straightforward and are derived from reported flow and concentration data for every permitted entity in the Tampa Bay watershed. Conversely, non-point source loads are estimated from gauged and ungauged portions of the watershed by combining rainfall and flow estimates with event mean concentration data by land use and soil type. Atmospheric deposition is estimated using rainfall and airshed chemical constituent data obtained from the Verna well-field long-term air quality monitoring site. Groundwater loading is estimated from aquifer concentration data combined with potentiometric sub-surface flow data, wheras springs loadings are calculated dircectly from discharge and concentration data measured at each location. Finally, material losses are based on a loss factor per unit shipped at each port location. For the purpose of this analysis, no distinction is made between load sources such that the total load as the sum across sources was used for modelling. However, it is noted that trends by sources have varied by location, e.g., non-point source loads have increased in OTB, whereas point sources have decreased</w:t>
      </w:r>
      <w:r>
        <w:t xml:space="preserve"> </w:t>
      </w:r>
      <w:r>
        <w:t xml:space="preserve">(Janicki et al. 2023)</w:t>
      </w:r>
      <w:r>
        <w:t xml:space="preserve">.</w:t>
      </w:r>
    </w:p>
    <w:bookmarkEnd w:id="22"/>
    <w:bookmarkStart w:id="23"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date expressed as decimal time (e.g., July 1st 2017 is 2017.5) and as day of year to capture a seasonal component. Each predictor was evaluated as an additive smooth to quantify an individual assocation with chlorophyll-a, whereas interaction smoothers where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(as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 rho), indicating a time-correlated variance structure was not needed for the models.</w:t>
      </w:r>
    </w:p>
    <w:p>
      <w:pPr>
        <w:pStyle w:val="BodyText"/>
      </w:pPr>
      <w:r>
        <w:t xml:space="preserve">In addition to predicted chlorophyll-a, the GAMs can be used to created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p>
      <w:pPr>
        <w:pStyle w:val="FirstParagraph"/>
      </w:pPr>
      <w:r>
        <w:t xml:space="preserve">The final set of predictions for each bay segment were salinity-normalized predictions at mean loading, which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appraoch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summary statistics for GAMs.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3"/>
    <w:bookmarkStart w:id="24"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at mean loading predictions.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oligohalien,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influences chlorophyll for that time period.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4"/>
    <w:bookmarkStart w:id="25"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long-term slope of a linear regression from 1975 to present for the annual average salinities for each bay segment, i.e., to obtain estimated change in ppth per year. Loading scenarios were assessed under four different conditions - current load, loading at the TMDL threshold, half the threshold, and twice the threshold. The simulations and scenarios were applied to specific blocks of time in the observed period of record for each bay segment, e.g., 2010 to present.Changes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5"/>
    <w:bookmarkEnd w:id="26"/>
    <w:bookmarkStart w:id="27" w:name="results"/>
    <w:p>
      <w:pPr>
        <w:pStyle w:val="Heading2"/>
      </w:pPr>
      <w:r>
        <w:t xml:space="preserve">3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liktab">
        <w:r>
          <w:rPr>
            <w:rStyle w:val="Hyperlink"/>
          </w:rPr>
          <w:t xml:space="preserve">Table 4</w:t>
        </w:r>
      </w:hyperlink>
    </w:p>
    <w:bookmarkEnd w:id="27"/>
    <w:bookmarkStart w:id="28" w:name="discussion"/>
    <w:p>
      <w:pPr>
        <w:pStyle w:val="Heading2"/>
      </w:pPr>
      <w:r>
        <w:t xml:space="preserve">4 Discussion</w:t>
      </w:r>
    </w:p>
    <w:p>
      <w:pPr>
        <w:pStyle w:val="FirstParagraph"/>
      </w:pPr>
      <w:r>
        <w:t xml:space="preserve">Why was this particular GAM structure chosen, e.g., decimal time and doy as opposed to decimal time with large k?</w:t>
      </w:r>
    </w:p>
    <w:p>
      <w:pPr>
        <w:pStyle w:val="BodyText"/>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28"/>
    <w:bookmarkStart w:id="5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2" w:name="fig-obsprd"/>
          <w:p>
            <w:pPr>
              <w:pStyle w:val="Compact"/>
              <w:jc w:val="center"/>
            </w:pPr>
            <w:r>
              <w:drawing>
                <wp:inline>
                  <wp:extent cx="5943600" cy="6686549"/>
                  <wp:effectExtent b="0" l="0" r="0" t="0"/>
                  <wp:docPr descr="" title="" id="30" name="Picture"/>
                  <a:graphic>
                    <a:graphicData uri="http://schemas.openxmlformats.org/drawingml/2006/picture">
                      <pic:pic>
                        <pic:nvPicPr>
                          <pic:cNvPr descr="figs/obsprd.png" id="31" name="Picture"/>
                          <pic:cNvPicPr>
                            <a:picLocks noChangeArrowheads="1" noChangeAspect="1"/>
                          </pic:cNvPicPr>
                        </pic:nvPicPr>
                        <pic:blipFill>
                          <a:blip r:embed="rId29"/>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2"/>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prdnrm"/>
          <w:p>
            <w:pPr>
              <w:pStyle w:val="Compact"/>
              <w:jc w:val="center"/>
            </w:pPr>
            <w:r>
              <w:drawing>
                <wp:inline>
                  <wp:extent cx="5943600" cy="4245428"/>
                  <wp:effectExtent b="0" l="0" r="0" t="0"/>
                  <wp:docPr descr="" title="" id="34" name="Picture"/>
                  <a:graphic>
                    <a:graphicData uri="http://schemas.openxmlformats.org/drawingml/2006/picture">
                      <pic:pic>
                        <pic:nvPicPr>
                          <pic:cNvPr descr="figs/prdnrm.png" id="35" name="Picture"/>
                          <pic:cNvPicPr>
                            <a:picLocks noChangeArrowheads="1" noChangeAspect="1"/>
                          </pic:cNvPicPr>
                        </pic:nvPicPr>
                        <pic:blipFill>
                          <a:blip r:embed="rId3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salvload"/>
          <w:p>
            <w:pPr>
              <w:pStyle w:val="Compact"/>
              <w:jc w:val="center"/>
            </w:pPr>
            <w:r>
              <w:drawing>
                <wp:inline>
                  <wp:extent cx="5943600" cy="7528559"/>
                  <wp:effectExtent b="0" l="0" r="0" t="0"/>
                  <wp:docPr descr="" title="" id="38" name="Picture"/>
                  <a:graphic>
                    <a:graphicData uri="http://schemas.openxmlformats.org/drawingml/2006/picture">
                      <pic:pic>
                        <pic:nvPicPr>
                          <pic:cNvPr descr="figs/salvload.png" id="39" name="Picture"/>
                          <pic:cNvPicPr>
                            <a:picLocks noChangeArrowheads="1" noChangeAspect="1"/>
                          </pic:cNvPicPr>
                        </pic:nvPicPr>
                        <pic:blipFill>
                          <a:blip r:embed="rId37"/>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gridplo"/>
          <w:p>
            <w:pPr>
              <w:pStyle w:val="Compact"/>
              <w:jc w:val="center"/>
            </w:pPr>
            <w:r>
              <w:drawing>
                <wp:inline>
                  <wp:extent cx="5943600" cy="4754880"/>
                  <wp:effectExtent b="0" l="0" r="0" t="0"/>
                  <wp:docPr descr="" title="" id="42" name="Picture"/>
                  <a:graphic>
                    <a:graphicData uri="http://schemas.openxmlformats.org/drawingml/2006/picture">
                      <pic:pic>
                        <pic:nvPicPr>
                          <pic:cNvPr descr="figs/gridplo.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fig-simplo"/>
          <w:p>
            <w:pPr>
              <w:pStyle w:val="Compact"/>
              <w:jc w:val="center"/>
            </w:pPr>
            <w:r>
              <w:drawing>
                <wp:inline>
                  <wp:extent cx="5943600" cy="5943600"/>
                  <wp:effectExtent b="0" l="0" r="0" t="0"/>
                  <wp:docPr descr="" title="" id="46" name="Picture"/>
                  <a:graphic>
                    <a:graphicData uri="http://schemas.openxmlformats.org/drawingml/2006/picture">
                      <pic:pic>
                        <pic:nvPicPr>
                          <pic:cNvPr descr="figs/simplo.png" id="47" name="Picture"/>
                          <pic:cNvPicPr>
                            <a:picLocks noChangeArrowheads="1" noChangeAspect="1"/>
                          </pic:cNvPicPr>
                        </pic:nvPicPr>
                        <pic:blipFill>
                          <a:blip r:embed="rId4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48"/>
        </w:tc>
      </w:tr>
    </w:tbl>
    <w:p>
      <w:r>
        <w:br w:type="page"/>
      </w:r>
    </w:p>
    <w:tbl>
      <w:tblPr>
        <w:tblStyle w:val="Table"/>
        <w:tblW w:type="pct" w:w="5000"/>
        <w:tblLayout w:type="fixed"/>
        <w:tblLook w:firstRow="0" w:lastRow="0" w:firstColumn="0" w:lastColumn="0" w:noHBand="0" w:noVBand="0" w:val="0000"/>
      </w:tblPr>
      <w:tblGrid>
        <w:gridCol w:w="7920"/>
      </w:tblGrid>
      <w:tr>
        <w:tc>
          <w:tcPr/>
          <w:bookmarkStart w:id="52" w:name="fig-simex"/>
          <w:p>
            <w:pPr>
              <w:pStyle w:val="Compact"/>
              <w:jc w:val="center"/>
            </w:pPr>
            <w:r>
              <w:drawing>
                <wp:inline>
                  <wp:extent cx="4587290" cy="5504749"/>
                  <wp:effectExtent b="0" l="0" r="0" t="0"/>
                  <wp:docPr descr="" title="" id="50" name="Picture"/>
                  <a:graphic>
                    <a:graphicData uri="http://schemas.openxmlformats.org/drawingml/2006/picture">
                      <pic:pic>
                        <pic:nvPicPr>
                          <pic:cNvPr descr="figs/simex.png" id="51" name="Picture"/>
                          <pic:cNvPicPr>
                            <a:picLocks noChangeArrowheads="1" noChangeAspect="1"/>
                          </pic:cNvPicPr>
                        </pic:nvPicPr>
                        <pic:blipFill>
                          <a:blip r:embed="rId49"/>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2"/>
        </w:tc>
      </w:tr>
    </w:tbl>
    <w:p>
      <w:r>
        <w:br w:type="page"/>
      </w:r>
    </w:p>
    <w:bookmarkEnd w:id="53"/>
    <w:bookmarkStart w:id="5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4"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4"/>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6"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57"/>
        </w:tc>
      </w:tr>
    </w:tbl>
    <w:p>
      <w:r>
        <w:br w:type="page"/>
      </w:r>
    </w:p>
    <w:bookmarkEnd w:id="58"/>
    <w:bookmarkStart w:id="60"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9">
        <w:r>
          <w:rPr>
            <w:rStyle w:val="Hyperlink"/>
          </w:rPr>
          <w:t xml:space="preserve">https://github.com/tbep-tech/chlhydro-manu</w:t>
        </w:r>
      </w:hyperlink>
      <w:r>
        <w:t xml:space="preserve">.</w:t>
      </w:r>
    </w:p>
    <w:bookmarkEnd w:id="60"/>
    <w:bookmarkStart w:id="61"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1"/>
    <w:bookmarkStart w:id="65" w:name="statements-and-declarations"/>
    <w:p>
      <w:pPr>
        <w:pStyle w:val="Heading2"/>
      </w:pPr>
      <w:r>
        <w:t xml:space="preserve">Statements and Declarations</w:t>
      </w:r>
    </w:p>
    <w:bookmarkStart w:id="62"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2"/>
    <w:bookmarkStart w:id="63"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3"/>
    <w:bookmarkStart w:id="64"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4"/>
    <w:bookmarkEnd w:id="65"/>
    <w:bookmarkStart w:id="101" w:name="references"/>
    <w:p>
      <w:pPr>
        <w:pStyle w:val="Heading2"/>
      </w:pPr>
      <w:r>
        <w:t xml:space="preserve">References</w:t>
      </w:r>
    </w:p>
    <w:bookmarkStart w:id="100" w:name="refs"/>
    <w:bookmarkStart w:id="67" w:name="ref-beck24"/>
    <w:p>
      <w:pPr>
        <w:pStyle w:val="Bibliography"/>
      </w:pPr>
      <w:r>
        <w:t xml:space="preserve">Beck, M. W., K. Flaherty-Walia, S. Scolaro, M. C. Burke, B. T. Furman, D. J. Karlen, C. Pratt, C. J. Anastasiou, and E. T. Sherwood. 2024. Hot and fresh: Evidence of climate-related suboptimal water conditions for seagrass in a large gulf coast estuary.</w:t>
      </w:r>
      <w:r>
        <w:t xml:space="preserve"> </w:t>
      </w:r>
      <w:r>
        <w:rPr>
          <w:i/>
          <w:iCs/>
        </w:rPr>
        <w:t xml:space="preserve">Estuaries and Coasts</w:t>
      </w:r>
      <w:r>
        <w:t xml:space="preserve"> </w:t>
      </w:r>
      <w:r>
        <w:t xml:space="preserve">47. Springer: 1475–1497.</w:t>
      </w:r>
      <w:r>
        <w:t xml:space="preserve"> </w:t>
      </w:r>
      <w:hyperlink r:id="rId66">
        <w:r>
          <w:rPr>
            <w:rStyle w:val="Hyperlink"/>
          </w:rPr>
          <w:t xml:space="preserve">https://doi.org/10.1007/s12237-024-01385-0</w:t>
        </w:r>
      </w:hyperlink>
      <w:r>
        <w:t xml:space="preserve">.</w:t>
      </w:r>
    </w:p>
    <w:bookmarkEnd w:id="67"/>
    <w:bookmarkStart w:id="6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68">
        <w:r>
          <w:rPr>
            <w:rStyle w:val="Hyperlink"/>
          </w:rPr>
          <w:t xml:space="preserve">https://doi.org/10.1111/1752-1688.12489</w:t>
        </w:r>
      </w:hyperlink>
      <w:r>
        <w:t xml:space="preserve">.</w:t>
      </w:r>
    </w:p>
    <w:bookmarkEnd w:id="69"/>
    <w:bookmarkStart w:id="70"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70"/>
    <w:bookmarkStart w:id="71"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71"/>
    <w:bookmarkStart w:id="73" w:name="ref-tbep0696"/>
    <w:p>
      <w:pPr>
        <w:pStyle w:val="Bibliography"/>
      </w:pPr>
      <w:r>
        <w:t xml:space="preserve">Janicki, A. J., and D. L. Wade. 1996.</w:t>
      </w:r>
      <w:r>
        <w:t xml:space="preserve"> </w:t>
      </w:r>
      <w:hyperlink r:id="rId72">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06-96. St. Petersburg, Florida: Tampa Bay Estuary Program.</w:t>
      </w:r>
    </w:p>
    <w:bookmarkEnd w:id="73"/>
    <w:bookmarkStart w:id="75" w:name="ref-tbep0400"/>
    <w:p>
      <w:pPr>
        <w:pStyle w:val="Bibliography"/>
      </w:pPr>
      <w:r>
        <w:t xml:space="preserve">Janicki, A. J., D. Wade, and J. R. Pribble. 2000.</w:t>
      </w:r>
      <w:r>
        <w:t xml:space="preserve"> </w:t>
      </w:r>
      <w:hyperlink r:id="rId74">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04-00. St. Petersburg, Florida: Tampa Bay Estuary Program.</w:t>
      </w:r>
    </w:p>
    <w:bookmarkEnd w:id="75"/>
    <w:bookmarkStart w:id="77" w:name="ref-tbep1115"/>
    <w:p>
      <w:pPr>
        <w:pStyle w:val="Bibliography"/>
      </w:pPr>
      <w:r>
        <w:t xml:space="preserve">Janicki Environmental, Inc. 2015.</w:t>
      </w:r>
      <w:r>
        <w:t xml:space="preserve"> </w:t>
      </w:r>
      <w:hyperlink r:id="rId76">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77"/>
    <w:bookmarkStart w:id="79" w:name="ref-tbep0623"/>
    <w:p>
      <w:pPr>
        <w:pStyle w:val="Bibliography"/>
      </w:pPr>
      <w:r>
        <w:t xml:space="preserve">Janicki Environmental, Inc. 2023.</w:t>
      </w:r>
      <w:r>
        <w:t xml:space="preserve"> </w:t>
      </w:r>
      <w:hyperlink r:id="rId78">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79"/>
    <w:bookmarkStart w:id="81" w:name="ref-luther2022"/>
    <w:p>
      <w:pPr>
        <w:pStyle w:val="Bibliography"/>
      </w:pPr>
      <w:r>
        <w:t xml:space="preserve">Luther, M. E., and S. D. Meyers. 2022.</w:t>
      </w:r>
      <w:r>
        <w:t xml:space="preserve"> </w:t>
      </w:r>
      <w:hyperlink r:id="rId80">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81"/>
    <w:bookmarkStart w:id="82"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82"/>
    <w:bookmarkStart w:id="84"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83">
        <w:r>
          <w:rPr>
            <w:rStyle w:val="Hyperlink"/>
          </w:rPr>
          <w:t xml:space="preserve">https://doi.org/10.1016/j.envsoft.2019.03.027</w:t>
        </w:r>
      </w:hyperlink>
      <w:r>
        <w:t xml:space="preserve">.</w:t>
      </w:r>
    </w:p>
    <w:bookmarkEnd w:id="84"/>
    <w:bookmarkStart w:id="86"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85">
        <w:r>
          <w:rPr>
            <w:rStyle w:val="Hyperlink"/>
          </w:rPr>
          <w:t xml:space="preserve">https://doi.org/10.32614/CRAN.package.gratia</w:t>
        </w:r>
      </w:hyperlink>
      <w:r>
        <w:t xml:space="preserve">.</w:t>
      </w:r>
    </w:p>
    <w:bookmarkEnd w:id="86"/>
    <w:bookmarkStart w:id="88" w:name="ref-SWFWMD25"/>
    <w:p>
      <w:pPr>
        <w:pStyle w:val="Bibliography"/>
      </w:pPr>
      <w:r>
        <w:t xml:space="preserve">Southwest Florida Water Management District. 2025.</w:t>
      </w:r>
      <w:r>
        <w:t xml:space="preserve"> </w:t>
      </w:r>
      <w:hyperlink r:id="rId87">
        <w:r>
          <w:rPr>
            <w:rStyle w:val="Hyperlink"/>
          </w:rPr>
          <w:t xml:space="preserve">2023 land use land cover shapefile for SWFWMD</w:t>
        </w:r>
      </w:hyperlink>
      <w:r>
        <w:t xml:space="preserve">.</w:t>
      </w:r>
    </w:p>
    <w:bookmarkEnd w:id="88"/>
    <w:bookmarkStart w:id="90" w:name="ref-tbep0310"/>
    <w:p>
      <w:pPr>
        <w:pStyle w:val="Bibliography"/>
      </w:pPr>
      <w:r>
        <w:t xml:space="preserve">Tampa Bay Nitrogen Management Consortium. 2010.</w:t>
      </w:r>
      <w:r>
        <w:t xml:space="preserve"> </w:t>
      </w:r>
      <w:hyperlink r:id="rId89">
        <w:r>
          <w:rPr>
            <w:rStyle w:val="Hyperlink"/>
            <w:i/>
            <w:iCs/>
          </w:rPr>
          <w:t xml:space="preserve">2009 reasonable assurance addendum: Allocation and assessment report</w:t>
        </w:r>
      </w:hyperlink>
      <w:r>
        <w:t xml:space="preserve">. Technical report 03-10. St. Petersburg, Florida: Tampa Bay Estuary Program.</w:t>
      </w:r>
    </w:p>
    <w:bookmarkEnd w:id="90"/>
    <w:bookmarkStart w:id="9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91">
        <w:r>
          <w:rPr>
            <w:rStyle w:val="Hyperlink"/>
          </w:rPr>
          <w:t xml:space="preserve">https://doi.org/10.1111/1752-1688.70070</w:t>
        </w:r>
      </w:hyperlink>
      <w:r>
        <w:t xml:space="preserve">.</w:t>
      </w:r>
    </w:p>
    <w:bookmarkEnd w:id="92"/>
    <w:bookmarkStart w:id="9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93">
        <w:r>
          <w:rPr>
            <w:rStyle w:val="Hyperlink"/>
          </w:rPr>
          <w:t xml:space="preserve">https://doi.org/10.1007/978-0-387-21706-2</w:t>
        </w:r>
      </w:hyperlink>
      <w:r>
        <w:t xml:space="preserve">.</w:t>
      </w:r>
    </w:p>
    <w:bookmarkEnd w:id="94"/>
    <w:bookmarkStart w:id="96"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95">
        <w:r>
          <w:rPr>
            <w:rStyle w:val="Hyperlink"/>
          </w:rPr>
          <w:t xml:space="preserve">https://doi.org/10.1111/j.1467-9868.2010.00749.x</w:t>
        </w:r>
      </w:hyperlink>
      <w:r>
        <w:t xml:space="preserve">.</w:t>
      </w:r>
    </w:p>
    <w:bookmarkEnd w:id="96"/>
    <w:bookmarkStart w:id="97"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97"/>
    <w:bookmarkStart w:id="99" w:name="ref-tbep0494"/>
    <w:p>
      <w:pPr>
        <w:pStyle w:val="Bibliography"/>
      </w:pPr>
      <w:r>
        <w:t xml:space="preserve">Zarbock, H. W., A. J. Janicki, D. L. Wade, and D. G. Heimbuch. 1994.</w:t>
      </w:r>
      <w:r>
        <w:t xml:space="preserve"> </w:t>
      </w:r>
      <w:hyperlink r:id="rId98">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99"/>
    <w:bookmarkEnd w:id="100"/>
    <w:bookmarkEnd w:id="10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93" Target="https://doi.org/10.1007/978-0-387-21706-2" TargetMode="External" /><Relationship Type="http://schemas.openxmlformats.org/officeDocument/2006/relationships/hyperlink" Id="rId66" Target="https://doi.org/10.1007/s12237-024-01385-0" TargetMode="External" /><Relationship Type="http://schemas.openxmlformats.org/officeDocument/2006/relationships/hyperlink" Id="rId83" Target="https://doi.org/10.1016/j.envsoft.2019.03.027" TargetMode="External" /><Relationship Type="http://schemas.openxmlformats.org/officeDocument/2006/relationships/hyperlink" Id="rId68" Target="https://doi.org/10.1111/1752-1688.12489" TargetMode="External" /><Relationship Type="http://schemas.openxmlformats.org/officeDocument/2006/relationships/hyperlink" Id="rId91" Target="https://doi.org/10.1111/1752-1688.70070" TargetMode="External" /><Relationship Type="http://schemas.openxmlformats.org/officeDocument/2006/relationships/hyperlink" Id="rId95" Target="https://doi.org/10.1111/j.1467-9868.2010.00749.x" TargetMode="External" /><Relationship Type="http://schemas.openxmlformats.org/officeDocument/2006/relationships/hyperlink" Id="rId85" Target="https://doi.org/10.32614/CRAN.package.gratia" TargetMode="External" /><Relationship Type="http://schemas.openxmlformats.org/officeDocument/2006/relationships/hyperlink" Id="rId76" Target="https://drive.google.com/drive/folders/1-vIRAsuZQmQEXZk-0FwqsjhSex0GDu7-?usp=sharing" TargetMode="External" /><Relationship Type="http://schemas.openxmlformats.org/officeDocument/2006/relationships/hyperlink" Id="rId80" Target="https://drive.google.com/file/d/1-1Jq9vly5EvVwEp698brlBucXjSMDbNn/view?usp=sharing" TargetMode="External" /><Relationship Type="http://schemas.openxmlformats.org/officeDocument/2006/relationships/hyperlink" Id="rId89" Target="https://drive.google.com/file/d/10IjJAfcGFf007a5VdPXAUtUi4dx-cmsA/view?usp=drivesdk" TargetMode="External" /><Relationship Type="http://schemas.openxmlformats.org/officeDocument/2006/relationships/hyperlink" Id="rId78" Target="https://drive.google.com/file/d/1KARuSC5fGx05MuT1wiOQFWNXysBokkQl/view?usp=share_link" TargetMode="External" /><Relationship Type="http://schemas.openxmlformats.org/officeDocument/2006/relationships/hyperlink" Id="rId74" Target="https://drive.google.com/file/d/1XMULU8w4syWcSv_ciOUOhnC_G4xt6GIF/view?usp=drivesdk" TargetMode="External" /><Relationship Type="http://schemas.openxmlformats.org/officeDocument/2006/relationships/hyperlink" Id="rId72" Target="https://drive.google.com/file/d/1kZkvuprvsMyN9nPS5PHYvXHyo1KQxKTr/view?usp=drivesdk" TargetMode="External" /><Relationship Type="http://schemas.openxmlformats.org/officeDocument/2006/relationships/hyperlink" Id="rId98"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8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978-0-387-21706-2" TargetMode="External" /><Relationship Type="http://schemas.openxmlformats.org/officeDocument/2006/relationships/hyperlink" Id="rId66" Target="https://doi.org/10.1007/s12237-024-01385-0" TargetMode="External" /><Relationship Type="http://schemas.openxmlformats.org/officeDocument/2006/relationships/hyperlink" Id="rId83" Target="https://doi.org/10.1016/j.envsoft.2019.03.027" TargetMode="External" /><Relationship Type="http://schemas.openxmlformats.org/officeDocument/2006/relationships/hyperlink" Id="rId68" Target="https://doi.org/10.1111/1752-1688.12489" TargetMode="External" /><Relationship Type="http://schemas.openxmlformats.org/officeDocument/2006/relationships/hyperlink" Id="rId91" Target="https://doi.org/10.1111/1752-1688.70070" TargetMode="External" /><Relationship Type="http://schemas.openxmlformats.org/officeDocument/2006/relationships/hyperlink" Id="rId95" Target="https://doi.org/10.1111/j.1467-9868.2010.00749.x" TargetMode="External" /><Relationship Type="http://schemas.openxmlformats.org/officeDocument/2006/relationships/hyperlink" Id="rId85" Target="https://doi.org/10.32614/CRAN.package.gratia" TargetMode="External" /><Relationship Type="http://schemas.openxmlformats.org/officeDocument/2006/relationships/hyperlink" Id="rId76" Target="https://drive.google.com/drive/folders/1-vIRAsuZQmQEXZk-0FwqsjhSex0GDu7-?usp=sharing" TargetMode="External" /><Relationship Type="http://schemas.openxmlformats.org/officeDocument/2006/relationships/hyperlink" Id="rId80" Target="https://drive.google.com/file/d/1-1Jq9vly5EvVwEp698brlBucXjSMDbNn/view?usp=sharing" TargetMode="External" /><Relationship Type="http://schemas.openxmlformats.org/officeDocument/2006/relationships/hyperlink" Id="rId89" Target="https://drive.google.com/file/d/10IjJAfcGFf007a5VdPXAUtUi4dx-cmsA/view?usp=drivesdk" TargetMode="External" /><Relationship Type="http://schemas.openxmlformats.org/officeDocument/2006/relationships/hyperlink" Id="rId78" Target="https://drive.google.com/file/d/1KARuSC5fGx05MuT1wiOQFWNXysBokkQl/view?usp=share_link" TargetMode="External" /><Relationship Type="http://schemas.openxmlformats.org/officeDocument/2006/relationships/hyperlink" Id="rId74" Target="https://drive.google.com/file/d/1XMULU8w4syWcSv_ciOUOhnC_G4xt6GIF/view?usp=drivesdk" TargetMode="External" /><Relationship Type="http://schemas.openxmlformats.org/officeDocument/2006/relationships/hyperlink" Id="rId72" Target="https://drive.google.com/file/d/1kZkvuprvsMyN9nPS5PHYvXHyo1KQxKTr/view?usp=drivesdk" TargetMode="External" /><Relationship Type="http://schemas.openxmlformats.org/officeDocument/2006/relationships/hyperlink" Id="rId98" Target="https://drive.google.com/file/d/1vNl3kvRmxQ7VW-2VYbykB__e_ESGSoVz/view?usp=drivesdk" TargetMode="External" /><Relationship Type="http://schemas.openxmlformats.org/officeDocument/2006/relationships/hyperlink" Id="rId59" Target="https://github.com/tbep-tech/chlhydro-manu" TargetMode="External" /><Relationship Type="http://schemas.openxmlformats.org/officeDocument/2006/relationships/hyperlink" Id="rId87"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2026-01-23T00:08:22Z</dcterms:created>
  <dcterms:modified xsi:type="dcterms:W3CDTF">2026-01-23T00:08:22Z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