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(Beck et al., 2022)</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Akaike information criterion</w:t>
      </w:r>
      <w:r>
        <w:t xml:space="preserve"> </w:t>
      </w:r>
      <w:r>
        <w:t xml:space="preserve">(Akaike, 1974, Table S1)</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S2).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S3-S6),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hyperlink w:anchor="fig-obsdat">
        <w:r>
          <w:rPr>
            <w:rStyle w:val="Hyperlink"/>
          </w:rPr>
          <w:t xml:space="preserve">Figure 2</w:t>
        </w:r>
      </w:hyperlink>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2026-06-10T14:22:32Z</dcterms:created>
  <dcterms:modified xsi:type="dcterms:W3CDTF">2026-06-10T14:22:32Z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