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36.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Supplement</w:t>
      </w:r>
      <w:r>
        <w:t xml:space="preserve"> </w:t>
      </w: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Edward T Sherwood</w:t>
      </w:r>
      <w:r>
        <w:rPr>
          <w:vertAlign w:val="superscript"/>
        </w:rPr>
        <w:t xml:space="preserve">1</w:t>
      </w:r>
      <w:r>
        <w:t xml:space="preserve"> </w:t>
      </w:r>
      <w:r>
        <w:t xml:space="preserve">(</w:t>
      </w:r>
      <w:hyperlink r:id="rId21">
        <w:r>
          <w:rPr>
            <w:rStyle w:val="Hyperlink"/>
          </w:rPr>
          <w:t xml:space="preserve">0000-0001-5330-302X</w:t>
        </w:r>
      </w:hyperlink>
      <w:r>
        <w:t xml:space="preserve">), Rebecca R Murphy</w:t>
      </w:r>
      <w:r>
        <w:rPr>
          <w:vertAlign w:val="superscript"/>
        </w:rPr>
        <w:t xml:space="preserve">2</w:t>
      </w:r>
      <w:r>
        <w:t xml:space="preserve"> </w:t>
      </w:r>
      <w:r>
        <w:t xml:space="preserve">(</w:t>
      </w:r>
      <w:hyperlink r:id="rId22">
        <w:r>
          <w:rPr>
            <w:rStyle w:val="Hyperlink"/>
          </w:rPr>
          <w:t xml:space="preserve">0000-0003-3391-1823</w:t>
        </w:r>
      </w:hyperlink>
      <w:r>
        <w:t xml:space="preserve">), Kerry Flaherty-Walia</w:t>
      </w:r>
      <w:r>
        <w:rPr>
          <w:vertAlign w:val="superscript"/>
        </w:rPr>
        <w:t xml:space="preserve">1</w:t>
      </w:r>
      <w:r>
        <w:t xml:space="preserve"> </w:t>
      </w:r>
      <w:r>
        <w:t xml:space="preserve">(</w:t>
      </w:r>
      <w:hyperlink r:id="rId23">
        <w:r>
          <w:rPr>
            <w:rStyle w:val="Hyperlink"/>
          </w:rPr>
          <w:t xml:space="preserve">0000-0002-6032-0570</w:t>
        </w:r>
      </w:hyperlink>
      <w:r>
        <w:t xml:space="preserve">), Qian Zhang</w:t>
      </w:r>
      <w:r>
        <w:rPr>
          <w:vertAlign w:val="superscript"/>
        </w:rPr>
        <w:t xml:space="preserve">2</w:t>
      </w:r>
      <w:r>
        <w:t xml:space="preserve"> </w:t>
      </w:r>
      <w:r>
        <w:t xml:space="preserve">(</w:t>
      </w:r>
      <w:hyperlink r:id="rId24">
        <w:r>
          <w:rPr>
            <w:rStyle w:val="Hyperlink"/>
          </w:rPr>
          <w:t xml:space="preserve">0000-0003-0500-5655</w:t>
        </w:r>
      </w:hyperlink>
      <w:r>
        <w:t xml:space="preserve">), Blake A Simmons</w:t>
      </w:r>
      <w:r>
        <w:rPr>
          <w:vertAlign w:val="superscript"/>
        </w:rPr>
        <w:t xml:space="preserve">1</w:t>
      </w:r>
      <w:r>
        <w:t xml:space="preserve"> </w:t>
      </w:r>
      <w:r>
        <w:t xml:space="preserve">(</w:t>
      </w:r>
      <w:hyperlink r:id="rId25">
        <w:r>
          <w:rPr>
            <w:rStyle w:val="Hyperlink"/>
          </w:rPr>
          <w:t xml:space="preserve">0000-0002-1918-3463</w:t>
        </w:r>
      </w:hyperlink>
      <w:r>
        <w:t xml:space="preserve">), and Maya C Burke</w:t>
      </w:r>
      <w:r>
        <w:rPr>
          <w:vertAlign w:val="superscript"/>
        </w:rPr>
        <w:t xml:space="preserve">1</w:t>
      </w:r>
      <w:r>
        <w:t xml:space="preserve"> </w:t>
      </w:r>
      <w:r>
        <w:t xml:space="preserve">(</w:t>
      </w:r>
      <w:hyperlink r:id="rId26">
        <w:r>
          <w:rPr>
            <w:rStyle w:val="Hyperlink"/>
          </w:rPr>
          <w:t xml:space="preserve">0000-0002-3847-6501</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7">
        <w:r>
          <w:rPr>
            <w:rStyle w:val="Hyperlink"/>
          </w:rPr>
          <w:t xml:space="preserve">Marcus W Beck &lt;mbeck@tbep.org&gt;</w:t>
        </w:r>
      </w:hyperlink>
    </w:p>
    <w:bookmarkStart w:id="40"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1" w:name="fig-suppnorm"/>
          <w:p>
            <w:pPr>
              <w:pStyle w:val="Compact"/>
              <w:jc w:val="center"/>
            </w:pPr>
            <w:r>
              <w:drawing>
                <wp:inline>
                  <wp:extent cx="5504749" cy="7339665"/>
                  <wp:effectExtent b="0" l="0" r="0" t="0"/>
                  <wp:docPr descr="" title="" id="29" name="Picture"/>
                  <a:graphic>
                    <a:graphicData uri="http://schemas.openxmlformats.org/drawingml/2006/picture">
                      <pic:pic>
                        <pic:nvPicPr>
                          <pic:cNvPr descr="figs/suppnorm.png" id="30" name="Picture"/>
                          <pic:cNvPicPr>
                            <a:picLocks noChangeArrowheads="1" noChangeAspect="1"/>
                          </pic:cNvPicPr>
                        </pic:nvPicPr>
                        <pic:blipFill>
                          <a:blip r:embed="rId28"/>
                          <a:stretch>
                            <a:fillRect/>
                          </a:stretch>
                        </pic:blipFill>
                        <pic:spPr bwMode="auto">
                          <a:xfrm>
                            <a:off x="0" y="0"/>
                            <a:ext cx="5504749"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 1: Examples demonstrating the salinity normalization method (a), the salinity normalization method at mean loading (b), and the final results (c). Results are obtained by predicting chlorophyll-a concentrations from a fitted GAM across a range of salinities and estimating the average (a) or doing the same but using mean loading (b). The bottom plot (c) shows the normalized curves where the red line is the mean curve from (a), the blue dashed line is the mean curve from (b), and the points are the actual model predictions.</w:t>
            </w:r>
          </w:p>
          <w:bookmarkEnd w:id="31"/>
        </w:tc>
      </w:tr>
    </w:tbl>
    <w:p>
      <w:r>
        <w:br w:type="page"/>
      </w:r>
    </w:p>
    <w:tbl>
      <w:tblPr>
        <w:tblStyle w:val="Table"/>
        <w:tblW w:type="pct" w:w="5000"/>
        <w:tblLayout w:type="fixed"/>
        <w:tblLook w:firstRow="0" w:lastRow="0" w:firstColumn="0" w:lastColumn="0" w:noHBand="0" w:noVBand="0" w:val="0000"/>
      </w:tblPr>
      <w:tblGrid>
        <w:gridCol w:w="7920"/>
      </w:tblGrid>
      <w:tr>
        <w:tc>
          <w:tcPr/>
          <w:bookmarkStart w:id="35" w:name="fig-suppgameff1"/>
          <w:p>
            <w:pPr>
              <w:pStyle w:val="Compact"/>
              <w:jc w:val="center"/>
            </w:pPr>
            <w:r>
              <w:drawing>
                <wp:inline>
                  <wp:extent cx="5943600" cy="5349240"/>
                  <wp:effectExtent b="0" l="0" r="0" t="0"/>
                  <wp:docPr descr="" title="" id="33" name="Picture"/>
                  <a:graphic>
                    <a:graphicData uri="http://schemas.openxmlformats.org/drawingml/2006/picture">
                      <pic:pic>
                        <pic:nvPicPr>
                          <pic:cNvPr descr="figs/suppgameff1.png" id="34" name="Picture"/>
                          <pic:cNvPicPr>
                            <a:picLocks noChangeArrowheads="1" noChangeAspect="1"/>
                          </pic:cNvPicPr>
                        </pic:nvPicPr>
                        <pic:blipFill>
                          <a:blip r:embed="rId32"/>
                          <a:stretch>
                            <a:fillRect/>
                          </a:stretch>
                        </pic:blipFill>
                        <pic:spPr bwMode="auto">
                          <a:xfrm>
                            <a:off x="0" y="0"/>
                            <a:ext cx="5943600" cy="5349240"/>
                          </a:xfrm>
                          <a:prstGeom prst="rect">
                            <a:avLst/>
                          </a:prstGeom>
                          <a:noFill/>
                          <a:ln w="9525">
                            <a:noFill/>
                            <a:headEnd/>
                            <a:tailEnd/>
                          </a:ln>
                        </pic:spPr>
                      </pic:pic>
                    </a:graphicData>
                  </a:graphic>
                </wp:inline>
              </w:drawing>
            </w:r>
          </w:p>
          <w:p>
            <w:pPr>
              <w:jc w:val="center"/>
            </w:pPr>
            <w:pPr>
              <w:jc w:val="left"/>
              <w:spacing w:before="200"/>
              <w:pStyle w:val="ImageCaption"/>
            </w:pPr>
            <w:r>
              <w:t xml:space="preserve">Fig. 2: Effects plots for individual smoothers from Generalized Additive Models applied to each bay segment. Each plot shows the modeled effects on chlorophyll-a of the smoothers identified on the x-axes. The small vertical bars on the x-axis of each plot show the relative distribution of values for each parameter. Confidence intervals (95%) are also shown for each parameter. OTB: Old Tampa Bay; HB: Hillsborough Bay; MTB: Middle Tampa Bay; LTB: Lower Tampa Bay</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suppgameff2"/>
          <w:p>
            <w:pPr>
              <w:pStyle w:val="Compact"/>
              <w:jc w:val="center"/>
            </w:pPr>
            <w:r>
              <w:drawing>
                <wp:inline>
                  <wp:extent cx="5943600" cy="3657600"/>
                  <wp:effectExtent b="0" l="0" r="0" t="0"/>
                  <wp:docPr descr="" title="" id="37" name="Picture"/>
                  <a:graphic>
                    <a:graphicData uri="http://schemas.openxmlformats.org/drawingml/2006/picture">
                      <pic:pic>
                        <pic:nvPicPr>
                          <pic:cNvPr descr="figs/suppgameff2.png" id="38" name="Picture"/>
                          <pic:cNvPicPr>
                            <a:picLocks noChangeArrowheads="1" noChangeAspect="1"/>
                          </pic:cNvPicPr>
                        </pic:nvPicPr>
                        <pic:blipFill>
                          <a:blip r:embed="rId36"/>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 3: Effects plots for bivariate smoothers from Generalized Additive Models applied to each bay segment. Each plot shows the modeled effects on chlorophyll-a of the smoothers identified on the x- and y-axes. Observed values are shown as points to emphasize the typical ranges for each parameter combination. OTB: Old Tampa Bay; HB: Hillsborough Bay; MTB: Middle Tampa Bay; LTB: Lower Tampa Bay</w:t>
            </w:r>
          </w:p>
          <w:bookmarkEnd w:id="39"/>
        </w:tc>
      </w:tr>
    </w:tbl>
    <w:p>
      <w:r>
        <w:br w:type="page"/>
      </w:r>
    </w:p>
    <w:bookmarkEnd w:id="40"/>
    <w:bookmarkStart w:id="4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1" w:name="tbl-supaictab"/>
          <w:p>
            <w:pPr>
              <w:jc w:val="center"/>
            </w:pPr>
            <w:pPr>
              <w:jc w:val="left"/>
              <w:spacing w:before="200"/>
              <w:pStyle w:val="ImageCaption"/>
            </w:pPr>
            <w:r>
              <w:t xml:space="preserve">Table 1: Comparison of Generalized Additive Models for chlorophyll-a for each bay segment using a Gamma and Gaussian (log-link) error distributions. Model fit was assessed using Akaike information criterion</w:t>
            </w:r>
            <w:r>
              <w:t xml:space="preserve"> </w:t>
            </w:r>
            <w:r>
              <w:t xml:space="preserve">(AIC, Akaike, 1974)</w:t>
            </w:r>
            <w:r>
              <w:t xml:space="preserve">, with the lowest AIC value by segment shown in bold. df: degrees of freedom;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080"/>
              <w:gridCol w:w="1080"/>
              <w:gridCol w:w="1080"/>
              <w:gridCol w:w="1080"/>
              <w:gridCol w:w="1080"/>
            </w:tblGrid>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Gamma</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Gaussian (log)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4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ΔAIC</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2,287.3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2,673.2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1,901.6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148.6</w:t>
                  </w:r>
                </w:p>
              </w:tc>
            </w:tr>
            <w:tr>
              <w:trPr>
                <w:trHeight w:val="3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1,608.6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1,785.8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177.2</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ΔAIC = Gaussian (log) AIC - Gamma AIC</w:t>
                  </w:r>
                </w:p>
              </w:tc>
            </w:tr>
          </w:tbl>
          <w:bookmarkEnd w:id="41"/>
        </w:tc>
      </w:tr>
    </w:tbl>
    <w:tbl>
      <w:tblPr>
        <w:tblStyle w:val="Table"/>
        <w:tblW w:type="pct" w:w="5000"/>
        <w:tblLayout w:type="fixed"/>
        <w:tblLook w:firstRow="0" w:lastRow="0" w:firstColumn="0" w:lastColumn="0" w:noHBand="0" w:noVBand="0" w:val="0000"/>
      </w:tblPr>
      <w:tblGrid>
        <w:gridCol w:w="7920"/>
      </w:tblGrid>
      <w:tr>
        <w:tc>
          <w:tcPr/>
          <w:bookmarkStart w:id="42" w:name="tbl-supgamtab"/>
          <w:p>
            <w:pPr>
              <w:jc w:val="center"/>
            </w:pPr>
            <w:pPr>
              <w:jc w:val="left"/>
              <w:spacing w:before="200"/>
              <w:pStyle w:val="ImageCaption"/>
            </w:pPr>
            <w:r>
              <w:t xml:space="preserve">Table 2: Generalized Additive Model (GAM) summary statistics for chlorophyll-a predictions by bay segment in Tampa Bay (n = 480 for each).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Results for the overall model fit are shown with the Generalized Cross-Validation (GCV) scores in the top rows and deviance explained (Dev. Expl.) in the bottom rows.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1"/>
              <w:gridCol w:w="1323"/>
              <w:gridCol w:w="1341"/>
              <w:gridCol w:w="1079"/>
              <w:gridCol w:w="859"/>
              <w:gridCol w:w="1079"/>
              <w:gridCol w:w="859"/>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 Seasonal Correction</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 Correction</w:t>
                  </w:r>
                </w:p>
              </w:tc>
            </w:tr>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Summary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0.53</w:t>
                  </w:r>
                </w:p>
              </w:tc>
            </w:tr>
            <w:tr>
              <w:trPr>
                <w:trHeight w:val="29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r>
          </w:tbl>
          <w:bookmarkEnd w:id="42"/>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tbl-supconcurvotbtab"/>
          <w:p>
            <w:pPr>
              <w:jc w:val="center"/>
            </w:pPr>
            <w:pPr>
              <w:jc w:val="left"/>
              <w:spacing w:before="200"/>
              <w:pStyle w:val="ImageCaption"/>
            </w:pPr>
            <w:r>
              <w:t xml:space="preserve">Table 3: Concurvity estimates for the</w:t>
            </w:r>
            <w:r>
              <w:t xml:space="preserve"> </w:t>
            </w:r>
            <w:r>
              <w:rPr>
                <w:b/>
                <w:bCs/>
              </w:rPr>
              <w:t xml:space="preserve">Old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0.77</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71717"/>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bl>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tbl-supconcurvhbtab"/>
          <w:p>
            <w:pPr>
              <w:jc w:val="center"/>
            </w:pPr>
            <w:pPr>
              <w:jc w:val="left"/>
              <w:spacing w:before="200"/>
              <w:pStyle w:val="ImageCaption"/>
            </w:pPr>
            <w:r>
              <w:t xml:space="preserve">Table 4: Concurvity estimates for the</w:t>
            </w:r>
            <w:r>
              <w:t xml:space="preserve"> </w:t>
            </w:r>
            <w:r>
              <w:rPr>
                <w:b/>
                <w:bCs/>
              </w:rPr>
              <w:t xml:space="preserve">Hillsborough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0.45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0.91</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r>
          </w:tbl>
          <w:bookmarkEnd w:id="44"/>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tbl-supconcurvmtbtab"/>
          <w:p>
            <w:pPr>
              <w:jc w:val="center"/>
            </w:pPr>
            <w:pPr>
              <w:jc w:val="left"/>
              <w:spacing w:before="200"/>
              <w:pStyle w:val="ImageCaption"/>
            </w:pPr>
            <w:r>
              <w:t xml:space="preserve">Table 5: Concurvity estimates for the</w:t>
            </w:r>
            <w:r>
              <w:t xml:space="preserve"> </w:t>
            </w:r>
            <w:r>
              <w:rPr>
                <w:b/>
                <w:bCs/>
              </w:rPr>
              <w:t xml:space="preserve">Middle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A2A2A"/>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0.49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r>
          </w:tbl>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6" w:name="tbl-supconcurvltbtab"/>
          <w:p>
            <w:pPr>
              <w:jc w:val="center"/>
            </w:pPr>
            <w:pPr>
              <w:jc w:val="left"/>
              <w:spacing w:before="200"/>
              <w:pStyle w:val="ImageCaption"/>
            </w:pPr>
            <w:r>
              <w:t xml:space="preserve">Table 6: Concurvity estimates for the</w:t>
            </w:r>
            <w:r>
              <w:t xml:space="preserve"> </w:t>
            </w:r>
            <w:r>
              <w:rPr>
                <w:b/>
                <w:bCs/>
              </w:rPr>
              <w:t xml:space="preserve">Lower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0.70</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0404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r>
          </w:tbl>
          <w:bookmarkEnd w:id="46"/>
        </w:tc>
      </w:tr>
    </w:tbl>
    <w:p>
      <w:r>
        <w:br w:type="page"/>
      </w:r>
    </w:p>
    <w:bookmarkEnd w:id="47"/>
    <w:bookmarkStart w:id="51" w:name="references"/>
    <w:p>
      <w:pPr>
        <w:pStyle w:val="Heading2"/>
      </w:pPr>
      <w:r>
        <w:t xml:space="preserve">References</w:t>
      </w:r>
    </w:p>
    <w:bookmarkStart w:id="50" w:name="refs"/>
    <w:bookmarkStart w:id="49"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48">
        <w:r>
          <w:rPr>
            <w:rStyle w:val="Hyperlink"/>
          </w:rPr>
          <w:t xml:space="preserve">https://doi.org/10.1109/TAC.1974.1100705</w:t>
        </w:r>
      </w:hyperlink>
      <w:r>
        <w:t xml:space="preserve">.</w:t>
      </w:r>
    </w:p>
    <w:bookmarkEnd w:id="49"/>
    <w:bookmarkEnd w:id="50"/>
    <w:bookmarkEnd w:id="5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hyperlink" Id="rId48"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109/TAC.1974.1100705" TargetMode="External" /><Relationship Type="http://schemas.openxmlformats.org/officeDocument/2006/relationships/hyperlink" Id="rId21" Target="https://orcid.org/0000-0001-5330-302X" TargetMode="External" /><Relationship Type="http://schemas.openxmlformats.org/officeDocument/2006/relationships/hyperlink" Id="rId25" Target="https://orcid.org/0000-0002-1918-3463" TargetMode="External" /><Relationship Type="http://schemas.openxmlformats.org/officeDocument/2006/relationships/hyperlink" Id="rId26" Target="https://orcid.org/0000-0002-3847-6501" TargetMode="External" /><Relationship Type="http://schemas.openxmlformats.org/officeDocument/2006/relationships/hyperlink" Id="rId20" Target="https://orcid.org/0000-0002-4996-0059" TargetMode="External" /><Relationship Type="http://schemas.openxmlformats.org/officeDocument/2006/relationships/hyperlink" Id="rId23" Target="https://orcid.org/0000-0002-6032-0570" TargetMode="External" /><Relationship Type="http://schemas.openxmlformats.org/officeDocument/2006/relationships/hyperlink" Id="rId24" Target="https://orcid.org/0000-0003-0500-5655" TargetMode="External" /><Relationship Type="http://schemas.openxmlformats.org/officeDocument/2006/relationships/hyperlink" Id="rId22" Target="https://orcid.org/0000-0003-3391-1823" TargetMode="External" /><Relationship Type="http://schemas.openxmlformats.org/officeDocument/2006/relationships/hyperlink" Id="rId27"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Managing the unmanageable: Understanding the competing effects of salinity and nutrient loading on estuarine water quality</dc:title>
  <dc:creator>Marcus W Beck1,✉ (0000-0002-4996-0059), Edward T Sherwood1 (0000-0001-5330-302X), Rebecca R Murphy2 (0000-0003-3391-1823), Kerry Flaherty-Walia1 (0000-0002-6032-0570), Qian Zhang2 (0000-0003-0500-5655), Blake A Simmons1 (0000-0002-1918-3463), and Maya C Burke1 (0000-0002-3847-6501)</dc:creator>
  <cp:keywords/>
  <dcterms:created xsi:type="dcterms:W3CDTF">2026-06-10T14:12:14Z</dcterms:created>
  <dcterms:modified xsi:type="dcterms:W3CDTF">2026-06-10T14:12:14Z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