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 E Raulerson</w:t>
      </w:r>
      <w:r>
        <w:rPr>
          <w:vertAlign w:val="superscript"/>
        </w:rPr>
        <w:t xml:space="preserve">1</w:t>
      </w:r>
      <w:r>
        <w:t xml:space="preserve">,</w:t>
      </w:r>
      <w:r>
        <w:t xml:space="preserve"> </w:t>
      </w:r>
      <w:r>
        <w:t xml:space="preserve">Douglas E Robison</w:t>
      </w:r>
      <w:r>
        <w:rPr>
          <w:vertAlign w:val="superscript"/>
        </w:rPr>
        <w:t xml:space="preserve">2</w:t>
      </w:r>
      <w:r>
        <w:t xml:space="preserve">,</w:t>
      </w:r>
      <w:r>
        <w:t xml:space="preserve"> </w:t>
      </w: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to support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bookmarkEnd w:id="21"/>
    <w:bookmarkStart w:id="22" w:name="introduction"/>
    <w:p>
      <w:pPr>
        <w:pStyle w:val="Heading2"/>
      </w:pPr>
      <w:r>
        <w:t xml:space="preserve">Introduction</w:t>
      </w:r>
    </w:p>
    <w:p>
      <w:pPr>
        <w:pStyle w:val="FirstParagraph"/>
      </w:pPr>
      <w:r>
        <w:t xml:space="preserve">The health of estuarine systems, coastal habitats, and associated fauna and flora are inextricably linked to land uses and management throughout the watershed</w:t>
      </w:r>
      <w:r>
        <w:t xml:space="preserve"> </w:t>
      </w:r>
      <w:r>
        <w:t xml:space="preserve">(Yoskowitz and Russell, 2015)</w:t>
      </w:r>
      <w:r>
        <w:t xml:space="preserve"> </w:t>
      </w:r>
      <w:r>
        <w:t xml:space="preserve">These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The Tampa Bay Estuary Program (TBEP) is one of 28 programs administered by the US Environmental Protection Agency (USEPA) under the National Estuary Program (NEP). In recognition of threats to habitats from development and climate change stressors, the TBEP and partners recently created the third iteration of a plan to establish targets and goals for habitat restoration within the Tampa Bay watershed. As an NEP, the program has guided regional environmental restoration initiatives for the estuary since 1991. The methodologies used in the creation of a 2020 Habitat Master Plan Update for Tampa Bay</w:t>
      </w:r>
      <w:r>
        <w:t xml:space="preserve"> </w:t>
      </w:r>
      <w:r>
        <w:t xml:space="preserve">(Robison et al., 2020)</w:t>
      </w:r>
      <w:r>
        <w:t xml:space="preserve"> </w:t>
      </w:r>
      <w:r>
        <w:t xml:space="preserve">are highly transferable to both coastal and non-coastal systems.</w:t>
      </w:r>
    </w:p>
    <w:bookmarkEnd w:id="22"/>
    <w:bookmarkStart w:id="23" w:name="Xcbc147c0c03a9a182946ab200c571696fb3aee0"/>
    <w:p>
      <w:pPr>
        <w:pStyle w:val="Heading2"/>
      </w:pPr>
      <w:r>
        <w:t xml:space="preserve">Development, climate change, and coastal squeeze</w:t>
      </w:r>
    </w:p>
    <w:p>
      <w:pPr>
        <w:pStyle w:val="FirstParagraph"/>
      </w:pPr>
      <w:r>
        <w:t xml:space="preserve">Development causes multiple perturbations within any watershed. The accumulated impacts of construction and associated infrastructure remove or substantially modify existing habitats, and can alter hydrology of nearby streams and rivers</w:t>
      </w:r>
      <w:r>
        <w:t xml:space="preserve"> </w:t>
      </w:r>
      <w:r>
        <w:t xml:space="preserve">(Theobald et al., 1997; Sim and Mesev, 2014)</w:t>
      </w:r>
      <w:r>
        <w:t xml:space="preserve">. Given the degree to which the Tampa Bay watershed has been urbanized, the synergistic effects of continued coastal development and future climate change are primary concerns for maintenance of estuarine and coastal habitat health. Observed and potential adverse effects of climate change and sea level rise on marine and estuarine ecosystems are well-documented</w:t>
      </w:r>
      <w:r>
        <w:t xml:space="preserve"> </w:t>
      </w:r>
      <w:r>
        <w:t xml:space="preserve">(Scavia et al., 2002; Spalding and Hester, 2007; Titus et al., 2009)</w:t>
      </w:r>
      <w:r>
        <w:t xml:space="preserve">. With regard to estuarine habitats, the primary concerns are that sea level rise is now occurring at such a rapid rate that the landward migration of tidal wetlands in response cannot keep pace; or that the upland slope has already been lost to urban development and hardening, leaving no place for tidal wetland migration</w:t>
      </w:r>
      <w:r>
        <w:t xml:space="preserve"> </w:t>
      </w:r>
      <w:r>
        <w:t xml:space="preserve">(Titus et al., 2009)</w:t>
      </w:r>
      <w:r>
        <w:t xml:space="preserve">. Geological, physical and chemical changes could include alterations in sediment deposition and erosion patterns, micro-topography, and water quality</w:t>
      </w:r>
      <w:r>
        <w:t xml:space="preserve"> </w:t>
      </w:r>
      <w:r>
        <w:t xml:space="preserve">(Whitehead et al., 2009; Arnell et al., 2015)</w:t>
      </w:r>
      <w:r>
        <w:t xml:space="preserve">.</w:t>
      </w:r>
    </w:p>
    <w:p>
      <w:pPr>
        <w:pStyle w:val="BodyText"/>
      </w:pPr>
      <w:r>
        <w:t xml:space="preserve">Related changes in habitats in response to climate change (sea level rise and warming)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Species dependent upon these habitats will be forced to change use patterns or adapt to the new conditions</w:t>
      </w:r>
      <w:r>
        <w:t xml:space="preserve"> </w:t>
      </w:r>
      <w:r>
        <w:t xml:space="preserve">(Iwamura et al., 2013)</w:t>
      </w:r>
      <w:r>
        <w:t xml:space="preserve">. For example, while black needle rush (</w:t>
      </w:r>
      <w:r>
        <w:rPr>
          <w:iCs/>
          <w:i/>
        </w:rPr>
        <w:t xml:space="preserve">Juncus roemerianus</w:t>
      </w:r>
      <w:r>
        <w:t xml:space="preserve">) can tolerate a wide salinity range</w:t>
      </w:r>
      <w:r>
        <w:t xml:space="preserve"> </w:t>
      </w:r>
      <w:r>
        <w:t xml:space="preserve">(Eleuterius and Eleuterius, 1979; Stout, 1984)</w:t>
      </w:r>
      <w:r>
        <w:t xml:space="preserve">, the largest remaining</w:t>
      </w:r>
      <w:r>
        <w:t xml:space="preserve"> </w:t>
      </w:r>
      <w:r>
        <w:rPr>
          <w:iCs/>
          <w:i/>
        </w:rPr>
        <w:t xml:space="preserve">J. roemerianus</w:t>
      </w:r>
      <w:r>
        <w:t xml:space="preserve"> </w:t>
      </w:r>
      <w:r>
        <w:t xml:space="preserve">marshes in Tampa Bay are located in the lower-salinity reaches of tidal rivers and creeks. The greatest extents of those marshes occur in river systems where their upstream extent is constrained by impoundments for public water supplies. Spatial restriction in these hydrologically truncated rivers may make these marshes particularly vulnerable to</w:t>
      </w:r>
      <w:r>
        <w:t xml:space="preserve"> </w:t>
      </w:r>
      <w:r>
        <w:t xml:space="preserve">“</w:t>
      </w:r>
      <w:r>
        <w:t xml:space="preserve">pinching out</w:t>
      </w:r>
      <w:r>
        <w:t xml:space="preserve">”</w:t>
      </w:r>
      <w:r>
        <w:t xml:space="preserve">, as upstream migration in response to sea level rise will be cut off by anthropogenic barriers. Similarly, landward migration of salt barrens (high marsh areas in Tampa Bay) in response to sea level rise will be restricted by the filling and hardening of coastal uplands associated with existing or future urban development.</w:t>
      </w:r>
    </w:p>
    <w:bookmarkEnd w:id="23"/>
    <w:bookmarkStart w:id="24" w:name="need-for-a-paradigm-shift"/>
    <w:p>
      <w:pPr>
        <w:pStyle w:val="Heading2"/>
      </w:pPr>
      <w:r>
        <w:t xml:space="preserve">Need for a paradigm shift</w:t>
      </w:r>
    </w:p>
    <w:p>
      <w:pPr>
        <w:pStyle w:val="FirstParagraph"/>
      </w:pPr>
      <w:r>
        <w:t xml:space="preserve">The synergistic effects of development and climate change diminish the available space for future restoration in urbanizing estuaries, thereby impacting the variety of ecosystem services provided by these habitats and the wildlife they support</w:t>
      </w:r>
      <w:r>
        <w:t xml:space="preserve"> </w:t>
      </w:r>
      <w:r>
        <w:t xml:space="preserve">(Enwright et al., 2015)</w:t>
      </w:r>
      <w:r>
        <w:t xml:space="preserve">. Given projected habitat losses without intervention efforts and the limited resources (including time, land, funding, and labor force) available, it is important to appropriately and realistically site restoration projects to increase the likelihood of success. To achieve this objective, a new restoration approach on a broad watershed scale will be implemented.</w:t>
      </w:r>
    </w:p>
    <w:p>
      <w:pPr>
        <w:pStyle w:val="BodyText"/>
      </w:pPr>
      <w:r>
        <w:t xml:space="preserve">Previously, a</w:t>
      </w:r>
      <w:r>
        <w:t xml:space="preserve"> </w:t>
      </w:r>
      <w:r>
        <w:t xml:space="preserve">“</w:t>
      </w:r>
      <w:r>
        <w:t xml:space="preserve">retrospective</w:t>
      </w:r>
      <w:r>
        <w:t xml:space="preserve">”</w:t>
      </w:r>
      <w:r>
        <w:t xml:space="preserve"> </w:t>
      </w:r>
      <w:r>
        <w:t xml:space="preserve">approach to setting habitat protection and restoration targets in Tampa Bay was employed</w:t>
      </w:r>
      <w:r>
        <w:t xml:space="preserve"> </w:t>
      </w:r>
      <w:r>
        <w:t xml:space="preserve">(Lewis, 1996; Robison, 2010; Cicchetti and Greening, 2011; Russell and Greening, 2015)</w:t>
      </w:r>
      <w:r>
        <w:t xml:space="preserve">. Under this paradigm, priority was given to restoration activities focused on habitat types, important for a suite of ten estuarine faunal guilds, that were disproportionately lost or degraded compared to a benchmark period. Primary criticisms of this approach included a lack of consideration for future sea level rise and other climate change factors</w:t>
      </w:r>
      <w:r>
        <w:t xml:space="preserve"> </w:t>
      </w:r>
      <w:r>
        <w:t xml:space="preserve">(Yoskowitz and Russell, 2015)</w:t>
      </w:r>
      <w:r>
        <w:t xml:space="preserve">, use of expanded and different habitats outside the Tampa Bay watershed by the faunal guilds</w:t>
      </w:r>
      <w:r>
        <w:t xml:space="preserve"> </w:t>
      </w:r>
      <w:r>
        <w:t xml:space="preserve">(Robison, 2010)</w:t>
      </w:r>
      <w:r>
        <w:t xml:space="preserve">, lack of attention to upland or freshwater wetland habitats, and little recognition of other stressors such as land development trends or actual available space for restoration efforts.</w:t>
      </w:r>
    </w:p>
    <w:p>
      <w:pPr>
        <w:pStyle w:val="BodyText"/>
      </w:pPr>
      <w:r>
        <w:t xml:space="preserve">Past approaches for guiding restoration planning have been successfully used in other contexts, but they do not fully balance competing needs. For example, an integrated watershed approach</w:t>
      </w:r>
      <w:r>
        <w:t xml:space="preserve"> </w:t>
      </w:r>
      <w:r>
        <w:t xml:space="preserve">(Agency, 1996)</w:t>
      </w:r>
      <w:r>
        <w:t xml:space="preserve"> </w:t>
      </w:r>
      <w:r>
        <w:t xml:space="preserve">has been utilized since the early 1990s to diagnose and manage water quantity and quality problems that have contributed to seagrass restoration in the system. Additionally, the habitat mosaic approach</w:t>
      </w:r>
      <w:r>
        <w:t xml:space="preserve"> </w:t>
      </w:r>
      <w:r>
        <w:t xml:space="preserve">(Henningsen, 2005)</w:t>
      </w:r>
      <w:r>
        <w:t xml:space="preserve"> </w:t>
      </w:r>
      <w:r>
        <w:t xml:space="preserve">of including multiple habitat types within restoration projects is recognized as necessary in Tampa Bay</w:t>
      </w:r>
      <w:r>
        <w:t xml:space="preserve"> </w:t>
      </w:r>
      <w:r>
        <w:t xml:space="preserve">(Hughes et al., 2011)</w:t>
      </w:r>
      <w:r>
        <w:t xml:space="preserve"> </w:t>
      </w:r>
      <w:r>
        <w:t xml:space="preserve">and elsewhere to allow for ecosystem state changes in response to different environmental pressures</w:t>
      </w:r>
      <w:r>
        <w:t xml:space="preserve"> </w:t>
      </w:r>
      <w:r>
        <w:t xml:space="preserve">(Duarte et al., 2009; Palmer, 2009)</w:t>
      </w:r>
      <w:r>
        <w:t xml:space="preserve">.</w:t>
      </w:r>
    </w:p>
    <w:p>
      <w:pPr>
        <w:pStyle w:val="BodyText"/>
      </w:pPr>
      <w:r>
        <w:t xml:space="preserve">Adaptive management</w:t>
      </w:r>
      <w:r>
        <w:t xml:space="preserve"> </w:t>
      </w:r>
      <w:r>
        <w:t xml:space="preserve">(Holling, 1978; Gregory et al., 2006)</w:t>
      </w:r>
      <w:r>
        <w:t xml:space="preserve"> </w:t>
      </w:r>
      <w:r>
        <w:t xml:space="preserve">components have been increasingly used to address challenges of sea level rise, climate change, and development stressors, including monitoring to identify critical restoration decision points and needed intervention with contingency plans. Rising sea levels and temperatures and altered rainfall patterns are causing observable changes to habitats on a global scale</w:t>
      </w:r>
      <w:r>
        <w:t xml:space="preserve"> </w:t>
      </w:r>
      <w:r>
        <w:t xml:space="preserve">(Cavanaugh et al., 2014; Garner et al., 2015; Yoskowitz and Russell, 2015)</w:t>
      </w:r>
      <w:r>
        <w:t xml:space="preserve">, including within Tampa Bay</w:t>
      </w:r>
      <w:r>
        <w:t xml:space="preserve"> </w:t>
      </w:r>
      <w:r>
        <w:t xml:space="preserve">(Price et al., 2017)</w:t>
      </w:r>
      <w:r>
        <w:t xml:space="preserve">, and those changes are expected to become more pronounced over the next several decades</w:t>
      </w:r>
      <w:r>
        <w:t xml:space="preserve"> </w:t>
      </w:r>
      <w:r>
        <w:t xml:space="preserve">(Sheehan et al., 2016; Nerem et al., 2018)</w:t>
      </w:r>
      <w:r>
        <w:t xml:space="preserve">.</w:t>
      </w:r>
    </w:p>
    <w:bookmarkEnd w:id="24"/>
    <w:bookmarkStart w:id="25" w:name="updating-the-approach"/>
    <w:p>
      <w:pPr>
        <w:pStyle w:val="Heading2"/>
      </w:pPr>
      <w:r>
        <w:t xml:space="preserve">Updating the approach</w:t>
      </w:r>
    </w:p>
    <w:p>
      <w:pPr>
        <w:pStyle w:val="FirstParagraph"/>
      </w:pPr>
      <w:r>
        <w:t xml:space="preserve">The new approach integrates the whole watershed, addresses historical changes, focuses on trajectories that have occurred during more contemporary time periods, and considers both current and future stressors – particularly land development and sea level rise. There is relatively consistent extent and distribution data for most Tampa Bay habitats of interest (1988 to 2018), representing a time period when federal, state and local regulations were in effect and regional impacts from climate change are documented</w:t>
      </w:r>
      <w:r>
        <w:t xml:space="preserve"> </w:t>
      </w:r>
      <w:r>
        <w:t xml:space="preserve">(Raabe et al., 2012; Cavanaugh et al., 2014)</w:t>
      </w:r>
      <w:r>
        <w:t xml:space="preserve">. This approach establishes a broader framework that guides both watershed-level habitat master planning and site-level restoration design activities and incorporates applicable elements of the other habitat restoration paradigms discussed above</w:t>
      </w:r>
      <w:r>
        <w:t xml:space="preserve"> </w:t>
      </w:r>
      <w:r>
        <w:t xml:space="preserve">(Palmer, 2009)</w:t>
      </w:r>
      <w:r>
        <w:t xml:space="preserve">. Our broader framework for guiding restoration activities includes 1) designation of habitat types by strata relative to the aquatic-terrestrial gradient, 2) quantification of historical trends by habitat types to identify appropriate future targets in acreage, and 3) identification of opportunity areas that could be used by practitioners to achieve restoration goals based on habitat type and past trajectories.</w:t>
      </w:r>
    </w:p>
    <w:p>
      <w:pPr>
        <w:pStyle w:val="BodyText"/>
      </w:pPr>
      <w:r>
        <w:t xml:space="preserve">With regard to habitat restoration projects, the design approach must envision not only what is possible today, but also what the coastal landscape will look like in 50 years and beyond. Design features should continue to use the historical</w:t>
      </w:r>
      <w:r>
        <w:t xml:space="preserve"> </w:t>
      </w:r>
      <w:r>
        <w:t xml:space="preserve">“</w:t>
      </w:r>
      <w:r>
        <w:t xml:space="preserve">habitat mosaic</w:t>
      </w:r>
      <w:r>
        <w:t xml:space="preserve">”</w:t>
      </w:r>
      <w:r>
        <w:t xml:space="preserve"> </w:t>
      </w:r>
      <w:r>
        <w:t xml:space="preserve">approach, but should also include coastal upland features that accommodate tidal inundation and the landward advance of emergent tidal wetlands</w:t>
      </w:r>
      <w:r>
        <w:t xml:space="preserve"> </w:t>
      </w:r>
      <w:r>
        <w:t xml:space="preserve">(Enwright et al., 2016)</w:t>
      </w:r>
    </w:p>
    <w:bookmarkEnd w:id="25"/>
    <w:bookmarkStart w:id="95" w:name="references"/>
    <w:p>
      <w:pPr>
        <w:pStyle w:val="Heading2"/>
      </w:pPr>
      <w:r>
        <w:t xml:space="preserve">References</w:t>
      </w:r>
    </w:p>
    <w:bookmarkStart w:id="94" w:name="refs"/>
    <w:bookmarkStart w:id="26" w:name="ref-EPA96"/>
    <w:p>
      <w:pPr>
        <w:pStyle w:val="Bibliography"/>
      </w:pPr>
      <w:r>
        <w:t xml:space="preserve">Agency, E. P. (1996). Watershed approach framework. Office of Water (4501F).</w:t>
      </w:r>
    </w:p>
    <w:bookmarkEnd w:id="26"/>
    <w:bookmarkStart w:id="28" w:name="ref-Arnell15"/>
    <w:p>
      <w:pPr>
        <w:pStyle w:val="Bibliography"/>
      </w:pPr>
      <w:r>
        <w:t xml:space="preserve">Arnell, N. W., Halliday, S. J., Battarbee, R. W., Skeffington, R. A., and Wade, A. J. (2015). The implications of climate change for the water environment in</w:t>
      </w:r>
      <w:r>
        <w:t xml:space="preserve"> </w:t>
      </w:r>
      <w:r>
        <w:t xml:space="preserve">E</w:t>
      </w:r>
      <w:r>
        <w:t xml:space="preserve">ngland.</w:t>
      </w:r>
      <w:r>
        <w:t xml:space="preserve"> </w:t>
      </w:r>
      <w:r>
        <w:rPr>
          <w:iCs/>
          <w:i/>
        </w:rPr>
        <w:t xml:space="preserve">Progress in Physical Geography</w:t>
      </w:r>
      <w:r>
        <w:t xml:space="preserve"> </w:t>
      </w:r>
      <w:r>
        <w:t xml:space="preserve">39, 93–120. Available at:</w:t>
      </w:r>
      <w:r>
        <w:t xml:space="preserve"> </w:t>
      </w:r>
      <w:hyperlink r:id="rId27">
        <w:r>
          <w:rPr>
            <w:rStyle w:val="Hyperlink"/>
          </w:rPr>
          <w:t xml:space="preserve">https://doi.org/10.1177/0309133314560369</w:t>
        </w:r>
      </w:hyperlink>
      <w:r>
        <w:t xml:space="preserve">.</w:t>
      </w:r>
    </w:p>
    <w:bookmarkEnd w:id="28"/>
    <w:bookmarkStart w:id="30"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29">
        <w:r>
          <w:rPr>
            <w:rStyle w:val="Hyperlink"/>
          </w:rPr>
          <w:t xml:space="preserve">https://doi.org/10.1016/j.ecoser.2020.101179</w:t>
        </w:r>
      </w:hyperlink>
      <w:r>
        <w:t xml:space="preserve">.</w:t>
      </w:r>
    </w:p>
    <w:bookmarkEnd w:id="30"/>
    <w:bookmarkStart w:id="31"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31"/>
    <w:bookmarkStart w:id="33"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32">
        <w:r>
          <w:rPr>
            <w:rStyle w:val="Hyperlink"/>
          </w:rPr>
          <w:t xml:space="preserve">https://doi.org/10.1371/journal.pone.0132651</w:t>
        </w:r>
      </w:hyperlink>
      <w:r>
        <w:t xml:space="preserve">.</w:t>
      </w:r>
    </w:p>
    <w:bookmarkEnd w:id="33"/>
    <w:bookmarkStart w:id="35"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34">
        <w:r>
          <w:rPr>
            <w:rStyle w:val="Hyperlink"/>
          </w:rPr>
          <w:t xml:space="preserve">https://doi.org/10.1073/pnas.1902181116</w:t>
        </w:r>
      </w:hyperlink>
      <w:r>
        <w:t xml:space="preserve">.</w:t>
      </w:r>
    </w:p>
    <w:bookmarkEnd w:id="35"/>
    <w:bookmarkStart w:id="37" w:name="ref-Cavanaugh14"/>
    <w:p>
      <w:pPr>
        <w:pStyle w:val="Bibliography"/>
      </w:pPr>
      <w:r>
        <w:t xml:space="preserve">Cavanaugh, K. C., Kellner, J. R., Forde, A. J., Gruner, D. S., Parker, J. D., Rodriguez, W., et al. (2014). Poleward expansion of mangroves is a threshold response to decreased frequency of extreme cold events.</w:t>
      </w:r>
      <w:r>
        <w:t xml:space="preserve"> </w:t>
      </w:r>
      <w:r>
        <w:rPr>
          <w:iCs/>
          <w:i/>
        </w:rPr>
        <w:t xml:space="preserve">Proceedings of the National Academy of Sciences</w:t>
      </w:r>
      <w:r>
        <w:t xml:space="preserve"> </w:t>
      </w:r>
      <w:r>
        <w:t xml:space="preserve">111, 723–727. Available at:</w:t>
      </w:r>
      <w:r>
        <w:t xml:space="preserve"> </w:t>
      </w:r>
      <w:hyperlink r:id="rId36">
        <w:r>
          <w:rPr>
            <w:rStyle w:val="Hyperlink"/>
          </w:rPr>
          <w:t xml:space="preserve">https://doi.org/10.1073/pnas.1315800111</w:t>
        </w:r>
      </w:hyperlink>
      <w:r>
        <w:t xml:space="preserve">.</w:t>
      </w:r>
    </w:p>
    <w:bookmarkEnd w:id="37"/>
    <w:bookmarkStart w:id="39"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38">
        <w:r>
          <w:rPr>
            <w:rStyle w:val="Hyperlink"/>
          </w:rPr>
          <w:t xml:space="preserve">https://doi.org/10.1016/j.ecoser.2018.09.004</w:t>
        </w:r>
      </w:hyperlink>
      <w:r>
        <w:t xml:space="preserve">.</w:t>
      </w:r>
    </w:p>
    <w:bookmarkEnd w:id="39"/>
    <w:bookmarkStart w:id="40" w:name="ref-Cicchetti11"/>
    <w:p>
      <w:pPr>
        <w:pStyle w:val="Bibliography"/>
      </w:pPr>
      <w:r>
        <w:t xml:space="preserve">Cicchetti, G., and Greening, H. (2011). Estuarine biotope mosaics and habitat management goals: An application in</w:t>
      </w:r>
      <w:r>
        <w:t xml:space="preserve"> </w:t>
      </w:r>
      <w:r>
        <w:t xml:space="preserve">T</w:t>
      </w:r>
      <w:r>
        <w:t xml:space="preserve">ampa</w:t>
      </w:r>
      <w:r>
        <w:t xml:space="preserve"> </w:t>
      </w:r>
      <w:r>
        <w:t xml:space="preserve">B</w:t>
      </w:r>
      <w:r>
        <w:t xml:space="preserve">ay,</w:t>
      </w:r>
      <w:r>
        <w:t xml:space="preserve"> </w:t>
      </w:r>
      <w:r>
        <w:t xml:space="preserve">FL</w:t>
      </w:r>
      <w:r>
        <w:t xml:space="preserve">,</w:t>
      </w:r>
      <w:r>
        <w:t xml:space="preserve"> </w:t>
      </w:r>
      <w:r>
        <w:t xml:space="preserve">USA</w:t>
      </w:r>
      <w:r>
        <w:t xml:space="preserve">.</w:t>
      </w:r>
      <w:r>
        <w:t xml:space="preserve"> </w:t>
      </w:r>
      <w:r>
        <w:rPr>
          <w:iCs/>
          <w:i/>
        </w:rPr>
        <w:t xml:space="preserve">Estuaries and Coasts</w:t>
      </w:r>
      <w:r>
        <w:t xml:space="preserve"> </w:t>
      </w:r>
      <w:r>
        <w:t xml:space="preserve">34, 1278–1292.</w:t>
      </w:r>
    </w:p>
    <w:bookmarkEnd w:id="40"/>
    <w:bookmarkStart w:id="42"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41">
        <w:r>
          <w:rPr>
            <w:rStyle w:val="Hyperlink"/>
          </w:rPr>
          <w:t xml:space="preserve">https://doi.org/10.1007/s12237-020-00733-0</w:t>
        </w:r>
      </w:hyperlink>
      <w:r>
        <w:t xml:space="preserve">.</w:t>
      </w:r>
    </w:p>
    <w:bookmarkEnd w:id="42"/>
    <w:bookmarkStart w:id="44" w:name="ref-Duarte09"/>
    <w:p>
      <w:pPr>
        <w:pStyle w:val="Bibliography"/>
      </w:pPr>
      <w:r>
        <w:t xml:space="preserve">Duarte, C. M., Conley, D. J., Carstensen, J., and Sánchez-Camacho, M. (2009). Return to</w:t>
      </w:r>
      <w:r>
        <w:t xml:space="preserve"> </w:t>
      </w:r>
      <w:r>
        <w:t xml:space="preserve">N</w:t>
      </w:r>
      <w:r>
        <w:t xml:space="preserve">everland: Shifting baselines affect eutrophication restoration targets.</w:t>
      </w:r>
      <w:r>
        <w:t xml:space="preserve"> </w:t>
      </w:r>
      <w:r>
        <w:rPr>
          <w:iCs/>
          <w:i/>
        </w:rPr>
        <w:t xml:space="preserve">Estuaries and Coasts</w:t>
      </w:r>
      <w:r>
        <w:t xml:space="preserve"> </w:t>
      </w:r>
      <w:r>
        <w:t xml:space="preserve">32, 29–36. Available at:</w:t>
      </w:r>
      <w:r>
        <w:t xml:space="preserve"> </w:t>
      </w:r>
      <w:hyperlink r:id="rId43">
        <w:r>
          <w:rPr>
            <w:rStyle w:val="Hyperlink"/>
          </w:rPr>
          <w:t xml:space="preserve">https://doi.org/10.1007/s12237-008-9111-2</w:t>
        </w:r>
      </w:hyperlink>
      <w:r>
        <w:t xml:space="preserve">.</w:t>
      </w:r>
    </w:p>
    <w:bookmarkEnd w:id="44"/>
    <w:bookmarkStart w:id="45" w:name="ref-Eleuterius79"/>
    <w:p>
      <w:pPr>
        <w:pStyle w:val="Bibliography"/>
      </w:pPr>
      <w:r>
        <w:t xml:space="preserve">Eleuterius, L. N., and Eleuterius, C. K. (1979). Tide levels and salt marsh zonation.</w:t>
      </w:r>
      <w:r>
        <w:t xml:space="preserve"> </w:t>
      </w:r>
      <w:r>
        <w:rPr>
          <w:iCs/>
          <w:i/>
        </w:rPr>
        <w:t xml:space="preserve">Bulletin of Marine Science</w:t>
      </w:r>
      <w:r>
        <w:t xml:space="preserve"> </w:t>
      </w:r>
      <w:r>
        <w:t xml:space="preserve">29, 394–400.</w:t>
      </w:r>
    </w:p>
    <w:bookmarkEnd w:id="45"/>
    <w:bookmarkStart w:id="47" w:name="ref-Enwright15"/>
    <w:p>
      <w:pPr>
        <w:pStyle w:val="Bibliography"/>
      </w:pPr>
      <w:r>
        <w:t xml:space="preserve">Enwright, N. M., Griffith, K. T., and Osland, M. J. (2015). Incorporating future change into current conservation planning - evaluating tidal saline wetland migration along the</w:t>
      </w:r>
      <w:r>
        <w:t xml:space="preserve"> </w:t>
      </w:r>
      <w:r>
        <w:t xml:space="preserve">U.S.</w:t>
      </w:r>
      <w:r>
        <w:t xml:space="preserve"> </w:t>
      </w:r>
      <w:r>
        <w:t xml:space="preserve">G</w:t>
      </w:r>
      <w:r>
        <w:t xml:space="preserve">ulf of</w:t>
      </w:r>
      <w:r>
        <w:t xml:space="preserve"> </w:t>
      </w:r>
      <w:r>
        <w:t xml:space="preserve">M</w:t>
      </w:r>
      <w:r>
        <w:t xml:space="preserve">exico coast under alternative sea-level rise and urbanization scenarios. U.S. Geological Survey Available at:</w:t>
      </w:r>
      <w:r>
        <w:t xml:space="preserve"> </w:t>
      </w:r>
      <w:hyperlink r:id="rId46">
        <w:r>
          <w:rPr>
            <w:rStyle w:val="Hyperlink"/>
          </w:rPr>
          <w:t xml:space="preserve">https://dx.doi.org/10.3133/ds969</w:t>
        </w:r>
      </w:hyperlink>
      <w:r>
        <w:t xml:space="preserve">.</w:t>
      </w:r>
    </w:p>
    <w:bookmarkEnd w:id="47"/>
    <w:bookmarkStart w:id="49" w:name="ref-Enwright16"/>
    <w:p>
      <w:pPr>
        <w:pStyle w:val="Bibliography"/>
      </w:pPr>
      <w:r>
        <w:t xml:space="preserve">Enwright, N. M., Griffith, K. T., and Osland, M. J. (2016). Barriers to and opportunities for landward migration of coastal wetlands with sea-level rise.</w:t>
      </w:r>
      <w:r>
        <w:t xml:space="preserve"> </w:t>
      </w:r>
      <w:r>
        <w:rPr>
          <w:iCs/>
          <w:i/>
        </w:rPr>
        <w:t xml:space="preserve">Frontiers in Ecology and the Environment</w:t>
      </w:r>
      <w:r>
        <w:t xml:space="preserve"> </w:t>
      </w:r>
      <w:r>
        <w:t xml:space="preserve">14, 307–316. Available at:</w:t>
      </w:r>
      <w:r>
        <w:t xml:space="preserve"> </w:t>
      </w:r>
      <w:hyperlink r:id="rId48">
        <w:r>
          <w:rPr>
            <w:rStyle w:val="Hyperlink"/>
          </w:rPr>
          <w:t xml:space="preserve">https://doi.org/10.1002/fee.1282</w:t>
        </w:r>
      </w:hyperlink>
      <w:r>
        <w:t xml:space="preserve">.</w:t>
      </w:r>
    </w:p>
    <w:bookmarkEnd w:id="49"/>
    <w:bookmarkStart w:id="51" w:name="ref-Garner15"/>
    <w:p>
      <w:pPr>
        <w:pStyle w:val="Bibliography"/>
      </w:pPr>
      <w:r>
        <w:t xml:space="preserve">Garner, K. L., Chang, M. Y., Fulda, M. T., Berlin, J. A., Freed, R. E., Soo-Hoo, M. M., et al. (2015). Impacts of sea level rise and climate change on coastal plant species in the central</w:t>
      </w:r>
      <w:r>
        <w:t xml:space="preserve"> </w:t>
      </w:r>
      <w:r>
        <w:t xml:space="preserve">C</w:t>
      </w:r>
      <w:r>
        <w:t xml:space="preserve">alifornia coast.</w:t>
      </w:r>
      <w:r>
        <w:t xml:space="preserve"> </w:t>
      </w:r>
      <w:r>
        <w:rPr>
          <w:iCs/>
          <w:i/>
        </w:rPr>
        <w:t xml:space="preserve">PeerJ</w:t>
      </w:r>
      <w:r>
        <w:t xml:space="preserve"> </w:t>
      </w:r>
      <w:r>
        <w:t xml:space="preserve">3, e958. Available at:</w:t>
      </w:r>
      <w:r>
        <w:t xml:space="preserve"> </w:t>
      </w:r>
      <w:hyperlink r:id="rId50">
        <w:r>
          <w:rPr>
            <w:rStyle w:val="Hyperlink"/>
          </w:rPr>
          <w:t xml:space="preserve">https://doi.org/10.7717/peerj.958</w:t>
        </w:r>
      </w:hyperlink>
      <w:r>
        <w:t xml:space="preserve">.</w:t>
      </w:r>
    </w:p>
    <w:bookmarkEnd w:id="51"/>
    <w:bookmarkStart w:id="52" w:name="ref-Gregory06"/>
    <w:p>
      <w:pPr>
        <w:pStyle w:val="Bibliography"/>
      </w:pPr>
      <w:r>
        <w:t xml:space="preserve">Gregory, R., Ohlson, D., and Arvai, J. (2006). Deconstructing adaptive management criteria for applications to environmental management.</w:t>
      </w:r>
      <w:r>
        <w:t xml:space="preserve"> </w:t>
      </w:r>
      <w:r>
        <w:rPr>
          <w:iCs/>
          <w:i/>
        </w:rPr>
        <w:t xml:space="preserve">Ecological Applications</w:t>
      </w:r>
      <w:r>
        <w:t xml:space="preserve"> </w:t>
      </w:r>
      <w:r>
        <w:t xml:space="preserve">16, 2411–2425.</w:t>
      </w:r>
    </w:p>
    <w:bookmarkEnd w:id="52"/>
    <w:bookmarkStart w:id="53" w:name="ref-Henningsen05"/>
    <w:p>
      <w:pPr>
        <w:pStyle w:val="Bibliography"/>
      </w:pPr>
      <w:r>
        <w:t xml:space="preserve">Henningsen, B. (2005). The maturation and future of habitat restoration programs for the</w:t>
      </w:r>
      <w:r>
        <w:t xml:space="preserve"> </w:t>
      </w:r>
      <w:r>
        <w:t xml:space="preserve">T</w:t>
      </w:r>
      <w:r>
        <w:t xml:space="preserve">ampa</w:t>
      </w:r>
      <w:r>
        <w:t xml:space="preserve"> </w:t>
      </w:r>
      <w:r>
        <w:t xml:space="preserve">B</w:t>
      </w:r>
      <w:r>
        <w:t xml:space="preserve">ay estuarine ecosystem. in</w:t>
      </w:r>
      <w:r>
        <w:t xml:space="preserve"> </w:t>
      </w:r>
      <w:r>
        <w:rPr>
          <w:iCs/>
          <w:i/>
        </w:rPr>
        <w:t xml:space="preserve">Proceedings of the tampa bay area scientific information symposium (BASIS 4)</w:t>
      </w:r>
      <w:r>
        <w:t xml:space="preserve">, ed. S. F. Treat (St. Petersburg, FL: Tampa Bay Estuary Program), 165–170.</w:t>
      </w:r>
    </w:p>
    <w:bookmarkEnd w:id="53"/>
    <w:bookmarkStart w:id="54" w:name="ref-Holling78"/>
    <w:p>
      <w:pPr>
        <w:pStyle w:val="Bibliography"/>
      </w:pPr>
      <w:r>
        <w:t xml:space="preserve">Holling, C. S. (1978).</w:t>
      </w:r>
      <w:r>
        <w:t xml:space="preserve"> </w:t>
      </w:r>
      <w:r>
        <w:rPr>
          <w:iCs/>
          <w:i/>
        </w:rPr>
        <w:t xml:space="preserve">Adaptive environmental assessment and management</w:t>
      </w:r>
      <w:r>
        <w:t xml:space="preserve">. Chichester, UK: John Wiley &amp; Sons.</w:t>
      </w:r>
    </w:p>
    <w:bookmarkEnd w:id="54"/>
    <w:bookmarkStart w:id="56"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55">
        <w:r>
          <w:rPr>
            <w:rStyle w:val="Hyperlink"/>
          </w:rPr>
          <w:t xml:space="preserve">https://doi.org/10.2307/1352488</w:t>
        </w:r>
      </w:hyperlink>
      <w:r>
        <w:t xml:space="preserve">.</w:t>
      </w:r>
    </w:p>
    <w:bookmarkEnd w:id="56"/>
    <w:bookmarkStart w:id="58" w:name="ref-Hughes11"/>
    <w:p>
      <w:pPr>
        <w:pStyle w:val="Bibliography"/>
      </w:pPr>
      <w:r>
        <w:t xml:space="preserve">Hughes, F. M. R., Stroh, P. A., Adams, W. M., Kirby, K. J., Mountford, J. O., and Warrington, S. (2011). Monitoring and evaluating large-scale, ’open-ended’ habitat creation projects: A journey rather than a destination.</w:t>
      </w:r>
      <w:r>
        <w:t xml:space="preserve"> </w:t>
      </w:r>
      <w:r>
        <w:rPr>
          <w:iCs/>
          <w:i/>
        </w:rPr>
        <w:t xml:space="preserve">Journal for Nature Conservation</w:t>
      </w:r>
      <w:r>
        <w:t xml:space="preserve"> </w:t>
      </w:r>
      <w:r>
        <w:t xml:space="preserve">19, 245–253. Available at:</w:t>
      </w:r>
      <w:r>
        <w:t xml:space="preserve"> </w:t>
      </w:r>
      <w:hyperlink r:id="rId57">
        <w:r>
          <w:rPr>
            <w:rStyle w:val="Hyperlink"/>
          </w:rPr>
          <w:t xml:space="preserve">https://doi.org/10.1016/j.jnc.2011.02.003</w:t>
        </w:r>
      </w:hyperlink>
      <w:r>
        <w:t xml:space="preserve">.</w:t>
      </w:r>
    </w:p>
    <w:bookmarkEnd w:id="58"/>
    <w:bookmarkStart w:id="60" w:name="ref-Iwamura13"/>
    <w:p>
      <w:pPr>
        <w:pStyle w:val="Bibliography"/>
      </w:pPr>
      <w:r>
        <w:t xml:space="preserve">Iwamura, T., Possingham, H. P., Chadés, I., Minton, C., Murray, N. J., Rogers, D. I., et al. (2013). Migratory connectivity magnifies the consequences of habitat loss from sea-level rise for shorebird populations.</w:t>
      </w:r>
      <w:r>
        <w:t xml:space="preserve"> </w:t>
      </w:r>
      <w:r>
        <w:rPr>
          <w:iCs/>
          <w:i/>
        </w:rPr>
        <w:t xml:space="preserve">Proceedings of the Royal Society B: Biological Sciences</w:t>
      </w:r>
      <w:r>
        <w:t xml:space="preserve"> </w:t>
      </w:r>
      <w:r>
        <w:t xml:space="preserve">280. Available at:</w:t>
      </w:r>
      <w:r>
        <w:t xml:space="preserve"> </w:t>
      </w:r>
      <w:hyperlink r:id="rId59">
        <w:r>
          <w:rPr>
            <w:rStyle w:val="Hyperlink"/>
          </w:rPr>
          <w:t xml:space="preserve">https://doi.org/10.1098/rspb.2013.0325</w:t>
        </w:r>
      </w:hyperlink>
      <w:r>
        <w:t xml:space="preserve">.</w:t>
      </w:r>
    </w:p>
    <w:bookmarkEnd w:id="60"/>
    <w:bookmarkStart w:id="61"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61"/>
    <w:bookmarkStart w:id="62" w:name="ref-Lewis96"/>
    <w:p>
      <w:pPr>
        <w:pStyle w:val="Bibliography"/>
      </w:pPr>
      <w:r>
        <w:t xml:space="preserve">Lewis, R., R. R. (1996). Setting priorities for</w:t>
      </w:r>
      <w:r>
        <w:t xml:space="preserve"> </w:t>
      </w:r>
      <w:r>
        <w:t xml:space="preserve">T</w:t>
      </w:r>
      <w:r>
        <w:t xml:space="preserve">ampa</w:t>
      </w:r>
      <w:r>
        <w:t xml:space="preserve"> </w:t>
      </w:r>
      <w:r>
        <w:t xml:space="preserve">B</w:t>
      </w:r>
      <w:r>
        <w:t xml:space="preserve">ay habitat protection and restoration: Restoring the balance. Tampa Bay Estuary Program, St. Petersburg, Florida.</w:t>
      </w:r>
    </w:p>
    <w:bookmarkEnd w:id="62"/>
    <w:bookmarkStart w:id="64"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63">
        <w:r>
          <w:rPr>
            <w:rStyle w:val="Hyperlink"/>
          </w:rPr>
          <w:t xml:space="preserve">https://doi.org/10.1016/j.ecoser.2018.09.005</w:t>
        </w:r>
      </w:hyperlink>
      <w:r>
        <w:t xml:space="preserve">.</w:t>
      </w:r>
    </w:p>
    <w:bookmarkEnd w:id="64"/>
    <w:bookmarkStart w:id="66" w:name="ref-Nerem18"/>
    <w:p>
      <w:pPr>
        <w:pStyle w:val="Bibliography"/>
      </w:pPr>
      <w:r>
        <w:t xml:space="preserve">Nerem, R. S., Beckley, B. D., Fasullo, J. T., Hamlington, B. D., Masters, D., and Mitchum, G. T. (2018). Climate-change driven accelerated sea-level rise.</w:t>
      </w:r>
      <w:r>
        <w:t xml:space="preserve"> </w:t>
      </w:r>
      <w:r>
        <w:rPr>
          <w:iCs/>
          <w:i/>
        </w:rPr>
        <w:t xml:space="preserve">Proceedings of the National Academy of Sciences</w:t>
      </w:r>
      <w:r>
        <w:t xml:space="preserve"> </w:t>
      </w:r>
      <w:r>
        <w:t xml:space="preserve">115, 2022–2025. Available at:</w:t>
      </w:r>
      <w:r>
        <w:t xml:space="preserve"> </w:t>
      </w:r>
      <w:hyperlink r:id="rId65">
        <w:r>
          <w:rPr>
            <w:rStyle w:val="Hyperlink"/>
          </w:rPr>
          <w:t xml:space="preserve">https://doi.org/10.1073/pnas.1717312115</w:t>
        </w:r>
      </w:hyperlink>
      <w:r>
        <w:t xml:space="preserve">.</w:t>
      </w:r>
    </w:p>
    <w:bookmarkEnd w:id="66"/>
    <w:bookmarkStart w:id="68" w:name="ref-Palmer09"/>
    <w:p>
      <w:pPr>
        <w:pStyle w:val="Bibliography"/>
      </w:pPr>
      <w:r>
        <w:t xml:space="preserve">Palmer, M. A. (2009). Reforming watershed restoration: Science in need of application and applications in need of science.</w:t>
      </w:r>
      <w:r>
        <w:t xml:space="preserve"> </w:t>
      </w:r>
      <w:r>
        <w:rPr>
          <w:iCs/>
          <w:i/>
        </w:rPr>
        <w:t xml:space="preserve">Estuaries and Coasts</w:t>
      </w:r>
      <w:r>
        <w:t xml:space="preserve"> </w:t>
      </w:r>
      <w:r>
        <w:t xml:space="preserve">32, 1–17. Available at:</w:t>
      </w:r>
      <w:r>
        <w:t xml:space="preserve"> </w:t>
      </w:r>
      <w:hyperlink r:id="rId67">
        <w:r>
          <w:rPr>
            <w:rStyle w:val="Hyperlink"/>
          </w:rPr>
          <w:t xml:space="preserve">https://doi.org/10.1007/s12237-008-9129-5</w:t>
        </w:r>
      </w:hyperlink>
      <w:r>
        <w:t xml:space="preserve">.</w:t>
      </w:r>
    </w:p>
    <w:bookmarkEnd w:id="68"/>
    <w:bookmarkStart w:id="69" w:name="ref-Price17"/>
    <w:p>
      <w:pPr>
        <w:pStyle w:val="Bibliography"/>
      </w:pPr>
      <w:r>
        <w:t xml:space="preserve">Price, R., Loy, D., and Robison, D. (2017). Critical coastal habitat assessment: Baseline monitoring report. Tampa Bay Estuary Program, St. Petersburg, Florida.</w:t>
      </w:r>
    </w:p>
    <w:bookmarkEnd w:id="69"/>
    <w:bookmarkStart w:id="71" w:name="ref-Raabe12"/>
    <w:p>
      <w:pPr>
        <w:pStyle w:val="Bibliography"/>
      </w:pPr>
      <w:r>
        <w:t xml:space="preserve">Raabe, E., Roy, L. C., and McIvor, C. (2012).</w:t>
      </w:r>
      <w:r>
        <w:t xml:space="preserve"> </w:t>
      </w:r>
      <w:r>
        <w:t xml:space="preserve">T</w:t>
      </w:r>
      <w:r>
        <w:t xml:space="preserve">ampa</w:t>
      </w:r>
      <w:r>
        <w:t xml:space="preserve"> </w:t>
      </w:r>
      <w:r>
        <w:t xml:space="preserve">B</w:t>
      </w:r>
      <w:r>
        <w:t xml:space="preserve">ay coastal wetlands: Nineteenth to twentieth century tidal marsh-to-mangrove conversion.</w:t>
      </w:r>
      <w:r>
        <w:t xml:space="preserve"> </w:t>
      </w:r>
      <w:r>
        <w:rPr>
          <w:iCs/>
          <w:i/>
        </w:rPr>
        <w:t xml:space="preserve">Estuaries and Coasts</w:t>
      </w:r>
      <w:r>
        <w:t xml:space="preserve"> </w:t>
      </w:r>
      <w:r>
        <w:t xml:space="preserve">35, 1145–1162. Available at:</w:t>
      </w:r>
      <w:r>
        <w:t xml:space="preserve"> </w:t>
      </w:r>
      <w:hyperlink r:id="rId70">
        <w:r>
          <w:rPr>
            <w:rStyle w:val="Hyperlink"/>
          </w:rPr>
          <w:t xml:space="preserve">https://doi.org/10.1007/s12237-012-9503-1</w:t>
        </w:r>
      </w:hyperlink>
      <w:r>
        <w:t xml:space="preserve">.</w:t>
      </w:r>
    </w:p>
    <w:bookmarkEnd w:id="71"/>
    <w:bookmarkStart w:id="72"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72"/>
    <w:bookmarkStart w:id="74" w:name="ref-Robison20"/>
    <w:p>
      <w:pPr>
        <w:pStyle w:val="Bibliography"/>
      </w:pPr>
      <w:r>
        <w:t xml:space="preserve">Robison, D., Ries, T., Saarinen, J., Tomasko, D., and Sciarrino, C. (2020). Tampa bay estuary program: 2020 habitat master plan update. Tampa Bay Estuary Program, St. Petersburg, Florida Available at:</w:t>
      </w:r>
      <w:r>
        <w:t xml:space="preserve"> </w:t>
      </w:r>
      <w:hyperlink r:id="rId73">
        <w:r>
          <w:rPr>
            <w:rStyle w:val="Hyperlink"/>
          </w:rPr>
          <w:t xml:space="preserve">https://drive.google.com/file/d/1Hp0l_qtbxp1JxKJoGatdyuANSzQrpL0I/view?usp=drivesdk</w:t>
        </w:r>
      </w:hyperlink>
      <w:r>
        <w:t xml:space="preserve">.</w:t>
      </w:r>
    </w:p>
    <w:bookmarkEnd w:id="74"/>
    <w:bookmarkStart w:id="76" w:name="ref-Russell15"/>
    <w:p>
      <w:pPr>
        <w:pStyle w:val="Bibliography"/>
      </w:pPr>
      <w:r>
        <w:t xml:space="preserve">Russell, M., and Greening, H. (2015). Estimating benefits in a recovering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Estuaries and Coasts</w:t>
      </w:r>
      <w:r>
        <w:t xml:space="preserve"> </w:t>
      </w:r>
      <w:r>
        <w:t xml:space="preserve">38, 9–18. Available at:</w:t>
      </w:r>
      <w:r>
        <w:t xml:space="preserve"> </w:t>
      </w:r>
      <w:hyperlink r:id="rId75">
        <w:r>
          <w:rPr>
            <w:rStyle w:val="Hyperlink"/>
          </w:rPr>
          <w:t xml:space="preserve">https://doi.org/10.1007/s12237-013-9662-8</w:t>
        </w:r>
      </w:hyperlink>
      <w:r>
        <w:t xml:space="preserve">.</w:t>
      </w:r>
    </w:p>
    <w:bookmarkEnd w:id="76"/>
    <w:bookmarkStart w:id="78" w:name="ref-Scavia02"/>
    <w:p>
      <w:pPr>
        <w:pStyle w:val="Bibliography"/>
      </w:pPr>
      <w:r>
        <w:t xml:space="preserve">Scavia, D., Field, J. C., Boesch, D. F., Buddemeier, R. W., Burkett, V., Cayan, D. R., et al. (2002). Climate change impacts on</w:t>
      </w:r>
      <w:r>
        <w:t xml:space="preserve"> </w:t>
      </w:r>
      <w:r>
        <w:t xml:space="preserve">U.S.</w:t>
      </w:r>
      <w:r>
        <w:t xml:space="preserve"> </w:t>
      </w:r>
      <w:r>
        <w:t xml:space="preserve">Coastal and marine ecosystems.</w:t>
      </w:r>
      <w:r>
        <w:t xml:space="preserve"> </w:t>
      </w:r>
      <w:r>
        <w:rPr>
          <w:iCs/>
          <w:i/>
        </w:rPr>
        <w:t xml:space="preserve">Estuaries</w:t>
      </w:r>
      <w:r>
        <w:t xml:space="preserve"> </w:t>
      </w:r>
      <w:r>
        <w:t xml:space="preserve">25, 149–164. Available at:</w:t>
      </w:r>
      <w:r>
        <w:t xml:space="preserve"> </w:t>
      </w:r>
      <w:hyperlink r:id="rId77">
        <w:r>
          <w:rPr>
            <w:rStyle w:val="Hyperlink"/>
          </w:rPr>
          <w:t xml:space="preserve">https://doi.org/10.1007/BF02691304</w:t>
        </w:r>
      </w:hyperlink>
      <w:r>
        <w:t xml:space="preserve">.</w:t>
      </w:r>
    </w:p>
    <w:bookmarkEnd w:id="78"/>
    <w:bookmarkStart w:id="79" w:name="ref-Sheehan16"/>
    <w:p>
      <w:pPr>
        <w:pStyle w:val="Bibliography"/>
      </w:pPr>
      <w:r>
        <w:t xml:space="preserve">Sheehan, L., Crooks, D., Robison, D., and Tomasko, D. (2016).</w:t>
      </w:r>
      <w:r>
        <w:t xml:space="preserve"> </w:t>
      </w:r>
      <w:r>
        <w:t xml:space="preserve">T</w:t>
      </w:r>
      <w:r>
        <w:t xml:space="preserve">ampa</w:t>
      </w:r>
      <w:r>
        <w:t xml:space="preserve"> </w:t>
      </w:r>
      <w:r>
        <w:t xml:space="preserve">B</w:t>
      </w:r>
      <w:r>
        <w:t xml:space="preserve">ay blue carbon assessment: Summary of findings.</w:t>
      </w:r>
      <w:r>
        <w:t xml:space="preserve"> </w:t>
      </w:r>
      <w:r>
        <w:t xml:space="preserve">F</w:t>
      </w:r>
      <w:r>
        <w:t xml:space="preserve">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(2014) for</w:t>
      </w:r>
      <w:r>
        <w:t xml:space="preserve"> </w:t>
      </w:r>
      <w:r>
        <w:t xml:space="preserve">R</w:t>
      </w:r>
      <w:r>
        <w:t xml:space="preserve">estore</w:t>
      </w:r>
      <w:r>
        <w:t xml:space="preserve"> </w:t>
      </w:r>
      <w:r>
        <w:t xml:space="preserve">A</w:t>
      </w:r>
      <w:r>
        <w:t xml:space="preserve">merica’s</w:t>
      </w:r>
      <w:r>
        <w:t xml:space="preserve"> </w:t>
      </w:r>
      <w:r>
        <w:t xml:space="preserve">E</w:t>
      </w:r>
      <w:r>
        <w:t xml:space="preserve">stuaries. Tampa Bay Estuary Program, St. Petersburg, Florida.</w:t>
      </w:r>
    </w:p>
    <w:bookmarkEnd w:id="79"/>
    <w:bookmarkStart w:id="80" w:name="ref-Sim14"/>
    <w:p>
      <w:pPr>
        <w:pStyle w:val="Bibliography"/>
      </w:pPr>
      <w:r>
        <w:t xml:space="preserve">Sim, S., and Mesev, V. (2014). Measuring and modeling of urban growth and its impacts on vegetation and species habitats in greater orlando, florida.</w:t>
      </w:r>
      <w:r>
        <w:t xml:space="preserve"> </w:t>
      </w:r>
      <w:r>
        <w:rPr>
          <w:iCs/>
          <w:i/>
        </w:rPr>
        <w:t xml:space="preserve">International Journal of Geospatial and Environmental Research</w:t>
      </w:r>
      <w:r>
        <w:t xml:space="preserve"> </w:t>
      </w:r>
      <w:r>
        <w:t xml:space="preserve">1, 1–5.</w:t>
      </w:r>
    </w:p>
    <w:bookmarkEnd w:id="80"/>
    <w:bookmarkStart w:id="81" w:name="ref-Spalding07"/>
    <w:p>
      <w:pPr>
        <w:pStyle w:val="Bibliography"/>
      </w:pPr>
      <w:r>
        <w:t xml:space="preserve">Spalding, E. A., and Hester, M. W. (2007). Interactive effects of hydrology and salinity on oligohaline plant species productivity: Implications of relative sea-level rise.</w:t>
      </w:r>
      <w:r>
        <w:t xml:space="preserve"> </w:t>
      </w:r>
      <w:r>
        <w:rPr>
          <w:iCs/>
          <w:i/>
        </w:rPr>
        <w:t xml:space="preserve">Estuaries and Coasts</w:t>
      </w:r>
      <w:r>
        <w:t xml:space="preserve"> </w:t>
      </w:r>
      <w:r>
        <w:t xml:space="preserve">30, 214–225.</w:t>
      </w:r>
    </w:p>
    <w:bookmarkEnd w:id="81"/>
    <w:bookmarkStart w:id="82"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82"/>
    <w:bookmarkStart w:id="83" w:name="ref-Stout84"/>
    <w:p>
      <w:pPr>
        <w:pStyle w:val="Bibliography"/>
      </w:pPr>
      <w:r>
        <w:t xml:space="preserve">Stout, J. P. (1984). Ecology of irregularly flooded salt marshes of the northeastern</w:t>
      </w:r>
      <w:r>
        <w:t xml:space="preserve"> </w:t>
      </w:r>
      <w:r>
        <w:t xml:space="preserve">G</w:t>
      </w:r>
      <w:r>
        <w:t xml:space="preserve">ulf of</w:t>
      </w:r>
      <w:r>
        <w:t xml:space="preserve"> </w:t>
      </w:r>
      <w:r>
        <w:t xml:space="preserve">M</w:t>
      </w:r>
      <w:r>
        <w:t xml:space="preserve">exico: A community profile. National Coastal Ecosystems Team, Division of Biological Services, Research; Development, Fish; Wildlife Service, U.S. Department of the Interior.</w:t>
      </w:r>
    </w:p>
    <w:bookmarkEnd w:id="83"/>
    <w:bookmarkStart w:id="85" w:name="ref-Theobald97"/>
    <w:p>
      <w:pPr>
        <w:pStyle w:val="Bibliography"/>
      </w:pPr>
      <w:r>
        <w:t xml:space="preserve">Theobald, D. M., Miller, J. R., and Hobbs, N. T. (1997). Estimating the cumulative effects of development on wildlife habitat.</w:t>
      </w:r>
      <w:r>
        <w:t xml:space="preserve"> </w:t>
      </w:r>
      <w:r>
        <w:rPr>
          <w:iCs/>
          <w:i/>
        </w:rPr>
        <w:t xml:space="preserve">Landscape and Urban Planning</w:t>
      </w:r>
      <w:r>
        <w:t xml:space="preserve"> </w:t>
      </w:r>
      <w:r>
        <w:t xml:space="preserve">39, 25–36. Available at:</w:t>
      </w:r>
      <w:r>
        <w:t xml:space="preserve"> </w:t>
      </w:r>
      <w:hyperlink r:id="rId84">
        <w:r>
          <w:rPr>
            <w:rStyle w:val="Hyperlink"/>
          </w:rPr>
          <w:t xml:space="preserve">https://doi.org/10.1016/S0169-2046(97)00041-8</w:t>
        </w:r>
      </w:hyperlink>
      <w:r>
        <w:t xml:space="preserve">.</w:t>
      </w:r>
    </w:p>
    <w:bookmarkEnd w:id="85"/>
    <w:bookmarkStart w:id="87"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86">
        <w:r>
          <w:rPr>
            <w:rStyle w:val="Hyperlink"/>
          </w:rPr>
          <w:t xml:space="preserve">https://doi.org/10.1088/1748-9326/4/4/044008</w:t>
        </w:r>
      </w:hyperlink>
      <w:r>
        <w:t xml:space="preserve">.</w:t>
      </w:r>
    </w:p>
    <w:bookmarkEnd w:id="87"/>
    <w:bookmarkStart w:id="89"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88">
        <w:r>
          <w:rPr>
            <w:rStyle w:val="Hyperlink"/>
          </w:rPr>
          <w:t xml:space="preserve">https://doi.org/10.1016/j.rse.2011.06.027</w:t>
        </w:r>
      </w:hyperlink>
      <w:r>
        <w:t xml:space="preserve">.</w:t>
      </w:r>
    </w:p>
    <w:bookmarkEnd w:id="89"/>
    <w:bookmarkStart w:id="91" w:name="ref-Whitehead09"/>
    <w:p>
      <w:pPr>
        <w:pStyle w:val="Bibliography"/>
      </w:pPr>
      <w:r>
        <w:t xml:space="preserve">Whitehead, P. G., Wilby, R. L., Battarbee, R. W., Kernan, M., and Wade, A. J. (2009). A review of the potential impacts of climate change on surface water quality.</w:t>
      </w:r>
      <w:r>
        <w:t xml:space="preserve"> </w:t>
      </w:r>
      <w:r>
        <w:rPr>
          <w:iCs/>
          <w:i/>
        </w:rPr>
        <w:t xml:space="preserve">Hydrological Sciences Journal</w:t>
      </w:r>
      <w:r>
        <w:t xml:space="preserve"> </w:t>
      </w:r>
      <w:r>
        <w:t xml:space="preserve">54, 101–123. Available at:</w:t>
      </w:r>
      <w:r>
        <w:t xml:space="preserve"> </w:t>
      </w:r>
      <w:hyperlink r:id="rId90">
        <w:r>
          <w:rPr>
            <w:rStyle w:val="Hyperlink"/>
          </w:rPr>
          <w:t xml:space="preserve">https://doi.org/10.1623/hysj.54.1.101</w:t>
        </w:r>
      </w:hyperlink>
      <w:r>
        <w:t xml:space="preserve">.</w:t>
      </w:r>
    </w:p>
    <w:bookmarkEnd w:id="91"/>
    <w:bookmarkStart w:id="93"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92">
        <w:r>
          <w:rPr>
            <w:rStyle w:val="Hyperlink"/>
          </w:rPr>
          <w:t xml:space="preserve">https://doi.org/10.1007/s12237-014-9926-y</w:t>
        </w:r>
      </w:hyperlink>
      <w:r>
        <w:t xml:space="preserve">.</w:t>
      </w:r>
    </w:p>
    <w:bookmarkEnd w:id="93"/>
    <w:bookmarkEnd w:id="94"/>
    <w:bookmarkEnd w:id="95"/>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8" Target="https://doi.org/10.1002/fee.1282" TargetMode="External" /><Relationship Type="http://schemas.openxmlformats.org/officeDocument/2006/relationships/hyperlink" Id="rId77" Target="https://doi.org/10.1007/BF02691304" TargetMode="External" /><Relationship Type="http://schemas.openxmlformats.org/officeDocument/2006/relationships/hyperlink" Id="rId43" Target="https://doi.org/10.1007/s12237-008-9111-2" TargetMode="External" /><Relationship Type="http://schemas.openxmlformats.org/officeDocument/2006/relationships/hyperlink" Id="rId67" Target="https://doi.org/10.1007/s12237-008-9129-5" TargetMode="External" /><Relationship Type="http://schemas.openxmlformats.org/officeDocument/2006/relationships/hyperlink" Id="rId70" Target="https://doi.org/10.1007/s12237-012-9503-1" TargetMode="External" /><Relationship Type="http://schemas.openxmlformats.org/officeDocument/2006/relationships/hyperlink" Id="rId75" Target="https://doi.org/10.1007/s12237-013-9662-8" TargetMode="External" /><Relationship Type="http://schemas.openxmlformats.org/officeDocument/2006/relationships/hyperlink" Id="rId92" Target="https://doi.org/10.1007/s12237-014-9926-y" TargetMode="External" /><Relationship Type="http://schemas.openxmlformats.org/officeDocument/2006/relationships/hyperlink" Id="rId41" Target="https://doi.org/10.1007/s12237-020-00733-0" TargetMode="External" /><Relationship Type="http://schemas.openxmlformats.org/officeDocument/2006/relationships/hyperlink" Id="rId84" Target="https://doi.org/10.1016/S0169-2046(97)00041-8" TargetMode="External" /><Relationship Type="http://schemas.openxmlformats.org/officeDocument/2006/relationships/hyperlink" Id="rId38" Target="https://doi.org/10.1016/j.ecoser.2018.09.004" TargetMode="External" /><Relationship Type="http://schemas.openxmlformats.org/officeDocument/2006/relationships/hyperlink" Id="rId63" Target="https://doi.org/10.1016/j.ecoser.2018.09.005" TargetMode="External" /><Relationship Type="http://schemas.openxmlformats.org/officeDocument/2006/relationships/hyperlink" Id="rId29" Target="https://doi.org/10.1016/j.ecoser.2020.101179" TargetMode="External" /><Relationship Type="http://schemas.openxmlformats.org/officeDocument/2006/relationships/hyperlink" Id="rId57" Target="https://doi.org/10.1016/j.jnc.2011.02.003" TargetMode="External" /><Relationship Type="http://schemas.openxmlformats.org/officeDocument/2006/relationships/hyperlink" Id="rId88" Target="https://doi.org/10.1016/j.rse.2011.06.027" TargetMode="External" /><Relationship Type="http://schemas.openxmlformats.org/officeDocument/2006/relationships/hyperlink" Id="rId36" Target="https://doi.org/10.1073/pnas.1315800111" TargetMode="External" /><Relationship Type="http://schemas.openxmlformats.org/officeDocument/2006/relationships/hyperlink" Id="rId65" Target="https://doi.org/10.1073/pnas.1717312115" TargetMode="External" /><Relationship Type="http://schemas.openxmlformats.org/officeDocument/2006/relationships/hyperlink" Id="rId34" Target="https://doi.org/10.1073/pnas.1902181116" TargetMode="External" /><Relationship Type="http://schemas.openxmlformats.org/officeDocument/2006/relationships/hyperlink" Id="rId86" Target="https://doi.org/10.1088/1748-9326/4/4/044008" TargetMode="External" /><Relationship Type="http://schemas.openxmlformats.org/officeDocument/2006/relationships/hyperlink" Id="rId59" Target="https://doi.org/10.1098/rspb.2013.0325" TargetMode="External" /><Relationship Type="http://schemas.openxmlformats.org/officeDocument/2006/relationships/hyperlink" Id="rId27" Target="https://doi.org/10.1177/0309133314560369" TargetMode="External" /><Relationship Type="http://schemas.openxmlformats.org/officeDocument/2006/relationships/hyperlink" Id="rId32" Target="https://doi.org/10.1371/journal.pone.0132651" TargetMode="External" /><Relationship Type="http://schemas.openxmlformats.org/officeDocument/2006/relationships/hyperlink" Id="rId90" Target="https://doi.org/10.1623/hysj.54.1.101" TargetMode="External" /><Relationship Type="http://schemas.openxmlformats.org/officeDocument/2006/relationships/hyperlink" Id="rId55" Target="https://doi.org/10.2307/1352488" TargetMode="External" /><Relationship Type="http://schemas.openxmlformats.org/officeDocument/2006/relationships/hyperlink" Id="rId50" Target="https://doi.org/10.7717/peerj.958" TargetMode="External" /><Relationship Type="http://schemas.openxmlformats.org/officeDocument/2006/relationships/hyperlink" Id="rId73" Target="https://drive.google.com/file/d/1Hp0l_qtbxp1JxKJoGatdyuANSzQrpL0I/view?usp=drivesdk" TargetMode="External" /><Relationship Type="http://schemas.openxmlformats.org/officeDocument/2006/relationships/hyperlink" Id="rId46" Target="https://dx.doi.org/10.3133/ds969"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2/fee.1282" TargetMode="External" /><Relationship Type="http://schemas.openxmlformats.org/officeDocument/2006/relationships/hyperlink" Id="rId77" Target="https://doi.org/10.1007/BF02691304" TargetMode="External" /><Relationship Type="http://schemas.openxmlformats.org/officeDocument/2006/relationships/hyperlink" Id="rId43" Target="https://doi.org/10.1007/s12237-008-9111-2" TargetMode="External" /><Relationship Type="http://schemas.openxmlformats.org/officeDocument/2006/relationships/hyperlink" Id="rId67" Target="https://doi.org/10.1007/s12237-008-9129-5" TargetMode="External" /><Relationship Type="http://schemas.openxmlformats.org/officeDocument/2006/relationships/hyperlink" Id="rId70" Target="https://doi.org/10.1007/s12237-012-9503-1" TargetMode="External" /><Relationship Type="http://schemas.openxmlformats.org/officeDocument/2006/relationships/hyperlink" Id="rId75" Target="https://doi.org/10.1007/s12237-013-9662-8" TargetMode="External" /><Relationship Type="http://schemas.openxmlformats.org/officeDocument/2006/relationships/hyperlink" Id="rId92" Target="https://doi.org/10.1007/s12237-014-9926-y" TargetMode="External" /><Relationship Type="http://schemas.openxmlformats.org/officeDocument/2006/relationships/hyperlink" Id="rId41" Target="https://doi.org/10.1007/s12237-020-00733-0" TargetMode="External" /><Relationship Type="http://schemas.openxmlformats.org/officeDocument/2006/relationships/hyperlink" Id="rId84" Target="https://doi.org/10.1016/S0169-2046(97)00041-8" TargetMode="External" /><Relationship Type="http://schemas.openxmlformats.org/officeDocument/2006/relationships/hyperlink" Id="rId38" Target="https://doi.org/10.1016/j.ecoser.2018.09.004" TargetMode="External" /><Relationship Type="http://schemas.openxmlformats.org/officeDocument/2006/relationships/hyperlink" Id="rId63" Target="https://doi.org/10.1016/j.ecoser.2018.09.005" TargetMode="External" /><Relationship Type="http://schemas.openxmlformats.org/officeDocument/2006/relationships/hyperlink" Id="rId29" Target="https://doi.org/10.1016/j.ecoser.2020.101179" TargetMode="External" /><Relationship Type="http://schemas.openxmlformats.org/officeDocument/2006/relationships/hyperlink" Id="rId57" Target="https://doi.org/10.1016/j.jnc.2011.02.003" TargetMode="External" /><Relationship Type="http://schemas.openxmlformats.org/officeDocument/2006/relationships/hyperlink" Id="rId88" Target="https://doi.org/10.1016/j.rse.2011.06.027" TargetMode="External" /><Relationship Type="http://schemas.openxmlformats.org/officeDocument/2006/relationships/hyperlink" Id="rId36" Target="https://doi.org/10.1073/pnas.1315800111" TargetMode="External" /><Relationship Type="http://schemas.openxmlformats.org/officeDocument/2006/relationships/hyperlink" Id="rId65" Target="https://doi.org/10.1073/pnas.1717312115" TargetMode="External" /><Relationship Type="http://schemas.openxmlformats.org/officeDocument/2006/relationships/hyperlink" Id="rId34" Target="https://doi.org/10.1073/pnas.1902181116" TargetMode="External" /><Relationship Type="http://schemas.openxmlformats.org/officeDocument/2006/relationships/hyperlink" Id="rId86" Target="https://doi.org/10.1088/1748-9326/4/4/044008" TargetMode="External" /><Relationship Type="http://schemas.openxmlformats.org/officeDocument/2006/relationships/hyperlink" Id="rId59" Target="https://doi.org/10.1098/rspb.2013.0325" TargetMode="External" /><Relationship Type="http://schemas.openxmlformats.org/officeDocument/2006/relationships/hyperlink" Id="rId27" Target="https://doi.org/10.1177/0309133314560369" TargetMode="External" /><Relationship Type="http://schemas.openxmlformats.org/officeDocument/2006/relationships/hyperlink" Id="rId32" Target="https://doi.org/10.1371/journal.pone.0132651" TargetMode="External" /><Relationship Type="http://schemas.openxmlformats.org/officeDocument/2006/relationships/hyperlink" Id="rId90" Target="https://doi.org/10.1623/hysj.54.1.101" TargetMode="External" /><Relationship Type="http://schemas.openxmlformats.org/officeDocument/2006/relationships/hyperlink" Id="rId55" Target="https://doi.org/10.2307/1352488" TargetMode="External" /><Relationship Type="http://schemas.openxmlformats.org/officeDocument/2006/relationships/hyperlink" Id="rId50" Target="https://doi.org/10.7717/peerj.958" TargetMode="External" /><Relationship Type="http://schemas.openxmlformats.org/officeDocument/2006/relationships/hyperlink" Id="rId73" Target="https://drive.google.com/file/d/1Hp0l_qtbxp1JxKJoGatdyuANSzQrpL0I/view?usp=drivesdk" TargetMode="External" /><Relationship Type="http://schemas.openxmlformats.org/officeDocument/2006/relationships/hyperlink" Id="rId46" Target="https://dx.doi.org/10.3133/ds969"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Raulerson1, Douglas E Robison2, Marcus W Beck1,✉, Maya C Burke1, Justin Saarinen2, Christine Sciarrino2, Edward T Sherwood1, and David A Tomasko3</dc:creator>
  <cp:keywords/>
  <dcterms:created xsi:type="dcterms:W3CDTF">2022-08-04T14:33:38Z</dcterms:created>
  <dcterms:modified xsi:type="dcterms:W3CDTF">2022-08-04T14:33:38Z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csl">
    <vt:lpwstr>frontiers-in-ecology-and-evolution.csl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Tampa Bay watershed habitat restoration planning</vt:lpwstr>
  </property>
  <property fmtid="{D5CDD505-2E9C-101B-9397-08002B2CF9AE}" pid="12" name="toc-title">
    <vt:lpwstr>Table of contents</vt:lpwstr>
  </property>
</Properties>
</file>