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jpg" ContentType="image/jpeg"/>
  <Override PartName="/word/media/rId48.jpg" ContentType="image/jpeg"/>
  <Override PartName="/word/media/rId44.jpg" ContentType="image/jpeg"/>
  <Override PartName="/word/media/rId60.jpg" ContentType="image/jpeg"/>
  <Override PartName="/word/media/rId64.jpg" ContentType="image/jpeg"/>
  <Override PartName="/word/media/rId5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restoration framework for native habitats was created for the Tampa Bay watershed that identifies current opportunities and establishes short-term (2030) targets and long-term (2050) goals. The approach was informed through a three-decade habitat change analysis and over forty years of habitat restoration projects in the region. Although significant gains in subtidal habitats have been observed, expansion of mangroves into salt marshes and loss of native upland habitats to development highlights the need to target these locations for restoration. The long-term loss of potentially restorable lands to both coastal and upland development further underscores the diminishing restoration opportunities in the watershed. The established targets and goals identified habitats to maintain at their present level (e.g., mangroves) and those that require additional progress (e.g., oyster bars) based on past trends and an expected level of effort given the restoration history of the region. The new approach also accounts for the future effects of sea-level rise, climate change, and watershed development by prioritizing native coastal habitats relative to subtidal or upland areas. Maps were created to identify the restoration opportunities where practitioners could focus efforts to achieve the targets and goals, with methods for repeatable analyses also available using an open source workflow.</w:t>
      </w:r>
    </w:p>
    <w:p>
      <w:pPr>
        <w:pStyle w:val="BodyText"/>
      </w:pPr>
      <w:r>
        <w:rPr>
          <w:iCs/>
          <w:i/>
        </w:rPr>
        <w:t xml:space="preserve">Key words</w:t>
      </w:r>
      <w:r>
        <w:t xml:space="preserve">: Florida, habitat loss, land use change,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Anthropogenic stressors can negatively impact the services provided by coastal habitats and restoration practitioners must consider the anticipated effects of these stressors during planning</w:t>
      </w:r>
      <w:r>
        <w:t xml:space="preserve"> </w:t>
      </w:r>
      <w:r>
        <w:t xml:space="preserve">(Elliott et al., 2007; White and Kaplan, 2017)</w:t>
      </w:r>
      <w:r>
        <w:t xml:space="preserve">. The combined effects of land development and climate change are especially problematic for prioritizing habitat restoration activities in coastal environments.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and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habitats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Data sources are described below and in Table S1. Uplands were further sub-divided into coastal and non-coastal uplands based on location relative to the 5-foot contour (~1.5m elevation)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 The coastal stratum within the 5-foot contour is used to better identify and prioritize coastal habitats at risk of landward migration and coastal development given that it includes the area of land within the sea level rise projections.</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These data include vector polygon coverages of the major subtidal habitats in Tampa Bay, as interpreted from 1:24,000 scale natural color aerial photographs flown in winter 2018 under cloud free conditions. Accuracy assessments of the photo-interpreted map included field verification by random sample points, with a requirement of 90% accuracy for the seagrass categories. The minimum mapping unit for seagrass polygons is reported as 0.25 acres (~0.1 ha). Historical datasets for subtidal habitats using identical methods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Similar methods as the subtidal habitats described above are used for the intertidal and supratidal coverage maps, although at a slightly higher spatial resolution (1:12,000). 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Specifically, the spatial datasets were unioned and the total areal change of the polygons for each habitat type was quantified by calculating the difference between the two terminal years. For example, the area that remained as native uplands between the 1990 and 2017 intertidal and supratidal layers was quantified, whereas the area that changed from native uplands to another habitat category was also quantified. This process was repeated for all native habitats, including developed and restorable lands (described below). The results were summarized as Alluvial diagrams showing relative proportions of habitat change by type and between years</w:t>
      </w:r>
      <w:r>
        <w:t xml:space="preserve"> </w:t>
      </w:r>
      <w:r>
        <w:t xml:space="preserve">(Allaire et al., 2017)</w:t>
      </w:r>
      <w:r>
        <w:t xml:space="preserve">.</w:t>
      </w:r>
    </w:p>
    <w:bookmarkEnd w:id="26"/>
    <w:bookmarkStart w:id="29" w:name="restoration-and-enhancement-projects"/>
    <w:p>
      <w:pPr>
        <w:pStyle w:val="Heading3"/>
      </w:pPr>
      <w:r>
        <w:t xml:space="preserve">2.5 Restoration and enhancement projects</w:t>
      </w:r>
    </w:p>
    <w:p>
      <w:pPr>
        <w:pStyle w:val="FirstParagraph"/>
      </w:pPr>
      <w:r>
        <w:t xml:space="preserve">Restoration and enhancement projects conducted over the past 40 years were quantified for each of the major habitat types to inform expectations for setting short-term targets and long-term goals. Here and throughout, restoration describes the process of assisting the recovery of an ecosystem that has been degraded, damaged, or destroyed</w:t>
      </w:r>
      <w:r>
        <w:t xml:space="preserve"> </w:t>
      </w:r>
      <w:r>
        <w:t xml:space="preserve">(Gann et al., 2019)</w:t>
      </w:r>
      <w:r>
        <w:t xml:space="preserve">. Restoration projects in the database were also those that involved earthwork to reshape the land or the addition of structural elements (e.g., rock). This distinct categorization is useful for restoration practitioners familiar with the projects in the region.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 The synthesized dataset is available at</w:t>
      </w:r>
      <w:r>
        <w:t xml:space="preserve"> </w:t>
      </w:r>
      <w:hyperlink r:id="rId28">
        <w:r>
          <w:rPr>
            <w:rStyle w:val="Hyperlink"/>
          </w:rPr>
          <w:t xml:space="preserve">https://www.tampabay.wateratlas.usf.edu/restoration/</w:t>
        </w:r>
      </w:hyperlink>
      <w:r>
        <w:t xml:space="preserve">.</w:t>
      </w:r>
    </w:p>
    <w:bookmarkEnd w:id="29"/>
    <w:bookmarkStart w:id="31"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and do not occur in existing or proposed conservation areas (described in the following paragraph).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(FNAI) and permit databases of conservation and drainage easements</w:t>
      </w:r>
      <w:r>
        <w:t xml:space="preserve"> </w:t>
      </w:r>
      <w:r>
        <w:t xml:space="preserve">(Florida Natural Areas Inventory, 2020)</w:t>
      </w:r>
      <w:r>
        <w:t xml:space="preserve">. The FNAI data are Florida Managed Areas as vector polygons of public and some private lands identified as having natural resource value and that are being managed at least partially for conservation. The source data for this layer are provided to FNAI directly from the managing agency in digital format or as paper maps that are digitized using appropriate topographic quadrangles, ortho-imagery, and property appraiser parcel data at a minimum spatial resolution of 1:5,000. Intersecting the native and restorable lands in these areas produced four unique opportunity areas: existing conservation native, proposed conservation native, existing conservation restorable, and proposed conservation restorable. This workflow created the existing conservation and proposed conservation layers in</w:t>
      </w:r>
      <w:r>
        <w:t xml:space="preserve"> </w:t>
      </w:r>
      <w:hyperlink w:anchor="fig-gisworkflow">
        <w:r>
          <w:rPr>
            <w:rStyle w:val="Hyperlink"/>
          </w:rPr>
          <w:t xml:space="preserve">Figure 2</w:t>
        </w:r>
      </w:hyperlink>
      <w:r>
        <w:t xml:space="preserv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All spatial data were transformed to the NAD83(2011) / Florida West (ftUS) projection prior to analysis. The workflows and data are provided in an open-access repository available on GitHub (</w:t>
      </w:r>
      <w:hyperlink r:id="rId30">
        <w:r>
          <w:rPr>
            <w:rStyle w:val="Hyperlink"/>
          </w:rPr>
          <w:t xml:space="preserve">https://github.com/tbep-tech/hmpu-workflow</w:t>
        </w:r>
      </w:hyperlink>
      <w:r>
        <w:t xml:space="preserve">)</w:t>
      </w:r>
      <w:r>
        <w:t xml:space="preserve"> </w:t>
      </w:r>
      <w:r>
        <w:t xml:space="preserve">(Beck et al., 2022)</w:t>
      </w:r>
      <w:r>
        <w:t xml:space="preserve">.</w:t>
      </w:r>
    </w:p>
    <w:bookmarkEnd w:id="31"/>
    <w:bookmarkEnd w:id="32"/>
    <w:bookmarkStart w:id="37" w:name="results"/>
    <w:p>
      <w:pPr>
        <w:pStyle w:val="Heading2"/>
      </w:pPr>
      <w:r>
        <w:t xml:space="preserve">3 Results</w:t>
      </w:r>
    </w:p>
    <w:bookmarkStart w:id="33"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The increase in oyster bars may represent improved ground-truthing and photointerpretation.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3"/>
    <w:bookmarkStart w:id="34"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4"/>
    <w:bookmarkStart w:id="35"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restorable)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on existing conservation areas were identified, further partitioned as coastal uplands (128 ha, &lt; 0.1% of the watershed), freshwater wetlands (11,034 ha, 1.9% of the watershed), native uplands (5,419 ha, 0.9% of the watershed), or tidal wetlands (624 ha, 0.1% of the watershed).</w:t>
      </w:r>
    </w:p>
    <w:bookmarkEnd w:id="35"/>
    <w:bookmarkStart w:id="36"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These targets and goals do not consider an explicit projection of how habitats are expected to change as a result of climate change and anticipated development because no such estimates are available. However, the methods implicitly account for these anticipated changes by differentiating the watershed by strata and setting the targets and goals based on past trends that are affected both by climate change and development trajectories. The methods herein provide the best estimate of what restoration is likely to be achieved over the next few decades.</w:t>
      </w:r>
    </w:p>
    <w:p>
      <w:pPr>
        <w:pStyle w:val="BodyText"/>
      </w:pPr>
      <w:r>
        <w:t xml:space="preserve">Table 5 shows the targets and goals identified through this analysis and the associated rationale. For example, the targets and goals are established based on the current extent and informed by the restoration potential. If restoration potential exists and coverage restored from past projects suggests a reasonable level of effort, the targets and goals reflect the current extent relative to the restoration opportunity, past trends, and anticipated effort. Conversely, other habitats with no identified restoration opportunity, or with sufficient current extents (e.g., mangrove forests), were assigned targets and goals similar to the current extent, i.e., these habitats should be protected and further restoration will only increase resilience. The proposed targets and goals do not represent the current extent plus restoration potential for these reasons. Implicit in the targets and the goals is recurring re-assessment over time to evaluate progress and adjust expectations as appropriate.</w:t>
      </w:r>
    </w:p>
    <w:bookmarkEnd w:id="36"/>
    <w:bookmarkEnd w:id="37"/>
    <w:bookmarkStart w:id="42"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8"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that have favored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8"/>
    <w:bookmarkStart w:id="39"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9"/>
    <w:bookmarkStart w:id="40"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40"/>
    <w:bookmarkStart w:id="41"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1"/>
    <w:bookmarkEnd w:id="42"/>
    <w:bookmarkStart w:id="43"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3"/>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lulcmap"/>
          <w:p>
            <w:pPr>
              <w:pStyle w:val="Figure"/>
              <w:jc w:val="center"/>
            </w:pPr>
            <w:r>
              <w:drawing>
                <wp:inline>
                  <wp:extent cx="5943600" cy="4245428"/>
                  <wp:effectExtent b="0" l="0" r="0" t="0"/>
                  <wp:docPr descr="" title="" id="45" name="Picture"/>
                  <a:graphic>
                    <a:graphicData uri="http://schemas.openxmlformats.org/drawingml/2006/picture">
                      <pic:pic>
                        <pic:nvPicPr>
                          <pic:cNvPr descr="figs/lulcmap.jpg" id="46"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5486400"/>
                  <wp:effectExtent b="0" l="0" r="0" t="0"/>
                  <wp:docPr descr="" title="" id="49" name="Picture"/>
                  <a:graphic>
                    <a:graphicData uri="http://schemas.openxmlformats.org/drawingml/2006/picture">
                      <pic:pic>
                        <pic:nvPicPr>
                          <pic:cNvPr descr="figs/gisworkflow.jpg" id="50" name="Picture"/>
                          <pic:cNvPicPr>
                            <a:picLocks noChangeArrowheads="1" noChangeAspect="1"/>
                          </pic:cNvPicPr>
                        </pic:nvPicPr>
                        <pic:blipFill>
                          <a:blip r:embed="rId48"/>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5943600" cy="5940900"/>
                  <wp:effectExtent b="0" l="0" r="0" t="0"/>
                  <wp:docPr descr="" title="" id="53" name="Picture"/>
                  <a:graphic>
                    <a:graphicData uri="http://schemas.openxmlformats.org/drawingml/2006/picture">
                      <pic:pic>
                        <pic:nvPicPr>
                          <pic:cNvPr descr="figs/subtchgdatalluv.jpg" id="54" name="Picture"/>
                          <pic:cNvPicPr>
                            <a:picLocks noChangeArrowheads="1" noChangeAspect="1"/>
                          </pic:cNvPicPr>
                        </pic:nvPicPr>
                        <pic:blipFill>
                          <a:blip r:embed="rId52"/>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jp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50"/>
                  <wp:effectExtent b="0" l="0" r="0" t="0"/>
                  <wp:docPr descr="" title="" id="61" name="Picture"/>
                  <a:graphic>
                    <a:graphicData uri="http://schemas.openxmlformats.org/drawingml/2006/picture">
                      <pic:pic>
                        <pic:nvPicPr>
                          <pic:cNvPr descr="figs/oppmap.jpg" id="62" name="Picture"/>
                          <pic:cNvPicPr>
                            <a:picLocks noChangeArrowheads="1" noChangeAspect="1"/>
                          </pic:cNvPicPr>
                        </pic:nvPicPr>
                        <pic:blipFill>
                          <a:blip r:embed="rId60"/>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50"/>
                  <wp:effectExtent b="0" l="0" r="0" t="0"/>
                  <wp:docPr descr="" title="" id="65" name="Picture"/>
                  <a:graphic>
                    <a:graphicData uri="http://schemas.openxmlformats.org/drawingml/2006/picture">
                      <pic:pic>
                        <pic:nvPicPr>
                          <pic:cNvPr descr="figs/restmap.jpg" id="66" name="Picture"/>
                          <pic:cNvPicPr>
                            <a:picLocks noChangeArrowheads="1" noChangeAspect="1"/>
                          </pic:cNvPicPr>
                        </pic:nvPicPr>
                        <pic:blipFill>
                          <a:blip r:embed="rId64"/>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7"/>
        </w:tc>
      </w:tr>
    </w:tbl>
    <w:p>
      <w:r>
        <w:br w:type="page"/>
      </w:r>
    </w:p>
    <w:bookmarkEnd w:id="68"/>
    <w:bookmarkStart w:id="69"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40"/>
        <w:gridCol w:w="612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land cover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Land Cover Category</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Current extent is the sum of existing and proposed conservation lands, plus those not in conservation.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each decade</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each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each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decade; focus on pine flatwoods and protect current extent</w:t>
            </w:r>
          </w:p>
        </w:tc>
      </w:tr>
    </w:tbl>
    <w:p>
      <w:r>
        <w:br w:type="page"/>
      </w:r>
    </w:p>
    <w:bookmarkEnd w:id="69"/>
    <w:bookmarkStart w:id="194" w:name="references"/>
    <w:p>
      <w:pPr>
        <w:pStyle w:val="Heading2"/>
      </w:pPr>
      <w:r>
        <w:t xml:space="preserve">References</w:t>
      </w:r>
    </w:p>
    <w:bookmarkStart w:id="193" w:name="refs"/>
    <w:bookmarkStart w:id="71"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70">
        <w:r>
          <w:rPr>
            <w:rStyle w:val="Hyperlink"/>
          </w:rPr>
          <w:t xml:space="preserve">https://CRAN.R-project.org/package=networkD3</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 (</w:t>
      </w:r>
      <w:r>
        <w:rPr>
          <w:iCs/>
          <w:i/>
        </w:rPr>
        <w:t xml:space="preserve">BASIS</w:t>
      </w:r>
      <w:r>
        <w:rPr>
          <w:iCs/>
          <w:i/>
        </w:rPr>
        <w:t xml:space="preserve"> </w:t>
      </w:r>
      <w:r>
        <w:rPr>
          <w:iCs/>
          <w:i/>
        </w:rPr>
        <w:t xml:space="preserve">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w:t>
      </w:r>
      <w:r>
        <w:t xml:space="preserve"> </w:t>
      </w:r>
      <w:r>
        <w:t xml:space="preserve">R</w:t>
      </w:r>
      <w:r>
        <w:t xml:space="preserve">io</w:t>
      </w:r>
      <w:r>
        <w:t xml:space="preserve"> </w:t>
      </w:r>
      <w:r>
        <w:t xml:space="preserve">G</w:t>
      </w:r>
      <w:r>
        <w:t xml:space="preserve">rande de</w:t>
      </w:r>
      <w:r>
        <w:t xml:space="preserve"> </w:t>
      </w:r>
      <w:r>
        <w:t xml:space="preserve">C</w:t>
      </w:r>
      <w:r>
        <w:t xml:space="preserve">omitan-</w:t>
      </w:r>
      <w:r>
        <w:t xml:space="preserve">L</w:t>
      </w:r>
      <w:r>
        <w:t xml:space="preserve">agos de</w:t>
      </w:r>
      <w:r>
        <w:t xml:space="preserve"> </w:t>
      </w:r>
      <w:r>
        <w:t xml:space="preserve">M</w:t>
      </w:r>
      <w:r>
        <w:t xml:space="preserve">ontebello watershed,</w:t>
      </w:r>
      <w:r>
        <w:t xml:space="preserve"> </w:t>
      </w:r>
      <w:r>
        <w:t xml:space="preserve">M</w:t>
      </w:r>
      <w:r>
        <w:t xml:space="preserve">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ck22"/>
    <w:p>
      <w:pPr>
        <w:pStyle w:val="Bibliography"/>
      </w:pPr>
      <w:r>
        <w:t xml:space="preserve">Beck, M. W., Raulerson, G. E., and Sherwood, E. T. (2022).</w:t>
      </w:r>
      <w:r>
        <w:t xml:space="preserve"> </w:t>
      </w:r>
      <w:r>
        <w:rPr>
          <w:iCs/>
          <w:i/>
        </w:rPr>
        <w:t xml:space="preserve">t</w:t>
      </w:r>
      <w:r>
        <w:rPr>
          <w:iCs/>
          <w:i/>
        </w:rPr>
        <w:t xml:space="preserve">bep-tech/hmpu-workflow: v1.2.0</w:t>
      </w:r>
      <w:r>
        <w:t xml:space="preserve">. Zenodo doi:</w:t>
      </w:r>
      <w:r>
        <w:t xml:space="preserve"> </w:t>
      </w:r>
      <w:hyperlink r:id="rId75">
        <w:r>
          <w:rPr>
            <w:rStyle w:val="Hyperlink"/>
          </w:rPr>
          <w:t xml:space="preserve">10.5281/zenodo.7032909</w:t>
        </w:r>
      </w:hyperlink>
      <w:r>
        <w:t xml:space="preserve">.</w:t>
      </w:r>
    </w:p>
    <w:bookmarkEnd w:id="76"/>
    <w:bookmarkStart w:id="78"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7">
        <w:r>
          <w:rPr>
            <w:rStyle w:val="Hyperlink"/>
          </w:rPr>
          <w:t xml:space="preserve">https://doi.org/10.1007/s11273-017-9565-8</w:t>
        </w:r>
      </w:hyperlink>
      <w:r>
        <w:t xml:space="preserve">.</w:t>
      </w:r>
    </w:p>
    <w:bookmarkEnd w:id="78"/>
    <w:bookmarkStart w:id="79" w:name="ref-Berntness85"/>
    <w:p>
      <w:pPr>
        <w:pStyle w:val="Bibliography"/>
      </w:pPr>
      <w:r>
        <w:t xml:space="preserve">Bertness, M. D. (1985). Fiddler crab regulation of</w:t>
      </w:r>
      <w:r>
        <w:t xml:space="preserve"> </w:t>
      </w:r>
      <w:r>
        <w:rPr>
          <w:iCs/>
          <w:i/>
        </w:rPr>
        <w:t xml:space="preserve">S</w:t>
      </w:r>
      <w:r>
        <w:rPr>
          <w:iCs/>
          <w:i/>
        </w:rPr>
        <w:t xml:space="preserve">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1">
        <w:r>
          <w:rPr>
            <w:rStyle w:val="Hyperlink"/>
          </w:rPr>
          <w:t xml:space="preserve">https://drive.google.com/file/d/1c_KTSJ4TgVX9IugnyDadr2Hc0gjAuQg2/view?usp=drivesdk</w:t>
        </w:r>
      </w:hyperlink>
      <w:r>
        <w:t xml:space="preserve">.</w:t>
      </w:r>
    </w:p>
    <w:bookmarkEnd w:id="82"/>
    <w:bookmarkStart w:id="84" w:name="ref-Calil15"/>
    <w:p>
      <w:pPr>
        <w:pStyle w:val="Bibliography"/>
      </w:pPr>
      <w:r>
        <w:t xml:space="preserve">Calil, J., Beck, M. W., Gleason, M., Merrifield, M., Klausmeyer, K., and Newkirk, S. (2015). Aligning natural resource conservation and flood hazard mitigation in</w:t>
      </w:r>
      <w:r>
        <w:t xml:space="preserve"> </w:t>
      </w:r>
      <w:r>
        <w:t xml:space="preserve">C</w:t>
      </w:r>
      <w:r>
        <w:t xml:space="preserve">alifornia.</w:t>
      </w:r>
      <w:r>
        <w:t xml:space="preserve"> </w:t>
      </w:r>
      <w:r>
        <w:rPr>
          <w:iCs/>
          <w:i/>
        </w:rPr>
        <w:t xml:space="preserve">PLoS One</w:t>
      </w:r>
      <w:r>
        <w:t xml:space="preserve"> </w:t>
      </w:r>
      <w:r>
        <w:t xml:space="preserve">10, e0132651. Available at:</w:t>
      </w:r>
      <w:r>
        <w:t xml:space="preserve"> </w:t>
      </w:r>
      <w:hyperlink r:id="rId83">
        <w:r>
          <w:rPr>
            <w:rStyle w:val="Hyperlink"/>
          </w:rPr>
          <w:t xml:space="preserve">https://doi.org/10.1371/journal.pone.0132651</w:t>
        </w:r>
      </w:hyperlink>
      <w:r>
        <w:t xml:space="preserve">.</w:t>
      </w:r>
    </w:p>
    <w:bookmarkEnd w:id="84"/>
    <w:bookmarkStart w:id="86"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5">
        <w:r>
          <w:rPr>
            <w:rStyle w:val="Hyperlink"/>
          </w:rPr>
          <w:t xml:space="preserve">https://doi.org/10.1073/pnas.1902181116</w:t>
        </w:r>
      </w:hyperlink>
      <w:r>
        <w:t xml:space="preserve">.</w:t>
      </w:r>
    </w:p>
    <w:bookmarkEnd w:id="86"/>
    <w:bookmarkStart w:id="88"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7">
        <w:r>
          <w:rPr>
            <w:rStyle w:val="Hyperlink"/>
          </w:rPr>
          <w:t xml:space="preserve">https://doi.org/10.1073/pnas.1315800111</w:t>
        </w:r>
      </w:hyperlink>
      <w:r>
        <w:t xml:space="preserve">.</w:t>
      </w:r>
    </w:p>
    <w:bookmarkEnd w:id="88"/>
    <w:bookmarkStart w:id="90"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9">
        <w:r>
          <w:rPr>
            <w:rStyle w:val="Hyperlink"/>
          </w:rPr>
          <w:t xml:space="preserve">https://doi.org/10.1016/j.ecoser.2018.09.004</w:t>
        </w:r>
      </w:hyperlink>
      <w:r>
        <w:t xml:space="preserve">.</w:t>
      </w:r>
    </w:p>
    <w:bookmarkEnd w:id="90"/>
    <w:bookmarkStart w:id="91"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1"/>
    <w:bookmarkStart w:id="92"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2"/>
    <w:bookmarkStart w:id="94"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3">
        <w:r>
          <w:rPr>
            <w:rStyle w:val="Hyperlink"/>
          </w:rPr>
          <w:t xml:space="preserve">https://doi.org/10.1016/j.ecss.2011.10.003</w:t>
        </w:r>
      </w:hyperlink>
      <w:r>
        <w:t xml:space="preserve">.</w:t>
      </w:r>
    </w:p>
    <w:bookmarkEnd w:id="94"/>
    <w:bookmarkStart w:id="96"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5">
        <w:r>
          <w:rPr>
            <w:rStyle w:val="Hyperlink"/>
          </w:rPr>
          <w:t xml:space="preserve">https://doi.org/10.1007/978-1-4020-5095-4</w:t>
        </w:r>
      </w:hyperlink>
      <w:r>
        <w:t xml:space="preserve">.</w:t>
      </w:r>
    </w:p>
    <w:bookmarkEnd w:id="96"/>
    <w:bookmarkStart w:id="97"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7"/>
    <w:bookmarkStart w:id="99" w:name="ref-Dontis20"/>
    <w:p>
      <w:pPr>
        <w:pStyle w:val="Bibliography"/>
      </w:pPr>
      <w:r>
        <w:t xml:space="preserve">Dontis, E. E., Radabaugh, K. R., Chappel, A. R., Russo, C. E., and Moyer, R. P. (2020). Carbon storage increases with site age as created salt marshes transition to mangrove forests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w:t>
      </w:r>
      <w:r>
        <w:t xml:space="preserve"> </w:t>
      </w:r>
      <w:r>
        <w:rPr>
          <w:iCs/>
          <w:i/>
        </w:rPr>
        <w:t xml:space="preserve">Estuaries and Coasts</w:t>
      </w:r>
      <w:r>
        <w:t xml:space="preserve"> </w:t>
      </w:r>
      <w:r>
        <w:t xml:space="preserve">43, 1470–1488. Available at:</w:t>
      </w:r>
      <w:r>
        <w:t xml:space="preserve"> </w:t>
      </w:r>
      <w:hyperlink r:id="rId98">
        <w:r>
          <w:rPr>
            <w:rStyle w:val="Hyperlink"/>
          </w:rPr>
          <w:t xml:space="preserve">https://doi.org/10.1007/s12237-020-00733-0</w:t>
        </w:r>
      </w:hyperlink>
      <w:r>
        <w:t xml:space="preserve">.</w:t>
      </w:r>
    </w:p>
    <w:bookmarkEnd w:id="99"/>
    <w:bookmarkStart w:id="101"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0">
        <w:r>
          <w:rPr>
            <w:rStyle w:val="Hyperlink"/>
          </w:rPr>
          <w:t xml:space="preserve">https://doi.org/10.1007/s12237-008-9111-2</w:t>
        </w:r>
      </w:hyperlink>
      <w:r>
        <w:t xml:space="preserve">.</w:t>
      </w:r>
    </w:p>
    <w:bookmarkEnd w:id="101"/>
    <w:bookmarkStart w:id="103"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2">
        <w:r>
          <w:rPr>
            <w:rStyle w:val="Hyperlink"/>
          </w:rPr>
          <w:t xml:space="preserve">https://doi.org/10.1080/08920750802395558</w:t>
        </w:r>
      </w:hyperlink>
      <w:r>
        <w:t xml:space="preserve">.</w:t>
      </w:r>
    </w:p>
    <w:bookmarkEnd w:id="103"/>
    <w:bookmarkStart w:id="105"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4">
        <w:r>
          <w:rPr>
            <w:rStyle w:val="Hyperlink"/>
          </w:rPr>
          <w:t xml:space="preserve">https://doi.org/10.1201/9780138750308</w:t>
        </w:r>
      </w:hyperlink>
      <w:r>
        <w:t xml:space="preserve">.</w:t>
      </w:r>
    </w:p>
    <w:bookmarkEnd w:id="105"/>
    <w:bookmarkStart w:id="107" w:name="ref-Elliott07"/>
    <w:p>
      <w:pPr>
        <w:pStyle w:val="Bibliography"/>
      </w:pPr>
      <w:r>
        <w:t xml:space="preserve">Elliott, M., Burdon, D., Hemingway, K. L., and Apitz, S. E. (2007). Estuarine, coastal and marine ecosystem restoration: Confusing management and science–a revision of concepts.</w:t>
      </w:r>
      <w:r>
        <w:t xml:space="preserve"> </w:t>
      </w:r>
      <w:r>
        <w:rPr>
          <w:iCs/>
          <w:i/>
        </w:rPr>
        <w:t xml:space="preserve">Estuarine, Coastal and Shelf Science</w:t>
      </w:r>
      <w:r>
        <w:t xml:space="preserve"> </w:t>
      </w:r>
      <w:r>
        <w:t xml:space="preserve">74, 349–366. doi:</w:t>
      </w:r>
      <w:r>
        <w:t xml:space="preserve"> </w:t>
      </w:r>
      <w:hyperlink r:id="rId106">
        <w:r>
          <w:rPr>
            <w:rStyle w:val="Hyperlink"/>
          </w:rPr>
          <w:t xml:space="preserve">10.1016/j.ecss.2007.05.034</w:t>
        </w:r>
      </w:hyperlink>
      <w:r>
        <w:t xml:space="preserve">.</w:t>
      </w:r>
    </w:p>
    <w:bookmarkEnd w:id="107"/>
    <w:bookmarkStart w:id="108" w:name="ref-EPA96"/>
    <w:p>
      <w:pPr>
        <w:pStyle w:val="Bibliography"/>
      </w:pPr>
      <w:r>
        <w:t xml:space="preserve">Environmental Protection Agency (1996).</w:t>
      </w:r>
      <w:r>
        <w:t xml:space="preserve"> </w:t>
      </w:r>
      <w:r>
        <w:t xml:space="preserve">W</w:t>
      </w:r>
      <w:r>
        <w:t xml:space="preserve">atershed</w:t>
      </w:r>
      <w:r>
        <w:t xml:space="preserve"> </w:t>
      </w:r>
      <w:r>
        <w:t xml:space="preserve">A</w:t>
      </w:r>
      <w:r>
        <w:t xml:space="preserve">pproach</w:t>
      </w:r>
      <w:r>
        <w:t xml:space="preserve"> </w:t>
      </w:r>
      <w:r>
        <w:t xml:space="preserve">F</w:t>
      </w:r>
      <w:r>
        <w:t xml:space="preserve">ramework. Office of Water (4501F).</w:t>
      </w:r>
    </w:p>
    <w:bookmarkEnd w:id="108"/>
    <w:bookmarkStart w:id="109"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9"/>
    <w:bookmarkStart w:id="110"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w:t>
      </w:r>
      <w:r>
        <w:t xml:space="preserve"> </w:t>
      </w:r>
      <w:r>
        <w:t xml:space="preserve">FDOT Surveying and Mapping Office Geographic Mapping Section</w:t>
      </w:r>
      <w:r>
        <w:t xml:space="preserve">.</w:t>
      </w:r>
    </w:p>
    <w:bookmarkEnd w:id="110"/>
    <w:bookmarkStart w:id="112" w:name="ref-FNAI20"/>
    <w:p>
      <w:pPr>
        <w:pStyle w:val="Bibliography"/>
      </w:pPr>
      <w:r>
        <w:t xml:space="preserve">Florida Natural Areas Inventory (2020). Florida</w:t>
      </w:r>
      <w:r>
        <w:t xml:space="preserve"> </w:t>
      </w:r>
      <w:r>
        <w:t xml:space="preserve">C</w:t>
      </w:r>
      <w:r>
        <w:t xml:space="preserve">onservation</w:t>
      </w:r>
      <w:r>
        <w:t xml:space="preserve"> </w:t>
      </w:r>
      <w:r>
        <w:t xml:space="preserve">L</w:t>
      </w:r>
      <w:r>
        <w:t xml:space="preserve">ands (</w:t>
      </w:r>
      <w:r>
        <w:t xml:space="preserve">FLMA</w:t>
      </w:r>
      <w:r>
        <w:t xml:space="preserve">)</w:t>
      </w:r>
      <w:r>
        <w:t xml:space="preserve"> </w:t>
      </w:r>
      <w:r>
        <w:t xml:space="preserve">GIS</w:t>
      </w:r>
      <w:r>
        <w:t xml:space="preserve"> </w:t>
      </w:r>
      <w:r>
        <w:t xml:space="preserve">D</w:t>
      </w:r>
      <w:r>
        <w:t xml:space="preserve">ataset,</w:t>
      </w:r>
      <w:r>
        <w:t xml:space="preserve"> </w:t>
      </w:r>
      <w:r>
        <w:t xml:space="preserve">M</w:t>
      </w:r>
      <w:r>
        <w:t xml:space="preserve">arch 2020. Available at:</w:t>
      </w:r>
      <w:r>
        <w:t xml:space="preserve"> </w:t>
      </w:r>
      <w:hyperlink r:id="rId111">
        <w:r>
          <w:rPr>
            <w:rStyle w:val="Hyperlink"/>
          </w:rPr>
          <w:t xml:space="preserve">https://www.fnai.org/publications/gis-data</w:t>
        </w:r>
      </w:hyperlink>
      <w:r>
        <w:t xml:space="preserve">.</w:t>
      </w:r>
    </w:p>
    <w:bookmarkEnd w:id="112"/>
    <w:bookmarkStart w:id="114" w:name="ref-Gann19"/>
    <w:p>
      <w:pPr>
        <w:pStyle w:val="Bibliography"/>
      </w:pPr>
      <w:r>
        <w:t xml:space="preserve">Gann, G. D., McDonald, T., Walder, B., Aronson, J., Nelson, C. R., Jonson, J., et al. (2019). International principles and standards for the practice of ecological restoration, 2nd</w:t>
      </w:r>
      <w:r>
        <w:t xml:space="preserve"> </w:t>
      </w:r>
      <w:r>
        <w:t xml:space="preserve">E</w:t>
      </w:r>
      <w:r>
        <w:t xml:space="preserve">dition.</w:t>
      </w:r>
      <w:r>
        <w:t xml:space="preserve"> </w:t>
      </w:r>
      <w:r>
        <w:rPr>
          <w:iCs/>
          <w:i/>
        </w:rPr>
        <w:t xml:space="preserve">Restoration Ecology</w:t>
      </w:r>
      <w:r>
        <w:t xml:space="preserve"> </w:t>
      </w:r>
      <w:r>
        <w:t xml:space="preserve">27, S1–S46. doi:</w:t>
      </w:r>
      <w:r>
        <w:t xml:space="preserve"> </w:t>
      </w:r>
      <w:hyperlink r:id="rId113">
        <w:r>
          <w:rPr>
            <w:rStyle w:val="Hyperlink"/>
          </w:rPr>
          <w:t xml:space="preserve">https://doi.org/10.1111/rec.13035</w:t>
        </w:r>
      </w:hyperlink>
      <w:r>
        <w:t xml:space="preserve">.</w:t>
      </w:r>
    </w:p>
    <w:bookmarkEnd w:id="114"/>
    <w:bookmarkStart w:id="116"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5">
        <w:r>
          <w:rPr>
            <w:rStyle w:val="Hyperlink"/>
          </w:rPr>
          <w:t xml:space="preserve">10.1016/j.ecss.2014.10.003</w:t>
        </w:r>
      </w:hyperlink>
      <w:r>
        <w:t xml:space="preserve">.</w:t>
      </w:r>
    </w:p>
    <w:bookmarkEnd w:id="116"/>
    <w:bookmarkStart w:id="117"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7"/>
    <w:bookmarkStart w:id="118"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8"/>
    <w:bookmarkStart w:id="119"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w:t>
      </w:r>
      <w:r>
        <w:rPr>
          <w:iCs/>
          <w:i/>
        </w:rPr>
        <w:t xml:space="preserve"> </w:t>
      </w:r>
      <w:r>
        <w:rPr>
          <w:iCs/>
          <w:i/>
        </w:rPr>
        <w:t xml:space="preserve">Tampa</w:t>
      </w:r>
      <w:r>
        <w:rPr>
          <w:iCs/>
          <w:i/>
        </w:rPr>
        <w:t xml:space="preserve"> </w:t>
      </w:r>
      <w:r>
        <w:rPr>
          <w:iCs/>
          <w:i/>
        </w:rPr>
        <w:t xml:space="preserve">Bay</w:t>
      </w:r>
      <w:r>
        <w:rPr>
          <w:iCs/>
          <w:i/>
        </w:rPr>
        <w:t xml:space="preserve"> </w:t>
      </w:r>
      <w:r>
        <w:rPr>
          <w:iCs/>
          <w:i/>
        </w:rPr>
        <w:t xml:space="preserve">Area</w:t>
      </w:r>
      <w:r>
        <w:rPr>
          <w:iCs/>
          <w:i/>
        </w:rPr>
        <w:t xml:space="preserve"> </w:t>
      </w:r>
      <w:r>
        <w:rPr>
          <w:iCs/>
          <w:i/>
        </w:rPr>
        <w:t xml:space="preserve">Scientific</w:t>
      </w:r>
      <w:r>
        <w:rPr>
          <w:iCs/>
          <w:i/>
        </w:rPr>
        <w:t xml:space="preserve"> </w:t>
      </w:r>
      <w:r>
        <w:rPr>
          <w:iCs/>
          <w:i/>
        </w:rPr>
        <w:t xml:space="preserve">Information</w:t>
      </w:r>
      <w:r>
        <w:rPr>
          <w:iCs/>
          <w:i/>
        </w:rPr>
        <w:t xml:space="preserve"> </w:t>
      </w:r>
      <w:r>
        <w:rPr>
          <w:iCs/>
          <w:i/>
        </w:rPr>
        <w:t xml:space="preserve">Symposium</w:t>
      </w:r>
      <w:r>
        <w:rPr>
          <w:iCs/>
          <w:i/>
        </w:rPr>
        <w:t xml:space="preserve"> </w:t>
      </w:r>
      <w:r>
        <w:rPr>
          <w:iCs/>
          <w:i/>
        </w:rPr>
        <w:t xml:space="preserve">(</w:t>
      </w:r>
      <w:r>
        <w:rPr>
          <w:iCs/>
          <w:i/>
        </w:rPr>
        <w:t xml:space="preserve">BASIS</w:t>
      </w:r>
      <w:r>
        <w:rPr>
          <w:iCs/>
          <w:i/>
        </w:rPr>
        <w:t xml:space="preserve"> </w:t>
      </w:r>
      <w:r>
        <w:rPr>
          <w:iCs/>
          <w:i/>
        </w:rPr>
        <w:t xml:space="preserve">4)</w:t>
      </w:r>
      <w:r>
        <w:t xml:space="preserve">, ed. S. F. Treat (St. Petersburg, FL: Tampa Bay Estuary Program), 165–170.</w:t>
      </w:r>
    </w:p>
    <w:bookmarkEnd w:id="119"/>
    <w:bookmarkStart w:id="121"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0">
        <w:r>
          <w:rPr>
            <w:rStyle w:val="Hyperlink"/>
          </w:rPr>
          <w:t xml:space="preserve">https://doi.org/10.1046/j.1526-100x.2000.80037.x</w:t>
        </w:r>
      </w:hyperlink>
      <w:r>
        <w:t xml:space="preserve">.</w:t>
      </w:r>
    </w:p>
    <w:bookmarkEnd w:id="121"/>
    <w:bookmarkStart w:id="122"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2"/>
    <w:bookmarkStart w:id="124"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3">
        <w:r>
          <w:rPr>
            <w:rStyle w:val="Hyperlink"/>
          </w:rPr>
          <w:t xml:space="preserve">https://doi.org/10.2307/1352488</w:t>
        </w:r>
      </w:hyperlink>
      <w:r>
        <w:t xml:space="preserve">.</w:t>
      </w:r>
    </w:p>
    <w:bookmarkEnd w:id="124"/>
    <w:bookmarkStart w:id="125"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5"/>
    <w:bookmarkStart w:id="12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w:t>
      </w:r>
      <w:r>
        <w:rPr>
          <w:iCs/>
          <w:i/>
        </w:rPr>
        <w:t xml:space="preserve"> </w:t>
      </w:r>
      <w:r>
        <w:rPr>
          <w:iCs/>
          <w:i/>
        </w:rPr>
        <w:t xml:space="preserve">F</w:t>
      </w:r>
      <w:r>
        <w:rPr>
          <w:iCs/>
          <w:i/>
        </w:rPr>
        <w:t xml:space="preserve">lorida</w:t>
      </w:r>
      <w:r>
        <w:t xml:space="preserve">, eds. R. L. Myers and J. J. Ewel (Orlando, Florida, USA: University of Central Florida Press), 574–618.</w:t>
      </w:r>
    </w:p>
    <w:bookmarkEnd w:id="126"/>
    <w:bookmarkStart w:id="127"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w:t>
      </w:r>
      <w:r>
        <w:rPr>
          <w:iCs/>
          <w:i/>
        </w:rPr>
        <w:t xml:space="preserve"> </w:t>
      </w:r>
      <w:r>
        <w:rPr>
          <w:iCs/>
          <w:i/>
        </w:rPr>
        <w:t xml:space="preserve">I</w:t>
      </w:r>
      <w:r>
        <w:rPr>
          <w:iCs/>
          <w:i/>
        </w:rPr>
        <w:t xml:space="preserve">nstitute of</w:t>
      </w:r>
      <w:r>
        <w:rPr>
          <w:iCs/>
          <w:i/>
        </w:rPr>
        <w:t xml:space="preserve"> </w:t>
      </w:r>
      <w:r>
        <w:rPr>
          <w:iCs/>
          <w:i/>
        </w:rPr>
        <w:t xml:space="preserve">P</w:t>
      </w:r>
      <w:r>
        <w:rPr>
          <w:iCs/>
          <w:i/>
        </w:rPr>
        <w:t xml:space="preserve">hysics</w:t>
      </w:r>
      <w:r>
        <w:rPr>
          <w:iCs/>
          <w:i/>
        </w:rPr>
        <w:t xml:space="preserve"> </w:t>
      </w:r>
      <w:r>
        <w:rPr>
          <w:iCs/>
          <w:i/>
        </w:rPr>
        <w:t xml:space="preserve">C</w:t>
      </w:r>
      <w:r>
        <w:rPr>
          <w:iCs/>
          <w:i/>
        </w:rPr>
        <w:t xml:space="preserve">onference</w:t>
      </w:r>
      <w:r>
        <w:rPr>
          <w:iCs/>
          <w:i/>
        </w:rPr>
        <w:t xml:space="preserve"> </w:t>
      </w:r>
      <w:r>
        <w:rPr>
          <w:iCs/>
          <w:i/>
        </w:rPr>
        <w:t xml:space="preserve">P</w:t>
      </w:r>
      <w:r>
        <w:rPr>
          <w:iCs/>
          <w:i/>
        </w:rPr>
        <w:t xml:space="preserve">roceedings</w:t>
      </w:r>
      <w:r>
        <w:t xml:space="preserve"> </w:t>
      </w:r>
      <w:r>
        <w:t xml:space="preserve">(American Institute of Physics), 151–161.</w:t>
      </w:r>
    </w:p>
    <w:bookmarkEnd w:id="127"/>
    <w:bookmarkStart w:id="128"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8"/>
    <w:bookmarkStart w:id="129"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w:t>
      </w:r>
      <w:r>
        <w:t xml:space="preserve"> </w:t>
      </w:r>
      <w:r>
        <w:t xml:space="preserve">Center for Spatial Analysis, Fish and Widlife Research Institute, Florida Fish and Wildlife Conservation Commission, Tallahassee, Florida</w:t>
      </w:r>
      <w:r>
        <w:t xml:space="preserve">.</w:t>
      </w:r>
    </w:p>
    <w:bookmarkEnd w:id="129"/>
    <w:bookmarkStart w:id="13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w:t>
      </w:r>
      <w:r>
        <w:rPr>
          <w:iCs/>
          <w:i/>
        </w:rPr>
        <w:t xml:space="preserve"> </w:t>
      </w:r>
      <w:r>
        <w:rPr>
          <w:iCs/>
          <w:i/>
        </w:rPr>
        <w:t xml:space="preserve">F</w:t>
      </w:r>
      <w:r>
        <w:rPr>
          <w:iCs/>
          <w:i/>
        </w:rPr>
        <w:t xml:space="preserve">lorida</w:t>
      </w:r>
      <w:r>
        <w:t xml:space="preserve">, eds. R. L. Myers and J. J. Ewel (Orlando, Florida: University of Central Florida Press), 324–363.</w:t>
      </w:r>
    </w:p>
    <w:bookmarkEnd w:id="130"/>
    <w:bookmarkStart w:id="13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1"/>
    <w:bookmarkStart w:id="133"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w:t>
      </w:r>
      <w:r>
        <w:t xml:space="preserve">D</w:t>
      </w:r>
      <w:r>
        <w:t xml:space="preserve">inophyceae).</w:t>
      </w:r>
      <w:r>
        <w:t xml:space="preserve"> </w:t>
      </w:r>
      <w:r>
        <w:rPr>
          <w:iCs/>
          <w:i/>
        </w:rPr>
        <w:t xml:space="preserve">Journal of Phycology</w:t>
      </w:r>
      <w:r>
        <w:t xml:space="preserve"> </w:t>
      </w:r>
      <w:r>
        <w:t xml:space="preserve">55, 924–935. doi:</w:t>
      </w:r>
      <w:r>
        <w:t xml:space="preserve"> </w:t>
      </w:r>
      <w:hyperlink r:id="rId132">
        <w:r>
          <w:rPr>
            <w:rStyle w:val="Hyperlink"/>
          </w:rPr>
          <w:t xml:space="preserve">10.1111/jpy.12883</w:t>
        </w:r>
      </w:hyperlink>
      <w:r>
        <w:t xml:space="preserve">.</w:t>
      </w:r>
    </w:p>
    <w:bookmarkEnd w:id="133"/>
    <w:bookmarkStart w:id="135"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4">
        <w:r>
          <w:rPr>
            <w:rStyle w:val="Hyperlink"/>
          </w:rPr>
          <w:t xml:space="preserve">10.1038/s41559-017-0160</w:t>
        </w:r>
      </w:hyperlink>
      <w:r>
        <w:t xml:space="preserve">.</w:t>
      </w:r>
    </w:p>
    <w:bookmarkEnd w:id="135"/>
    <w:bookmarkStart w:id="137" w:name="ref-Menendez18"/>
    <w:p>
      <w:pPr>
        <w:pStyle w:val="Bibliography"/>
      </w:pPr>
      <w:r>
        <w:t xml:space="preserve">Menéndez, P., Losada, I. J., Beck, M. W., Torres-Ortega, S., Espejo, A., Narayan, S., et al. (2018). Valuing the protection services of mangroves at national scale: The</w:t>
      </w:r>
      <w:r>
        <w:t xml:space="preserve"> </w:t>
      </w:r>
      <w:r>
        <w:t xml:space="preserve">P</w:t>
      </w:r>
      <w:r>
        <w:t xml:space="preserve">hilippines.</w:t>
      </w:r>
      <w:r>
        <w:t xml:space="preserve"> </w:t>
      </w:r>
      <w:r>
        <w:rPr>
          <w:iCs/>
          <w:i/>
        </w:rPr>
        <w:t xml:space="preserve">Ecosystem Services</w:t>
      </w:r>
      <w:r>
        <w:t xml:space="preserve"> </w:t>
      </w:r>
      <w:r>
        <w:t xml:space="preserve">34(A), 24–36. Available at:</w:t>
      </w:r>
      <w:r>
        <w:t xml:space="preserve"> </w:t>
      </w:r>
      <w:hyperlink r:id="rId136">
        <w:r>
          <w:rPr>
            <w:rStyle w:val="Hyperlink"/>
          </w:rPr>
          <w:t xml:space="preserve">https://doi.org/10.1016/j.ecoser.2018.09.005</w:t>
        </w:r>
      </w:hyperlink>
      <w:r>
        <w:t xml:space="preserve">.</w:t>
      </w:r>
    </w:p>
    <w:bookmarkEnd w:id="137"/>
    <w:bookmarkStart w:id="138" w:name="ref-Meyers90"/>
    <w:p>
      <w:pPr>
        <w:pStyle w:val="Bibliography"/>
      </w:pPr>
      <w:r>
        <w:t xml:space="preserve">Meyers, R. L., and Ewel, J. J. (1990).</w:t>
      </w:r>
      <w:r>
        <w:t xml:space="preserve"> </w:t>
      </w:r>
      <w:r>
        <w:rPr>
          <w:iCs/>
          <w:i/>
        </w:rPr>
        <w:t xml:space="preserve">Ecosystems of</w:t>
      </w:r>
      <w:r>
        <w:rPr>
          <w:iCs/>
          <w:i/>
        </w:rPr>
        <w:t xml:space="preserve"> </w:t>
      </w:r>
      <w:r>
        <w:rPr>
          <w:iCs/>
          <w:i/>
        </w:rPr>
        <w:t xml:space="preserve">F</w:t>
      </w:r>
      <w:r>
        <w:rPr>
          <w:iCs/>
          <w:i/>
        </w:rPr>
        <w:t xml:space="preserve">lorida</w:t>
      </w:r>
      <w:r>
        <w:t xml:space="preserve">. Orlando, Florida: University of Central Florida Press.</w:t>
      </w:r>
    </w:p>
    <w:bookmarkEnd w:id="138"/>
    <w:bookmarkStart w:id="140"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9">
        <w:r>
          <w:rPr>
            <w:rStyle w:val="Hyperlink"/>
          </w:rPr>
          <w:t xml:space="preserve">10.1177/1078087405282183</w:t>
        </w:r>
      </w:hyperlink>
      <w:r>
        <w:t xml:space="preserve">.</w:t>
      </w:r>
    </w:p>
    <w:bookmarkEnd w:id="140"/>
    <w:bookmarkStart w:id="14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1"/>
    <w:bookmarkStart w:id="14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w:t>
      </w:r>
      <w:r>
        <w:t xml:space="preserve"> </w:t>
      </w:r>
      <w:r>
        <w:t xml:space="preserve">National Oceanic and Atmospheric Administration</w:t>
      </w:r>
      <w:r>
        <w:t xml:space="preserve">.</w:t>
      </w:r>
    </w:p>
    <w:bookmarkEnd w:id="142"/>
    <w:bookmarkStart w:id="14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w:t>
      </w:r>
      <w:r>
        <w:rPr>
          <w:iCs/>
          <w:i/>
        </w:rPr>
        <w:t xml:space="preserve"> </w:t>
      </w:r>
      <w:r>
        <w:rPr>
          <w:iCs/>
          <w:i/>
        </w:rPr>
        <w:t xml:space="preserve">F</w:t>
      </w:r>
      <w:r>
        <w:rPr>
          <w:iCs/>
          <w:i/>
        </w:rPr>
        <w:t xml:space="preserve">lorida</w:t>
      </w:r>
      <w:r>
        <w:t xml:space="preserve">, eds. R. L. Myers and J. J. Ewel (Orlando, Florida: University of Central Florida Press), 517–548.</w:t>
      </w:r>
    </w:p>
    <w:bookmarkEnd w:id="143"/>
    <w:bookmarkStart w:id="145"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44">
        <w:r>
          <w:rPr>
            <w:rStyle w:val="Hyperlink"/>
          </w:rPr>
          <w:t xml:space="preserve">10.1111/gcb.16111</w:t>
        </w:r>
      </w:hyperlink>
      <w:r>
        <w:t xml:space="preserve">.</w:t>
      </w:r>
    </w:p>
    <w:bookmarkEnd w:id="145"/>
    <w:bookmarkStart w:id="147"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6">
        <w:r>
          <w:rPr>
            <w:rStyle w:val="Hyperlink"/>
          </w:rPr>
          <w:t xml:space="preserve">https://doi.org/10.1007/s10021-012-9551-1</w:t>
        </w:r>
      </w:hyperlink>
      <w:r>
        <w:t xml:space="preserve">.</w:t>
      </w:r>
    </w:p>
    <w:bookmarkEnd w:id="147"/>
    <w:bookmarkStart w:id="149"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8">
        <w:r>
          <w:rPr>
            <w:rStyle w:val="Hyperlink"/>
          </w:rPr>
          <w:t xml:space="preserve">https://doi.org/10.1007/s12237-008-9129-5</w:t>
        </w:r>
      </w:hyperlink>
      <w:r>
        <w:t xml:space="preserve">.</w:t>
      </w:r>
    </w:p>
    <w:bookmarkEnd w:id="149"/>
    <w:bookmarkStart w:id="151"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50">
        <w:r>
          <w:rPr>
            <w:rStyle w:val="Hyperlink"/>
          </w:rPr>
          <w:t xml:space="preserve">10.32614/RJ-2018-009</w:t>
        </w:r>
      </w:hyperlink>
      <w:r>
        <w:t xml:space="preserve">.</w:t>
      </w:r>
    </w:p>
    <w:bookmarkEnd w:id="151"/>
    <w:bookmarkStart w:id="153"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52">
        <w:r>
          <w:rPr>
            <w:rStyle w:val="Hyperlink"/>
          </w:rPr>
          <w:t xml:space="preserve">https://www.R-project.org/</w:t>
        </w:r>
      </w:hyperlink>
      <w:r>
        <w:t xml:space="preserve">.</w:t>
      </w:r>
    </w:p>
    <w:bookmarkEnd w:id="153"/>
    <w:bookmarkStart w:id="155"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4">
        <w:r>
          <w:rPr>
            <w:rStyle w:val="Hyperlink"/>
          </w:rPr>
          <w:t xml:space="preserve">https://doi.org/10.1007/s12237-012-9503-1</w:t>
        </w:r>
      </w:hyperlink>
      <w:r>
        <w:t xml:space="preserve">.</w:t>
      </w:r>
    </w:p>
    <w:bookmarkEnd w:id="155"/>
    <w:bookmarkStart w:id="156"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6"/>
    <w:bookmarkStart w:id="157"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7"/>
    <w:bookmarkStart w:id="158"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8"/>
    <w:bookmarkStart w:id="159"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9"/>
    <w:bookmarkStart w:id="161" w:name="ref-Robison20"/>
    <w:p>
      <w:pPr>
        <w:pStyle w:val="Bibliography"/>
      </w:pPr>
      <w:r>
        <w:t xml:space="preserve">Robison, D., Ries, T., Saarinen, J., Tomasko, D., and Sciarrino, C. (2020).</w:t>
      </w:r>
      <w:r>
        <w:t xml:space="preserve"> </w:t>
      </w:r>
      <w:r>
        <w:t xml:space="preserve">Tampa Bay Estuary Program: 2020 Habitat Master Plan Update</w:t>
      </w:r>
      <w:r>
        <w:t xml:space="preserve">. Tampa Bay Estuary Program, St. Petersburg, Florida Available at:</w:t>
      </w:r>
      <w:r>
        <w:t xml:space="preserve"> </w:t>
      </w:r>
      <w:hyperlink r:id="rId160">
        <w:r>
          <w:rPr>
            <w:rStyle w:val="Hyperlink"/>
          </w:rPr>
          <w:t xml:space="preserve">https://drive.google.com/file/d/1Hp0l_qtbxp1JxKJoGatdyuANSzQrpL0I/view?usp=drivesdk</w:t>
        </w:r>
      </w:hyperlink>
      <w:r>
        <w:t xml:space="preserve">.</w:t>
      </w:r>
    </w:p>
    <w:bookmarkEnd w:id="161"/>
    <w:bookmarkStart w:id="163"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2">
        <w:r>
          <w:rPr>
            <w:rStyle w:val="Hyperlink"/>
          </w:rPr>
          <w:t xml:space="preserve">https://doi.org/10.1007/s12237-013-9662-8</w:t>
        </w:r>
      </w:hyperlink>
      <w:r>
        <w:t xml:space="preserve">.</w:t>
      </w:r>
    </w:p>
    <w:bookmarkEnd w:id="163"/>
    <w:bookmarkStart w:id="165" w:name="ref-Sheehan19"/>
    <w:p>
      <w:pPr>
        <w:pStyle w:val="Bibliography"/>
      </w:pPr>
      <w:r>
        <w:t xml:space="preserve">Sheehan, L., Sherwood, E. T., Moyer, R. P., Radabaugh, K. R., and Simpson, S. (2019). Blue carbon: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64">
        <w:r>
          <w:rPr>
            <w:rStyle w:val="Hyperlink"/>
          </w:rPr>
          <w:t xml:space="preserve">10.1007/s13157-019-01137-y</w:t>
        </w:r>
      </w:hyperlink>
      <w:r>
        <w:t xml:space="preserve">.</w:t>
      </w:r>
    </w:p>
    <w:bookmarkEnd w:id="165"/>
    <w:bookmarkStart w:id="166" w:name="ref-Sherwood08"/>
    <w:p>
      <w:pPr>
        <w:pStyle w:val="Bibliography"/>
      </w:pPr>
      <w:r>
        <w:t xml:space="preserve">Sherwood, E. (2008). Tampa</w:t>
      </w:r>
      <w:r>
        <w:t xml:space="preserve"> </w:t>
      </w:r>
      <w:r>
        <w:t xml:space="preserve">B</w:t>
      </w:r>
      <w:r>
        <w:t xml:space="preserve">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6"/>
    <w:bookmarkStart w:id="167"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7"/>
    <w:bookmarkStart w:id="16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8">
        <w:r>
          <w:rPr>
            <w:rStyle w:val="Hyperlink"/>
          </w:rPr>
          <w:t xml:space="preserve">https://doi.org/10.1002/eap.1722</w:t>
        </w:r>
      </w:hyperlink>
      <w:r>
        <w:t xml:space="preserve">.</w:t>
      </w:r>
    </w:p>
    <w:bookmarkEnd w:id="169"/>
    <w:bookmarkStart w:id="171" w:name="ref-SWFWMD14"/>
    <w:p>
      <w:pPr>
        <w:pStyle w:val="Bibliography"/>
      </w:pPr>
      <w:r>
        <w:t xml:space="preserve">Southwest Florida Water Management District (2014). Photo interpretation key for land use classification. Available at:</w:t>
      </w:r>
      <w:r>
        <w:t xml:space="preserve"> </w:t>
      </w:r>
      <w:hyperlink r:id="rId170">
        <w:r>
          <w:rPr>
            <w:rStyle w:val="Hyperlink"/>
          </w:rPr>
          <w:t xml:space="preserve">https://www31.swfwmd.state.fl.us/Documents/Photo_Interpretation_Key_2014.pdf</w:t>
        </w:r>
      </w:hyperlink>
      <w:r>
        <w:t xml:space="preserve">.</w:t>
      </w:r>
    </w:p>
    <w:bookmarkEnd w:id="171"/>
    <w:bookmarkStart w:id="173" w:name="ref-SWFWMD18"/>
    <w:p>
      <w:pPr>
        <w:pStyle w:val="Bibliography"/>
      </w:pPr>
      <w:r>
        <w:t xml:space="preserve">Southwest Florida Water Management District (2018). Land use land cover data. c1990-2017. Available at:</w:t>
      </w:r>
      <w:r>
        <w:t xml:space="preserve"> </w:t>
      </w:r>
      <w:hyperlink r:id="rId172">
        <w:r>
          <w:rPr>
            <w:rStyle w:val="Hyperlink"/>
          </w:rPr>
          <w:t xml:space="preserve">https://data-swfwmd.opendata.arcgis.com/</w:t>
        </w:r>
      </w:hyperlink>
      <w:r>
        <w:t xml:space="preserve">.</w:t>
      </w:r>
    </w:p>
    <w:bookmarkEnd w:id="173"/>
    <w:bookmarkStart w:id="175" w:name="ref-SWFWMD19"/>
    <w:p>
      <w:pPr>
        <w:pStyle w:val="Bibliography"/>
      </w:pPr>
      <w:r>
        <w:t xml:space="preserve">Southwest Florida Water Management District (2019). Seagrass in 2018. Available at:</w:t>
      </w:r>
      <w:r>
        <w:t xml:space="preserve"> </w:t>
      </w:r>
      <w:hyperlink r:id="rId174">
        <w:r>
          <w:rPr>
            <w:rStyle w:val="Hyperlink"/>
          </w:rPr>
          <w:t xml:space="preserve">https://data-swfwmd.opendata.arcgis.com/datasets/seagrass-in-2018</w:t>
        </w:r>
      </w:hyperlink>
      <w:r>
        <w:t xml:space="preserve">.</w:t>
      </w:r>
    </w:p>
    <w:bookmarkEnd w:id="175"/>
    <w:bookmarkStart w:id="176" w:name="ref-Sprandel00"/>
    <w:p>
      <w:pPr>
        <w:pStyle w:val="Bibliography"/>
      </w:pPr>
      <w:r>
        <w:t xml:space="preserve">Sprandel, J. A., Gore, D., and Cobb, T. (2000). Distribution of wintering shorebirds in coastal</w:t>
      </w:r>
      <w:r>
        <w:t xml:space="preserve"> </w:t>
      </w:r>
      <w:r>
        <w:t xml:space="preserve">F</w:t>
      </w:r>
      <w:r>
        <w:t xml:space="preserve">lorida.</w:t>
      </w:r>
      <w:r>
        <w:t xml:space="preserve"> </w:t>
      </w:r>
      <w:r>
        <w:rPr>
          <w:iCs/>
          <w:i/>
        </w:rPr>
        <w:t xml:space="preserve">Journal of Field Ornithology</w:t>
      </w:r>
      <w:r>
        <w:t xml:space="preserve"> </w:t>
      </w:r>
      <w:r>
        <w:t xml:space="preserve">71, 708–720.</w:t>
      </w:r>
    </w:p>
    <w:bookmarkEnd w:id="176"/>
    <w:bookmarkStart w:id="17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7">
        <w:r>
          <w:rPr>
            <w:rStyle w:val="Hyperlink"/>
          </w:rPr>
          <w:t xml:space="preserve">https://doi.org/10.1016/j.geoderma.2013.10.007</w:t>
        </w:r>
      </w:hyperlink>
      <w:r>
        <w:t xml:space="preserve">.</w:t>
      </w:r>
    </w:p>
    <w:bookmarkEnd w:id="178"/>
    <w:bookmarkStart w:id="180"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w:t>
      </w:r>
      <w:r>
        <w:t xml:space="preserve">tlantic coast.</w:t>
      </w:r>
      <w:r>
        <w:t xml:space="preserve"> </w:t>
      </w:r>
      <w:r>
        <w:rPr>
          <w:iCs/>
          <w:i/>
        </w:rPr>
        <w:t xml:space="preserve">Environmental Research Letters</w:t>
      </w:r>
      <w:r>
        <w:t xml:space="preserve"> </w:t>
      </w:r>
      <w:r>
        <w:t xml:space="preserve">4, 044008. Available at:</w:t>
      </w:r>
      <w:r>
        <w:t xml:space="preserve"> </w:t>
      </w:r>
      <w:hyperlink r:id="rId179">
        <w:r>
          <w:rPr>
            <w:rStyle w:val="Hyperlink"/>
          </w:rPr>
          <w:t xml:space="preserve">https://doi.org/10.1088/1748-9326/4/4/044008</w:t>
        </w:r>
      </w:hyperlink>
      <w:r>
        <w:t xml:space="preserve">.</w:t>
      </w:r>
    </w:p>
    <w:bookmarkEnd w:id="180"/>
    <w:bookmarkStart w:id="182"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81">
        <w:r>
          <w:rPr>
            <w:rStyle w:val="Hyperlink"/>
          </w:rPr>
          <w:t xml:space="preserve">https://doi.org/10.1016/j.marpolbul.2020.111247</w:t>
        </w:r>
      </w:hyperlink>
      <w:r>
        <w:t xml:space="preserve">.</w:t>
      </w:r>
    </w:p>
    <w:bookmarkEnd w:id="182"/>
    <w:bookmarkStart w:id="184"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3">
        <w:r>
          <w:rPr>
            <w:rStyle w:val="Hyperlink"/>
          </w:rPr>
          <w:t xml:space="preserve">https://doi.org/10.1016/j.rse.2011.06.027</w:t>
        </w:r>
      </w:hyperlink>
      <w:r>
        <w:t xml:space="preserve">.</w:t>
      </w:r>
    </w:p>
    <w:bookmarkEnd w:id="184"/>
    <w:bookmarkStart w:id="186" w:name="ref-Wessel22"/>
    <w:p>
      <w:pPr>
        <w:pStyle w:val="Bibliography"/>
      </w:pPr>
      <w:r>
        <w:t xml:space="preserve">Wessel, M. R., Leverone, J. R., Beck, M. W., Sherwood, E. T., Hecker, J., West, S., et al. (2022). Developing a water quality assessment framework for</w:t>
      </w:r>
      <w:r>
        <w:t xml:space="preserve"> </w:t>
      </w:r>
      <w:r>
        <w:t xml:space="preserve">S</w:t>
      </w:r>
      <w:r>
        <w:t xml:space="preserve">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5">
        <w:r>
          <w:rPr>
            <w:rStyle w:val="Hyperlink"/>
          </w:rPr>
          <w:t xml:space="preserve">https://doi.org/10.1007/s12237-021-00974-7</w:t>
        </w:r>
      </w:hyperlink>
      <w:r>
        <w:t xml:space="preserve">.</w:t>
      </w:r>
    </w:p>
    <w:bookmarkEnd w:id="186"/>
    <w:bookmarkStart w:id="188" w:name="ref-White17"/>
    <w:p>
      <w:pPr>
        <w:pStyle w:val="Bibliography"/>
      </w:pPr>
      <w:r>
        <w:t xml:space="preserve">White, E., and Kaplan, D.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 doi:</w:t>
      </w:r>
      <w:r>
        <w:t xml:space="preserve"> </w:t>
      </w:r>
      <w:hyperlink r:id="rId187">
        <w:r>
          <w:rPr>
            <w:rStyle w:val="Hyperlink"/>
          </w:rPr>
          <w:t xml:space="preserve">10.1002/ehs2.1258</w:t>
        </w:r>
      </w:hyperlink>
      <w:r>
        <w:t xml:space="preserve">.</w:t>
      </w:r>
    </w:p>
    <w:bookmarkEnd w:id="188"/>
    <w:bookmarkStart w:id="190"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9">
        <w:r>
          <w:rPr>
            <w:rStyle w:val="Hyperlink"/>
          </w:rPr>
          <w:t xml:space="preserve">10.21105/joss.01686</w:t>
        </w:r>
      </w:hyperlink>
      <w:r>
        <w:t xml:space="preserve">.</w:t>
      </w:r>
    </w:p>
    <w:bookmarkEnd w:id="190"/>
    <w:bookmarkStart w:id="192"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91">
        <w:r>
          <w:rPr>
            <w:rStyle w:val="Hyperlink"/>
          </w:rPr>
          <w:t xml:space="preserve">https://doi.org/10.1007/s12237-014-9926-y</w:t>
        </w:r>
      </w:hyperlink>
      <w:r>
        <w:t xml:space="preserve">.</w:t>
      </w:r>
    </w:p>
    <w:bookmarkEnd w:id="192"/>
    <w:bookmarkEnd w:id="193"/>
    <w:bookmarkEnd w:id="194"/>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jpg" /><Relationship Type="http://schemas.openxmlformats.org/officeDocument/2006/relationships/image" Id="rId48" Target="media/rId48.jpg" /><Relationship Type="http://schemas.openxmlformats.org/officeDocument/2006/relationships/image" Id="rId44" Target="media/rId44.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52" Target="media/rId52.jpg" /><Relationship Type="http://schemas.openxmlformats.org/officeDocument/2006/relationships/hyperlink" Id="rId70" Target="https://CRAN.R-project.org/package=networkD3" TargetMode="External" /><Relationship Type="http://schemas.openxmlformats.org/officeDocument/2006/relationships/hyperlink" Id="rId172" Target="https://data-swfwmd.opendata.arcgis.com/" TargetMode="External" /><Relationship Type="http://schemas.openxmlformats.org/officeDocument/2006/relationships/hyperlink" Id="rId174"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7"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1"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5"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7" Target="https://doi.org/10.1016/j.geoderma.2013.10.007" TargetMode="External" /><Relationship Type="http://schemas.openxmlformats.org/officeDocument/2006/relationships/hyperlink" Id="rId181" Target="https://doi.org/10.1016/j.marpolbul.2020.111247" TargetMode="External" /><Relationship Type="http://schemas.openxmlformats.org/officeDocument/2006/relationships/hyperlink" Id="rId183"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9"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9"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170" Target="https://www31.swfwmd.state.fl.us/Documents/Photo_Interpretation_Key_2014.pdf"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networkD3" TargetMode="External" /><Relationship Type="http://schemas.openxmlformats.org/officeDocument/2006/relationships/hyperlink" Id="rId172" Target="https://data-swfwmd.opendata.arcgis.com/" TargetMode="External" /><Relationship Type="http://schemas.openxmlformats.org/officeDocument/2006/relationships/hyperlink" Id="rId174"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7"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1"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5"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7" Target="https://doi.org/10.1016/j.geoderma.2013.10.007" TargetMode="External" /><Relationship Type="http://schemas.openxmlformats.org/officeDocument/2006/relationships/hyperlink" Id="rId181" Target="https://doi.org/10.1016/j.marpolbul.2020.111247" TargetMode="External" /><Relationship Type="http://schemas.openxmlformats.org/officeDocument/2006/relationships/hyperlink" Id="rId183"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9"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9"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170" Target="https://www31.swfwmd.state.fl.us/Documents/Photo_Interpretation_Key_2014.pdf"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2023-01-09T20:29:25Z</dcterms:created>
  <dcterms:modified xsi:type="dcterms:W3CDTF">2023-01-09T20:29:25Z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