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47.png" ContentType="image/png"/>
  <Override PartName="/word/media/rId43.png" ContentType="image/png"/>
  <Override PartName="/word/media/rId59.png" ContentType="image/png"/>
  <Override PartName="/word/media/rId63.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provided as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impact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Coastal development and climate change diminish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is an area of intense urban development and is expected to be impacted by sea-level rise based on current estimates. Since 1946, the St. Petersburg tidal gauge (NOAA gauge 872650) has documented a nearly 20 cm increase in mean tidal height to present day. Projections to the year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Finally, remaining restoration opportunities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This area extends from the local Mean Lower Low Water (MLLW) elevation to an elevation 5 feet above Mean Sea Level and is highly vulnerable to sea-level rise</w:t>
      </w:r>
      <w:r>
        <w:t xml:space="preserve"> </w:t>
      </w:r>
      <w:r>
        <w:t xml:space="preserve">(Burke et al., 2019)</w:t>
      </w:r>
      <w:r>
        <w:t xml:space="preserve">.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and permit databases of conservation and drainage easements. This workflow created the existing conservation and proposed conservation layers in</w:t>
      </w:r>
      <w:r>
        <w:t xml:space="preserve"> </w:t>
      </w:r>
      <w:hyperlink w:anchor="fig-gisworkflow">
        <w:r>
          <w:rPr>
            <w:rStyle w:val="Hyperlink"/>
          </w:rPr>
          <w:t xml:space="preserve">Figure 2</w:t>
        </w:r>
      </w:hyperlink>
      <w:r>
        <w:t xml:space="preserve">. Intersecting the native and restorable lands in these areas produced four unique opportunity areas: existing conservation native, proposed conservation native, existing conservation restorable, and proposed conservation restorable.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native)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were identified, further partitioned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5"/>
    <w:bookmarkEnd w:id="36"/>
    <w:bookmarkStart w:id="41" w:name="discussion"/>
    <w:p>
      <w:pPr>
        <w:pStyle w:val="Heading2"/>
      </w:pPr>
      <w:r>
        <w:t xml:space="preserve">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However, the most recent (2020) coverage estimate showed a seagrass loss of 18%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w:t>
      </w:r>
      <w:r>
        <w:t xml:space="preserve">. Ongoing research to understand mechanisms for mitigating these blooms will be critical for restoring seagrass in Tampa Bay.</w:t>
      </w:r>
    </w:p>
    <w:p>
      <w:pPr>
        <w:pStyle w:val="BodyText"/>
      </w:pPr>
      <w:r>
        <w:t xml:space="preserve">Emergent tidal and freshwater wetlands in Tampa Bay have also experienced dramatic changes over the last three decades. Dual pressures from sea-level rise and climate change have impacted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the effectiveness of state and federal wetland regulatory programs, and 2) the cumulative gains from publicly-funded habitat restoration projects. A similar approach could be used for salt marshes or salt barrens.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Amendments to existing planning, zoning, and land development policies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Reductions in native uplands will likely continue unless local governments improve regulatory protections, such as strengthening language within comprehensive plans and development ordinances to maintain a defined extent of these habitats within a rapidly urbanizing coastal watershed.</w:t>
      </w:r>
    </w:p>
    <w:bookmarkEnd w:id="37"/>
    <w:bookmarkStart w:id="38" w:name="achieving-restoration-targets-and-goals"/>
    <w:p>
      <w:pPr>
        <w:pStyle w:val="Heading3"/>
      </w:pPr>
      <w:r>
        <w:t xml:space="preserve">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impacted by sea-level rise if land acquisition is not possible. These approaches are necessary to accommodate future landward migration of tidal wetlands or the protection of coastal uplands, while also preventing or minimizing development activities that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landward habitat migration.</w:t>
      </w:r>
    </w:p>
    <w:p>
      <w:pPr>
        <w:pStyle w:val="BodyText"/>
      </w:pPr>
      <w:r>
        <w:t xml:space="preserve">Finally, wetland impacts and associated compensatory mitigation projects authorized under wetland regulatory programs could serve as more focused and directed restoration mechanisms to help achieve watershed-wide goals. Mitigation activities have historically been conducted independent of watershed-level planning and monitoring processes. This disconnect has contributed to fragmented implementation and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39"/>
    <w:bookmarkStart w:id="40" w:name="conclusion"/>
    <w:p>
      <w:pPr>
        <w:pStyle w:val="Heading3"/>
      </w:pPr>
      <w:r>
        <w:t xml:space="preserve">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w:t>
            </w:r>
          </w:p>
          <w:bookmarkEnd w:id="46"/>
        </w:tc>
      </w:tr>
    </w:tbl>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5486400"/>
                  <wp:effectExtent b="0" l="0" r="0" t="0"/>
                  <wp:docPr descr="" title="" id="48" name="Picture"/>
                  <a:graphic>
                    <a:graphicData uri="http://schemas.openxmlformats.org/drawingml/2006/picture">
                      <pic:pic>
                        <pic:nvPicPr>
                          <pic:cNvPr descr="figs/gisworkflow.png" id="49" name="Picture"/>
                          <pic:cNvPicPr>
                            <a:picLocks noChangeArrowheads="1" noChangeAspect="1"/>
                          </pic:cNvPicPr>
                        </pic:nvPicPr>
                        <pic:blipFill>
                          <a:blip r:embed="rId47"/>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 and restoration potential.</w:t>
            </w:r>
          </w:p>
          <w:bookmarkEnd w:id="50"/>
        </w:tc>
      </w:tr>
    </w:tbl>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4663745" cy="6755550"/>
                  <wp:effectExtent b="0" l="0" r="0" t="0"/>
                  <wp:docPr descr="" title="" id="52" name="Picture"/>
                  <a:graphic>
                    <a:graphicData uri="http://schemas.openxmlformats.org/drawingml/2006/picture">
                      <pic:pic>
                        <pic:nvPicPr>
                          <pic:cNvPr descr="figs/subtchgdatalluv.png" id="53" name="Picture"/>
                          <pic:cNvPicPr>
                            <a:picLocks noChangeArrowheads="1" noChangeAspect="1"/>
                          </pic:cNvPicPr>
                        </pic:nvPicPr>
                        <pic:blipFill>
                          <a:blip r:embed="rId51"/>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pn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49"/>
                  <wp:effectExtent b="0" l="0" r="0" t="0"/>
                  <wp:docPr descr="" title="" id="60" name="Picture"/>
                  <a:graphic>
                    <a:graphicData uri="http://schemas.openxmlformats.org/drawingml/2006/picture">
                      <pic:pic>
                        <pic:nvPicPr>
                          <pic:cNvPr descr="figs/oppmap.png" id="61" name="Picture"/>
                          <pic:cNvPicPr>
                            <a:picLocks noChangeArrowheads="1" noChangeAspect="1"/>
                          </pic:cNvPicPr>
                        </pic:nvPicPr>
                        <pic:blipFill>
                          <a:blip r:embed="rId59"/>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2"/>
        </w:tc>
      </w:tr>
    </w:tbl>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49"/>
                  <wp:effectExtent b="0" l="0" r="0" t="0"/>
                  <wp:docPr descr="" title="" id="64" name="Picture"/>
                  <a:graphic>
                    <a:graphicData uri="http://schemas.openxmlformats.org/drawingml/2006/picture">
                      <pic:pic>
                        <pic:nvPicPr>
                          <pic:cNvPr descr="figs/restmap.png" id="65" name="Picture"/>
                          <pic:cNvPicPr>
                            <a:picLocks noChangeArrowheads="1" noChangeAspect="1"/>
                          </pic:cNvPicPr>
                        </pic:nvPicPr>
                        <pic:blipFill>
                          <a:blip r:embed="rId63"/>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cantSplit/>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3: 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85" w:name="references"/>
    <w:p>
      <w:pPr>
        <w:pStyle w:val="Heading2"/>
      </w:pPr>
      <w:r>
        <w:t xml:space="preserve">References</w:t>
      </w:r>
    </w:p>
    <w:bookmarkStart w:id="184"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6"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6"/>
    <w:bookmarkStart w:id="98"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7">
        <w:r>
          <w:rPr>
            <w:rStyle w:val="Hyperlink"/>
          </w:rPr>
          <w:t xml:space="preserve">https://doi.org/10.1007/s12237-020-00733-0</w:t>
        </w:r>
      </w:hyperlink>
      <w:r>
        <w:t xml:space="preserve">.</w:t>
      </w:r>
    </w:p>
    <w:bookmarkEnd w:id="98"/>
    <w:bookmarkStart w:id="100"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9">
        <w:r>
          <w:rPr>
            <w:rStyle w:val="Hyperlink"/>
          </w:rPr>
          <w:t xml:space="preserve">https://doi.org/10.1007/s12237-008-9111-2</w:t>
        </w:r>
      </w:hyperlink>
      <w:r>
        <w:t xml:space="preserve">.</w:t>
      </w:r>
    </w:p>
    <w:bookmarkEnd w:id="100"/>
    <w:bookmarkStart w:id="102"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1">
        <w:r>
          <w:rPr>
            <w:rStyle w:val="Hyperlink"/>
          </w:rPr>
          <w:t xml:space="preserve">https://doi.org/10.1080/08920750802395558</w:t>
        </w:r>
      </w:hyperlink>
      <w:r>
        <w:t xml:space="preserve">.</w:t>
      </w:r>
    </w:p>
    <w:bookmarkEnd w:id="102"/>
    <w:bookmarkStart w:id="104"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3">
        <w:r>
          <w:rPr>
            <w:rStyle w:val="Hyperlink"/>
          </w:rPr>
          <w:t xml:space="preserve">https://doi.org/10.1201/9780138750308</w:t>
        </w:r>
      </w:hyperlink>
      <w:r>
        <w:t xml:space="preserve">.</w:t>
      </w:r>
    </w:p>
    <w:bookmarkEnd w:id="104"/>
    <w:bookmarkStart w:id="105" w:name="ref-EPA96"/>
    <w:p>
      <w:pPr>
        <w:pStyle w:val="Bibliography"/>
      </w:pPr>
      <w:r>
        <w:t xml:space="preserve">Environmental Protection Agency (1996). Watershed approach framework. Office of Water (4501F).</w:t>
      </w:r>
    </w:p>
    <w:bookmarkEnd w:id="105"/>
    <w:bookmarkStart w:id="107"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6">
        <w:r>
          <w:rPr>
            <w:rStyle w:val="Hyperlink"/>
          </w:rPr>
          <w:t xml:space="preserve">https://dx.doi.org/10.3133/ds969</w:t>
        </w:r>
      </w:hyperlink>
      <w:r>
        <w:t xml:space="preserve">.</w:t>
      </w:r>
    </w:p>
    <w:bookmarkEnd w:id="107"/>
    <w:bookmarkStart w:id="108"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8"/>
    <w:bookmarkStart w:id="109"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9"/>
    <w:bookmarkStart w:id="111"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0">
        <w:r>
          <w:rPr>
            <w:rStyle w:val="Hyperlink"/>
          </w:rPr>
          <w:t xml:space="preserve">10.1016/j.ecss.2014.10.003</w:t>
        </w:r>
      </w:hyperlink>
      <w:r>
        <w:t xml:space="preserve">.</w:t>
      </w:r>
    </w:p>
    <w:bookmarkEnd w:id="111"/>
    <w:bookmarkStart w:id="112"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2"/>
    <w:bookmarkStart w:id="113"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3"/>
    <w:bookmarkStart w:id="114"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4"/>
    <w:bookmarkStart w:id="116"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5">
        <w:r>
          <w:rPr>
            <w:rStyle w:val="Hyperlink"/>
          </w:rPr>
          <w:t xml:space="preserve">https://doi.org/10.1046/j.1526-100x.2000.80037.x</w:t>
        </w:r>
      </w:hyperlink>
      <w:r>
        <w:t xml:space="preserve">.</w:t>
      </w:r>
    </w:p>
    <w:bookmarkEnd w:id="116"/>
    <w:bookmarkStart w:id="117"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7"/>
    <w:bookmarkStart w:id="119"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8">
        <w:r>
          <w:rPr>
            <w:rStyle w:val="Hyperlink"/>
          </w:rPr>
          <w:t xml:space="preserve">https://doi.org/10.2307/1352488</w:t>
        </w:r>
      </w:hyperlink>
      <w:r>
        <w:t xml:space="preserve">.</w:t>
      </w:r>
    </w:p>
    <w:bookmarkEnd w:id="119"/>
    <w:bookmarkStart w:id="120"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0"/>
    <w:bookmarkStart w:id="121"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1"/>
    <w:bookmarkStart w:id="122"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2"/>
    <w:bookmarkStart w:id="123"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3"/>
    <w:bookmarkStart w:id="124"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4"/>
    <w:bookmarkStart w:id="126"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5">
        <w:r>
          <w:rPr>
            <w:rStyle w:val="Hyperlink"/>
          </w:rPr>
          <w:t xml:space="preserve">10.1111/jpy.12883</w:t>
        </w:r>
      </w:hyperlink>
      <w:r>
        <w:t xml:space="preserve">.</w:t>
      </w:r>
    </w:p>
    <w:bookmarkEnd w:id="126"/>
    <w:bookmarkStart w:id="128"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7">
        <w:r>
          <w:rPr>
            <w:rStyle w:val="Hyperlink"/>
          </w:rPr>
          <w:t xml:space="preserve">10.1038/s41559-017-0160</w:t>
        </w:r>
      </w:hyperlink>
      <w:r>
        <w:t xml:space="preserve">.</w:t>
      </w:r>
    </w:p>
    <w:bookmarkEnd w:id="128"/>
    <w:bookmarkStart w:id="130"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29">
        <w:r>
          <w:rPr>
            <w:rStyle w:val="Hyperlink"/>
          </w:rPr>
          <w:t xml:space="preserve">https://doi.org/10.1016/j.ecoser.2018.09.005</w:t>
        </w:r>
      </w:hyperlink>
      <w:r>
        <w:t xml:space="preserve">.</w:t>
      </w:r>
    </w:p>
    <w:bookmarkEnd w:id="130"/>
    <w:bookmarkStart w:id="131"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1"/>
    <w:bookmarkStart w:id="132"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2"/>
    <w:bookmarkStart w:id="133"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3"/>
    <w:bookmarkStart w:id="134"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4"/>
    <w:bookmarkStart w:id="136"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35">
        <w:r>
          <w:rPr>
            <w:rStyle w:val="Hyperlink"/>
          </w:rPr>
          <w:t xml:space="preserve">10.1111/gcb.16111</w:t>
        </w:r>
      </w:hyperlink>
      <w:r>
        <w:t xml:space="preserve">.</w:t>
      </w:r>
    </w:p>
    <w:bookmarkEnd w:id="136"/>
    <w:bookmarkStart w:id="138"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37">
        <w:r>
          <w:rPr>
            <w:rStyle w:val="Hyperlink"/>
          </w:rPr>
          <w:t xml:space="preserve">https://doi.org/10.1007/s10021-012-9551-1</w:t>
        </w:r>
      </w:hyperlink>
      <w:r>
        <w:t xml:space="preserve">.</w:t>
      </w:r>
    </w:p>
    <w:bookmarkEnd w:id="138"/>
    <w:bookmarkStart w:id="140"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39">
        <w:r>
          <w:rPr>
            <w:rStyle w:val="Hyperlink"/>
          </w:rPr>
          <w:t xml:space="preserve">https://doi.org/10.1007/s12237-008-9129-5</w:t>
        </w:r>
      </w:hyperlink>
      <w:r>
        <w:t xml:space="preserve">.</w:t>
      </w:r>
    </w:p>
    <w:bookmarkEnd w:id="140"/>
    <w:bookmarkStart w:id="142"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1">
        <w:r>
          <w:rPr>
            <w:rStyle w:val="Hyperlink"/>
          </w:rPr>
          <w:t xml:space="preserve">10.32614/RJ-2018-009</w:t>
        </w:r>
      </w:hyperlink>
      <w:r>
        <w:t xml:space="preserve">.</w:t>
      </w:r>
    </w:p>
    <w:bookmarkEnd w:id="142"/>
    <w:bookmarkStart w:id="144"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3">
        <w:r>
          <w:rPr>
            <w:rStyle w:val="Hyperlink"/>
          </w:rPr>
          <w:t xml:space="preserve">https://www.R-project.org/</w:t>
        </w:r>
      </w:hyperlink>
      <w:r>
        <w:t xml:space="preserve">.</w:t>
      </w:r>
    </w:p>
    <w:bookmarkEnd w:id="144"/>
    <w:bookmarkStart w:id="146"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5">
        <w:r>
          <w:rPr>
            <w:rStyle w:val="Hyperlink"/>
          </w:rPr>
          <w:t xml:space="preserve">https://doi.org/10.1007/s12237-012-9503-1</w:t>
        </w:r>
      </w:hyperlink>
      <w:r>
        <w:t xml:space="preserve">.</w:t>
      </w:r>
    </w:p>
    <w:bookmarkEnd w:id="146"/>
    <w:bookmarkStart w:id="147"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7"/>
    <w:bookmarkStart w:id="148"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8"/>
    <w:bookmarkStart w:id="149"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49"/>
    <w:bookmarkStart w:id="150"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0"/>
    <w:bookmarkStart w:id="152"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51">
        <w:r>
          <w:rPr>
            <w:rStyle w:val="Hyperlink"/>
          </w:rPr>
          <w:t xml:space="preserve">https://drive.google.com/file/d/1Hp0l_qtbxp1JxKJoGatdyuANSzQrpL0I/view?usp=drivesdk</w:t>
        </w:r>
      </w:hyperlink>
      <w:r>
        <w:t xml:space="preserve">.</w:t>
      </w:r>
    </w:p>
    <w:bookmarkEnd w:id="152"/>
    <w:bookmarkStart w:id="154"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3">
        <w:r>
          <w:rPr>
            <w:rStyle w:val="Hyperlink"/>
          </w:rPr>
          <w:t xml:space="preserve">https://doi.org/10.1007/s12237-013-9662-8</w:t>
        </w:r>
      </w:hyperlink>
      <w:r>
        <w:t xml:space="preserve">.</w:t>
      </w:r>
    </w:p>
    <w:bookmarkEnd w:id="154"/>
    <w:bookmarkStart w:id="156"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55">
        <w:r>
          <w:rPr>
            <w:rStyle w:val="Hyperlink"/>
          </w:rPr>
          <w:t xml:space="preserve">10.1007/s13157-019-01137-y</w:t>
        </w:r>
      </w:hyperlink>
      <w:r>
        <w:t xml:space="preserve">.</w:t>
      </w:r>
    </w:p>
    <w:bookmarkEnd w:id="156"/>
    <w:bookmarkStart w:id="157"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7"/>
    <w:bookmarkStart w:id="158"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58"/>
    <w:bookmarkStart w:id="159"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59"/>
    <w:bookmarkStart w:id="161"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0">
        <w:r>
          <w:rPr>
            <w:rStyle w:val="Hyperlink"/>
          </w:rPr>
          <w:t xml:space="preserve">https://doi.org/10.1002/eap.1722</w:t>
        </w:r>
      </w:hyperlink>
      <w:r>
        <w:t xml:space="preserve">.</w:t>
      </w:r>
    </w:p>
    <w:bookmarkEnd w:id="161"/>
    <w:bookmarkStart w:id="162" w:name="ref-SWFWMD14"/>
    <w:p>
      <w:pPr>
        <w:pStyle w:val="Bibliography"/>
      </w:pPr>
      <w:r>
        <w:t xml:space="preserve">Southwest Florida Water Management District (2014). Photo interpretation key for land use classification.</w:t>
      </w:r>
    </w:p>
    <w:bookmarkEnd w:id="162"/>
    <w:bookmarkStart w:id="164" w:name="ref-SWFWMD18"/>
    <w:p>
      <w:pPr>
        <w:pStyle w:val="Bibliography"/>
      </w:pPr>
      <w:r>
        <w:t xml:space="preserve">Southwest Florida Water Management District (2018). Land use land cover data. c1990-2017. Available at:</w:t>
      </w:r>
      <w:r>
        <w:t xml:space="preserve"> </w:t>
      </w:r>
      <w:hyperlink r:id="rId163">
        <w:r>
          <w:rPr>
            <w:rStyle w:val="Hyperlink"/>
          </w:rPr>
          <w:t xml:space="preserve">https://data-swfwmd.opendata.arcgis.com/</w:t>
        </w:r>
      </w:hyperlink>
      <w:r>
        <w:t xml:space="preserve">.</w:t>
      </w:r>
    </w:p>
    <w:bookmarkEnd w:id="164"/>
    <w:bookmarkStart w:id="166" w:name="ref-SWFWMD19"/>
    <w:p>
      <w:pPr>
        <w:pStyle w:val="Bibliography"/>
      </w:pPr>
      <w:r>
        <w:t xml:space="preserve">Southwest Florida Water Management District (2019). Seagrass in 2018. Available at:</w:t>
      </w:r>
      <w:r>
        <w:t xml:space="preserve"> </w:t>
      </w:r>
      <w:hyperlink r:id="rId165">
        <w:r>
          <w:rPr>
            <w:rStyle w:val="Hyperlink"/>
          </w:rPr>
          <w:t xml:space="preserve">https://data-swfwmd.opendata.arcgis.com/datasets/seagrass-in-2018</w:t>
        </w:r>
      </w:hyperlink>
      <w:r>
        <w:t xml:space="preserve">.</w:t>
      </w:r>
    </w:p>
    <w:bookmarkEnd w:id="166"/>
    <w:bookmarkStart w:id="167"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67"/>
    <w:bookmarkStart w:id="169"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68">
        <w:r>
          <w:rPr>
            <w:rStyle w:val="Hyperlink"/>
          </w:rPr>
          <w:t xml:space="preserve">https://doi.org/10.1016/j.geoderma.2013.10.007</w:t>
        </w:r>
      </w:hyperlink>
      <w:r>
        <w:t xml:space="preserve">.</w:t>
      </w:r>
    </w:p>
    <w:bookmarkEnd w:id="169"/>
    <w:bookmarkStart w:id="171"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0">
        <w:r>
          <w:rPr>
            <w:rStyle w:val="Hyperlink"/>
          </w:rPr>
          <w:t xml:space="preserve">https://doi.org/10.1016/S0169-2046(97)00041-8</w:t>
        </w:r>
      </w:hyperlink>
      <w:r>
        <w:t xml:space="preserve">.</w:t>
      </w:r>
    </w:p>
    <w:bookmarkEnd w:id="171"/>
    <w:bookmarkStart w:id="173"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2">
        <w:r>
          <w:rPr>
            <w:rStyle w:val="Hyperlink"/>
          </w:rPr>
          <w:t xml:space="preserve">https://doi.org/10.1088/1748-9326/4/4/044008</w:t>
        </w:r>
      </w:hyperlink>
      <w:r>
        <w:t xml:space="preserve">.</w:t>
      </w:r>
    </w:p>
    <w:bookmarkEnd w:id="173"/>
    <w:bookmarkStart w:id="175"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4">
        <w:r>
          <w:rPr>
            <w:rStyle w:val="Hyperlink"/>
          </w:rPr>
          <w:t xml:space="preserve">https://doi.org/10.1016/j.marpolbul.2020.111247</w:t>
        </w:r>
      </w:hyperlink>
      <w:r>
        <w:t xml:space="preserve">.</w:t>
      </w:r>
    </w:p>
    <w:bookmarkEnd w:id="175"/>
    <w:bookmarkStart w:id="177"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6">
        <w:r>
          <w:rPr>
            <w:rStyle w:val="Hyperlink"/>
          </w:rPr>
          <w:t xml:space="preserve">https://doi.org/10.1016/j.rse.2011.06.027</w:t>
        </w:r>
      </w:hyperlink>
      <w:r>
        <w:t xml:space="preserve">.</w:t>
      </w:r>
    </w:p>
    <w:bookmarkEnd w:id="177"/>
    <w:bookmarkStart w:id="179"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78">
        <w:r>
          <w:rPr>
            <w:rStyle w:val="Hyperlink"/>
          </w:rPr>
          <w:t xml:space="preserve">https://doi.org/10.1007/s12237-021-00974-7</w:t>
        </w:r>
      </w:hyperlink>
      <w:r>
        <w:t xml:space="preserve">.</w:t>
      </w:r>
    </w:p>
    <w:bookmarkEnd w:id="179"/>
    <w:bookmarkStart w:id="181"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0">
        <w:r>
          <w:rPr>
            <w:rStyle w:val="Hyperlink"/>
          </w:rPr>
          <w:t xml:space="preserve">10.21105/joss.01686</w:t>
        </w:r>
      </w:hyperlink>
      <w:r>
        <w:t xml:space="preserve">.</w:t>
      </w:r>
    </w:p>
    <w:bookmarkEnd w:id="181"/>
    <w:bookmarkStart w:id="183"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2">
        <w:r>
          <w:rPr>
            <w:rStyle w:val="Hyperlink"/>
          </w:rPr>
          <w:t xml:space="preserve">https://doi.org/10.1007/s12237-014-9926-y</w:t>
        </w:r>
      </w:hyperlink>
      <w:r>
        <w:t xml:space="preserve">.</w:t>
      </w:r>
    </w:p>
    <w:bookmarkEnd w:id="183"/>
    <w:bookmarkEnd w:id="184"/>
    <w:bookmarkEnd w:id="18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hyperlink" Id="rId69" Target="https://CRAN.R-project.org/package=networkD3" TargetMode="External" /><Relationship Type="http://schemas.openxmlformats.org/officeDocument/2006/relationships/hyperlink" Id="rId163" Target="https://data-swfwmd.opendata.arcgis.com/" TargetMode="External" /><Relationship Type="http://schemas.openxmlformats.org/officeDocument/2006/relationships/hyperlink" Id="rId165" Target="https://data-swfwmd.opendata.arcgis.com/datasets/seagrass-in-2018" TargetMode="External" /><Relationship Type="http://schemas.openxmlformats.org/officeDocument/2006/relationships/hyperlink" Id="rId160"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37"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39" Target="https://doi.org/10.1007/s12237-008-9129-5" TargetMode="External" /><Relationship Type="http://schemas.openxmlformats.org/officeDocument/2006/relationships/hyperlink" Id="rId145" Target="https://doi.org/10.1007/s12237-012-9503-1" TargetMode="External" /><Relationship Type="http://schemas.openxmlformats.org/officeDocument/2006/relationships/hyperlink" Id="rId153" Target="https://doi.org/10.1007/s12237-013-9662-8" TargetMode="External" /><Relationship Type="http://schemas.openxmlformats.org/officeDocument/2006/relationships/hyperlink" Id="rId182"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78" Target="https://doi.org/10.1007/s12237-021-00974-7" TargetMode="External" /><Relationship Type="http://schemas.openxmlformats.org/officeDocument/2006/relationships/hyperlink" Id="rId155" Target="https://doi.org/10.1007/s13157-019-01137-y" TargetMode="External" /><Relationship Type="http://schemas.openxmlformats.org/officeDocument/2006/relationships/hyperlink" Id="rId170"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29"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68" Target="https://doi.org/10.1016/j.geoderma.2013.10.007" TargetMode="External" /><Relationship Type="http://schemas.openxmlformats.org/officeDocument/2006/relationships/hyperlink" Id="rId174" Target="https://doi.org/10.1016/j.marpolbul.2020.111247" TargetMode="External" /><Relationship Type="http://schemas.openxmlformats.org/officeDocument/2006/relationships/hyperlink" Id="rId176" Target="https://doi.org/10.1016/j.rse.2011.06.027" TargetMode="External" /><Relationship Type="http://schemas.openxmlformats.org/officeDocument/2006/relationships/hyperlink" Id="rId127"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2" Target="https://doi.org/10.1088/1748-9326/4/4/044008" TargetMode="External" /><Relationship Type="http://schemas.openxmlformats.org/officeDocument/2006/relationships/hyperlink" Id="rId135" Target="https://doi.org/10.1111/gcb.16111" TargetMode="External" /><Relationship Type="http://schemas.openxmlformats.org/officeDocument/2006/relationships/hyperlink" Id="rId125" Target="https://doi.org/10.1111/jpy.128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0"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1"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1"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3"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63" Target="https://data-swfwmd.opendata.arcgis.com/" TargetMode="External" /><Relationship Type="http://schemas.openxmlformats.org/officeDocument/2006/relationships/hyperlink" Id="rId165" Target="https://data-swfwmd.opendata.arcgis.com/datasets/seagrass-in-2018" TargetMode="External" /><Relationship Type="http://schemas.openxmlformats.org/officeDocument/2006/relationships/hyperlink" Id="rId160"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37"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39" Target="https://doi.org/10.1007/s12237-008-9129-5" TargetMode="External" /><Relationship Type="http://schemas.openxmlformats.org/officeDocument/2006/relationships/hyperlink" Id="rId145" Target="https://doi.org/10.1007/s12237-012-9503-1" TargetMode="External" /><Relationship Type="http://schemas.openxmlformats.org/officeDocument/2006/relationships/hyperlink" Id="rId153" Target="https://doi.org/10.1007/s12237-013-9662-8" TargetMode="External" /><Relationship Type="http://schemas.openxmlformats.org/officeDocument/2006/relationships/hyperlink" Id="rId182"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78" Target="https://doi.org/10.1007/s12237-021-00974-7" TargetMode="External" /><Relationship Type="http://schemas.openxmlformats.org/officeDocument/2006/relationships/hyperlink" Id="rId155" Target="https://doi.org/10.1007/s13157-019-01137-y" TargetMode="External" /><Relationship Type="http://schemas.openxmlformats.org/officeDocument/2006/relationships/hyperlink" Id="rId170"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29"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68" Target="https://doi.org/10.1016/j.geoderma.2013.10.007" TargetMode="External" /><Relationship Type="http://schemas.openxmlformats.org/officeDocument/2006/relationships/hyperlink" Id="rId174" Target="https://doi.org/10.1016/j.marpolbul.2020.111247" TargetMode="External" /><Relationship Type="http://schemas.openxmlformats.org/officeDocument/2006/relationships/hyperlink" Id="rId176" Target="https://doi.org/10.1016/j.rse.2011.06.027" TargetMode="External" /><Relationship Type="http://schemas.openxmlformats.org/officeDocument/2006/relationships/hyperlink" Id="rId127"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2" Target="https://doi.org/10.1088/1748-9326/4/4/044008" TargetMode="External" /><Relationship Type="http://schemas.openxmlformats.org/officeDocument/2006/relationships/hyperlink" Id="rId135" Target="https://doi.org/10.1111/gcb.16111" TargetMode="External" /><Relationship Type="http://schemas.openxmlformats.org/officeDocument/2006/relationships/hyperlink" Id="rId125" Target="https://doi.org/10.1111/jpy.128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0"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1"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1"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3"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2022-10-02T14:48:58Z</dcterms:created>
  <dcterms:modified xsi:type="dcterms:W3CDTF">2022-10-02T14:48:58Z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