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jpg" ContentType="image/jpeg"/>
  <Override PartName="/word/media/rId47.jpg" ContentType="image/jpeg"/>
  <Override PartName="/word/media/rId43.jpg" ContentType="image/jpeg"/>
  <Override PartName="/word/media/rId59.jpg" ContentType="image/jpeg"/>
  <Override PartName="/word/media/rId63.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target-setting approach for native habitats was created for the Tampa Bay watershed that identifies current restoration opportunities and establishes short-term (2030) targets and long-term (2050) goals. The approach was informed through a three-decade habitat change analysis and over forty years of habitat restoration projects in the region. Restoration goals were defined based on what is possible today and the projected needs for the future, rather than attempting to replicate past ecological conditions. The new approach also accounts for the expected impacts of sea-level rise, climate change, and watershed development - stressors which are pervasive in Florida. The resulting habitat goals are provided as maps that identify remaining restoration opportunities, while also providing an approach for the entire watershed that targets subtidal, intertidal, and uplands. This approach also supports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p>
      <w:pPr>
        <w:pStyle w:val="BodyText"/>
      </w:pPr>
      <w:r>
        <w:rPr>
          <w:iCs/>
          <w:i/>
        </w:rPr>
        <w:t xml:space="preserve">Key words</w:t>
      </w:r>
      <w:r>
        <w:t xml:space="preserve">: Florida, land use change, restoration planning, sea-level rise, Tampa Bay, urbanization</w:t>
      </w:r>
    </w:p>
    <w:bookmarkEnd w:id="21"/>
    <w:bookmarkStart w:id="22" w:name="introduction"/>
    <w:p>
      <w:pPr>
        <w:pStyle w:val="Heading2"/>
      </w:pPr>
      <w:r>
        <w:t xml:space="preserve">1 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stressors influence these resources, while balancing competing societal uses.</w:t>
      </w:r>
    </w:p>
    <w:p>
      <w:pPr>
        <w:pStyle w:val="BodyText"/>
      </w:pPr>
      <w:r>
        <w:t xml:space="preserve">The combined effects of land development and climate change are especially problematic for prioritizing habitat restoration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Coastal development and climate change diminish the available space for future restoration in urban estuaries, thereby impacting ecosystem services provided by these habitats and the wildlife they support</w:t>
      </w:r>
      <w:r>
        <w:t xml:space="preserve"> </w:t>
      </w:r>
      <w:r>
        <w:t xml:space="preserve">(Enwright et al., 2015)</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circa 1950 benchmark period considered as pre-development.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In this paper, we describe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These opportunity areas provide a first assessment of where restoration could occur, where on the ground assessments could be pursued to further quantify restoration potential. The outcomes of the approach are spatially 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Native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2.2 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 Kaufman, 2017; CSA Ocean Sciences, 2019)</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covers an area of land from the local Mean Lower Low Water (MLLW) elevation landward to an elevation 5 feet above Mean Sea Level. This 5-foot contour or coastal stratum is an area of intense urban development and is expected to be affected by sea-level rise based on current estimates</w:t>
      </w:r>
      <w:r>
        <w:t xml:space="preserve"> </w:t>
      </w:r>
      <w:r>
        <w:t xml:space="preserve">(Burke et al., 2019)</w:t>
      </w:r>
      <w:r>
        <w:t xml:space="preserve">. Since 1946, the St. Petersburg tidal gauge (NOAA gauge 872650) has documented a nearly 20 cm increase in mean tidal height to present day. Projections from the year 2000 to 2100 suggest sea levels can increase between 58 and 259 cm in the region</w:t>
      </w:r>
      <w:r>
        <w:t xml:space="preserve"> </w:t>
      </w:r>
      <w:r>
        <w:t xml:space="preserve">(Burke et al., 2019)</w:t>
      </w:r>
      <w:r>
        <w:t xml:space="preserve">.</w:t>
      </w:r>
    </w:p>
    <w:bookmarkEnd w:id="24"/>
    <w:bookmarkStart w:id="25" w:name="approach"/>
    <w:p>
      <w:pPr>
        <w:pStyle w:val="Heading3"/>
      </w:pPr>
      <w:r>
        <w:t xml:space="preserve">2.3 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to inform on a practical and feasible level of effort that could be conducted by restoration practitioners in the future. The first two steps were used to identify short-term (2030) targets and long-term (2050) goals for native habitat coverage (hectares). The short-term targets provided an interim set of native habitat coverages to attain within a reasonable planning horizon, at which point progress towards attaining the long-term goals will be re-assessed. Finally, remaining restoration opportunities were spatially identified by combining current coverages with existing or proposed protected areas and areas anticipated to be affected by sea-level rise. As such, the approach identifies reasonable goals and targets based on past trends and provides spatially explicit information that identifies where restoration practitioners could prioritize projects based on opportunities within their respective jurisdictions.</w:t>
      </w:r>
    </w:p>
    <w:bookmarkEnd w:id="25"/>
    <w:bookmarkStart w:id="26" w:name="habitat-status-and-trends"/>
    <w:p>
      <w:pPr>
        <w:pStyle w:val="Heading3"/>
      </w:pPr>
      <w:r>
        <w:t xml:space="preserve">2.4 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biennial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 Kawula and Redner, 2018)</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r>
        <w:t xml:space="preserve"> </w:t>
      </w:r>
      <w:r>
        <w:t xml:space="preserve">(Robison et al., 2020)</w:t>
      </w:r>
      <w:r>
        <w:t xml:space="preserve">.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2.5 Restoration and enhancement projects</w:t>
      </w:r>
    </w:p>
    <w:p>
      <w:pPr>
        <w:pStyle w:val="FirstParagraph"/>
      </w:pPr>
      <w:r>
        <w:t xml:space="preserve">Restoration projects conducted over the past 40 years were quantified for each of the major habitat types to inform expectations for setting short-term targets and long-term goals.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w:t>
      </w:r>
    </w:p>
    <w:bookmarkEnd w:id="28"/>
    <w:bookmarkStart w:id="30" w:name="Xed57c4af28049ab9d518c5740b98e1bbed8cc69"/>
    <w:p>
      <w:pPr>
        <w:pStyle w:val="Heading3"/>
      </w:pPr>
      <w:r>
        <w:t xml:space="preserve">2.6 Opportunity areas and restoration potential</w:t>
      </w:r>
    </w:p>
    <w:p>
      <w:pPr>
        <w:pStyle w:val="FirstParagraph"/>
      </w:pPr>
      <w:r>
        <w:t xml:space="preserve">Spatially 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underlying soil conditions, expected land use change, and sea-level rise. The identification of these areas on a broad spatial scale serves as a planning tool for restoration practitioners, where follow-up assessments are expected to more fully quantify restoration potential at selected sites.</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coastal reservation native and coastal reservation restorable areas, and 2) existing and proposed native and restorable areas. Collectively, each of these unique products are considered the opportunity areas in the Tampa Bay watershed (Table 1). The coastal reservation native and coastal reservation restorable areas are native and restorable habitats, respectively, that occur in the 5-foot contour or coastal stratum. Native habitats in this stratum were identified as those to be reserved, whereas restorable habitats were identified as those where tidal wetlands or coastal uplands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and permit databases of conservation and drainage easements. This workflow created the existing conservation and proposed conservation layers in</w:t>
      </w:r>
      <w:r>
        <w:t xml:space="preserve"> </w:t>
      </w:r>
      <w:hyperlink w:anchor="fig-gisworkflow">
        <w:r>
          <w:rPr>
            <w:rStyle w:val="Hyperlink"/>
          </w:rPr>
          <w:t xml:space="preserve">Figure 2</w:t>
        </w:r>
      </w:hyperlink>
      <w:r>
        <w:t xml:space="preserve">. Intersecting the native and restorable lands in these areas produced four unique opportunity areas: existing conservation native, proposed conservation native, existing conservation restorable, and proposed conservation restorable.</w:t>
      </w:r>
    </w:p>
    <w:p>
      <w:pPr>
        <w:pStyle w:val="BodyText"/>
      </w:pPr>
      <w:r>
        <w:t xml:space="preserve">All opportunity areas identified as restorable included coastal reservation restorable, existing conservation restorable, and proposed conservation restorable. To identify discrete habitat types that could be the goal of future restoration projects, restorable lands in the coastal stratum and on existing conservation areas (coastal reservation native and existing conservation restorable) were further grouped into their restoration potential by underlying soil types.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 This distinction explicitly accounts for potential salinity changes to soil properties as a function of sea-level rise based on regional projections in the time period for establishing the targets and goals.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coastal reservation native, and coastal reservation restorable. The second was a map that identified the restorable lands (either existing or coastal reservation) based on their restoration potential as coastal uplands, freshwater wetlands, native uplands, or tidal wetlands. All spatial analyses described above and as outlined in</w:t>
      </w:r>
      <w:r>
        <w:t xml:space="preserve"> </w:t>
      </w:r>
      <w:hyperlink w:anchor="fig-gisworkflow">
        <w:r>
          <w:rPr>
            <w:rStyle w:val="Hyperlink"/>
          </w:rPr>
          <w:t xml:space="preserve">Figure 2</w:t>
        </w:r>
      </w:hyperlink>
      <w:r>
        <w:t xml:space="preserve"> </w:t>
      </w:r>
      <w:r>
        <w:t xml:space="preserve">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(e.g., the</w:t>
      </w:r>
      <w:r>
        <w:t xml:space="preserve"> </w:t>
      </w:r>
      <w:r>
        <w:rPr>
          <w:iCs/>
          <w:i/>
        </w:rPr>
        <w:t xml:space="preserve">st_intersection</w:t>
      </w:r>
      <w:r>
        <w:t xml:space="preserve"> </w:t>
      </w:r>
      <w:r>
        <w:t xml:space="preserve">and</w:t>
      </w:r>
      <w:r>
        <w:t xml:space="preserve"> </w:t>
      </w:r>
      <w:r>
        <w:rPr>
          <w:iCs/>
          <w:i/>
        </w:rPr>
        <w:t xml:space="preserve">st_union</w:t>
      </w:r>
      <w:r>
        <w:t xml:space="preserve"> </w:t>
      </w:r>
      <w:r>
        <w:t xml:space="preserve">functions for intersect and union operations, Pebesma, 2018)</w:t>
      </w:r>
      <w:r>
        <w:t xml:space="preserve">. The workflows and data are provided in an open-access repository available on GitHub (</w:t>
      </w:r>
      <w:hyperlink r:id="rId29">
        <w:r>
          <w:rPr>
            <w:rStyle w:val="Hyperlink"/>
          </w:rPr>
          <w:t xml:space="preserve">https://github.com/tbep-tech/hmpu-workflow</w:t>
        </w:r>
      </w:hyperlink>
      <w:r>
        <w:t xml:space="preserve">)</w:t>
      </w:r>
      <w:r>
        <w:t xml:space="preserve"> </w:t>
      </w:r>
      <w:r>
        <w:t xml:space="preserve">(Beck et al., 2022)</w:t>
      </w:r>
      <w:r>
        <w:t xml:space="preserve">.</w:t>
      </w:r>
    </w:p>
    <w:bookmarkEnd w:id="30"/>
    <w:bookmarkEnd w:id="31"/>
    <w:bookmarkStart w:id="36" w:name="results"/>
    <w:p>
      <w:pPr>
        <w:pStyle w:val="Heading2"/>
      </w:pPr>
      <w:r>
        <w:t xml:space="preserve">3 Results</w:t>
      </w:r>
    </w:p>
    <w:bookmarkStart w:id="32" w:name="habitat-status-and-trends-1"/>
    <w:p>
      <w:pPr>
        <w:pStyle w:val="Heading3"/>
      </w:pPr>
      <w:r>
        <w:t xml:space="preserve">3.1 Habitat status and trends</w:t>
      </w:r>
    </w:p>
    <w:p>
      <w:pPr>
        <w:pStyle w:val="FirstParagraph"/>
      </w:pPr>
      <w:r>
        <w:t xml:space="preserve">Current estimates and trend information on subtidal habitats were available for seagrasses, tidal flats, and oyster bars (Table 2). Oyster bars were estimated at 67 ha in 2018 (Table 2), showing a 29% increase since mapping began in 2014. This increase may represent improved ground-truthing and photointerpretation, rather than a true increase in coverage. Tidal flats have generally increased from 1988 to the mid-2000s, followed by a decrease to present. The current estimate for tidal flats is 6,569 hectares, showing a 24% decline compared to the 1988 estimate of 8,700 hectares. Seagrasses have increased by 75% (6,986 ha) since 1988 to a current estimate of 16,293 ha. The change analysis comparing 1988 to 2018 for subtidal habitats (</w:t>
      </w:r>
      <w:hyperlink w:anchor="fig-subtchgdatalluv">
        <w:r>
          <w:rPr>
            <w:rStyle w:val="Hyperlink"/>
          </w:rPr>
          <w:t xml:space="preserve">Figure 3</w:t>
        </w:r>
      </w:hyperlink>
      <w:r>
        <w:t xml:space="preserve">) confirmed trends in Table 2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3).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3). Developed lands increased by 44%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conversion to developed lands came from restorable areas (21,292 ha) and native uplands (7,184 ha), with smaller proportions converted from forested freshwater wetlands (1,407 ha) and coastal uplands (193 ha). Habitats converted to restorable areas primarily included native uplands (8,304 ha), forested freshwater wetlands (1,700 ha), and developed lands (2,794 ha). The increase in non-forested freshwater wetlands was primarily from restorable lands (2,759 ha).</w:t>
      </w:r>
    </w:p>
    <w:bookmarkEnd w:id="32"/>
    <w:bookmarkStart w:id="33" w:name="habitat-restoration-and-enhancement"/>
    <w:p>
      <w:pPr>
        <w:pStyle w:val="Heading3"/>
      </w:pPr>
      <w:r>
        <w:t xml:space="preserve">3.2 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3.3 Summary of opportunity areas and restoration potential</w:t>
      </w:r>
    </w:p>
    <w:p>
      <w:pPr>
        <w:pStyle w:val="FirstParagraph"/>
      </w:pPr>
      <w:r>
        <w:t xml:space="preserve">The current extent of each habitat type is shown in Table 4 as summaries for the opportunity areas and restoration potential. The extent of each habitat in existing conservation lands and proposed conservation lands is shown. Summaries of the restoration potential under existing and proposed conservation lands is also shown. Most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habitats currently protected (existing conservation native), proposed for protection (proposed conservation native), or in the coastal stratum (coastal reservation native) totaled 119,410 ha (20.3% of the watershed above MLLW). Similarly, restorable lands currently protected (existing conservation restorable), proposed for protection (proposed conservation restorable), or in the coastal stratum (coastal reservation native) totaled 83,423 ha (14.2% of the watershed). Understandably, most of the native and restorable lands occurred in undeveloped areas in northern and southeastern areas of the watershed (</w:t>
      </w:r>
      <w:hyperlink w:anchor="fig-restmap">
        <w:r>
          <w:rPr>
            <w:rStyle w:val="Hyperlink"/>
          </w:rPr>
          <w:t xml:space="preserve">Figure 6</w:t>
        </w:r>
      </w:hyperlink>
      <w:r>
        <w:t xml:space="preserve">). Existing conservation lands (existing conservation native, existing conservation restorable) totaled 79,396 ha (13.5% of the watershed) and proposed conservation lands (proposed conservation native, proposed conservation restorable) totaled 123,437 ha (21% of the watershed). Reservation areas in the coastal stratum (coastal reservation native, coastal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of potentially restorable lands were identified, further partitioned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3.4 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5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with sufficient current extents (e.g., mangrove forests), were assigned targets and goals similar to the current extent, i.e., these habitats should be protected and further restoration will only increase resilience. Implicit in the targets and the goals is recurring re-assessment over time to evaluate progress and adjust expectations as appropriate.</w:t>
      </w:r>
    </w:p>
    <w:bookmarkEnd w:id="35"/>
    <w:bookmarkEnd w:id="36"/>
    <w:bookmarkStart w:id="41" w:name="discussion"/>
    <w:p>
      <w:pPr>
        <w:pStyle w:val="Heading2"/>
      </w:pPr>
      <w:r>
        <w:t xml:space="preserve">4 Discussion</w:t>
      </w:r>
    </w:p>
    <w:p>
      <w:pPr>
        <w:pStyle w:val="FirstParagraph"/>
      </w:pPr>
      <w:r>
        <w:t xml:space="preserve">Priorities for comprehensive, watershed-wide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spatially explicit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an ideal historical baseline.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7" w:name="habitat-trends"/>
    <w:p>
      <w:pPr>
        <w:pStyle w:val="Heading3"/>
      </w:pPr>
      <w:r>
        <w:t xml:space="preserve">4.1 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an increase of seagrasses by 75%, 2) an increase of emergent tidal wetlands (12%) and freshwater wetlands (24%), and 3) a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2014; Sherwood et al., 2017)</w:t>
      </w:r>
      <w:r>
        <w:t xml:space="preserve">. The nutrient reductions, primarily from point-source controls and advanced wastewater treatment, contributed to improvements in water quality and light environments that were favorable for seagrass growth. Reducing nitrogen inputs into Tampa Bay remains the primary strategy for maintaining water quality conditions. However, the most recent (2020) coverage estimate showed a seagrass loss of 18% baywide since peak coverages in 2016, falling below the target defined herein. These data were unavailable at the time this habitat restoration workflow was initially developed and trends informed by the new restoration paradigm have prompted bay managers to assess barriers in achieving the seagrass restoration goal. In particular, much of the seagrass losses have occurred in Old Tampa Bay (northwest segment of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The greatest percent loss of seagrass in 2020 was observed in Hillsborough Bay (northeast segment of Tampa Bay), which does not experience</w:t>
      </w:r>
      <w:r>
        <w:t xml:space="preserve"> </w:t>
      </w:r>
      <w:r>
        <w:rPr>
          <w:iCs/>
          <w:i/>
        </w:rPr>
        <w:t xml:space="preserve">P. bahamense</w:t>
      </w:r>
      <w:r>
        <w:t xml:space="preserve"> </w:t>
      </w:r>
      <w:r>
        <w:t xml:space="preserve">blooms. Ongoing research to understand mechanisms for mitigating blooms that negatively affect water quality, in addition to identifying potential regional stressors, will be critical for restoring seagrass in Tampa Bay.</w:t>
      </w:r>
    </w:p>
    <w:p>
      <w:pPr>
        <w:pStyle w:val="BodyText"/>
      </w:pPr>
      <w:r>
        <w:t xml:space="preserve">Emergent tidal and freshwater wetlands in Tampa Bay have also experienced dramatic changes over the last three decades. Dual pressures from sea-level rise and changes in the length of the freeze-free season have affected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 Osland et al., 2022)</w:t>
      </w:r>
      <w:r>
        <w:t xml:space="preserve">. Anthropogenic water withdrawals have also reduced freshwater flows reaching tidal marshes, contributing to reductions in coverage of key species (e.g.,</w:t>
      </w:r>
      <w:r>
        <w:t xml:space="preserve"> </w:t>
      </w:r>
      <w:r>
        <w:rPr>
          <w:iCs/>
          <w:i/>
        </w:rPr>
        <w:t xml:space="preserve">Juncus roemerianus</w:t>
      </w:r>
      <w:r>
        <w:t xml:space="preserve">) in place of mangroves</w:t>
      </w:r>
      <w:r>
        <w:t xml:space="preserve"> </w:t>
      </w:r>
      <w:r>
        <w:t xml:space="preserve">(Raabe et al., 2012)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constructed stormwater ponds required by state and federal regulatory programs, and 2) the cumulative gains from publicly-funded habitat restoration projects. Creative restoration approaches (e.g., habitat acquisition and optimal management of freshwater flows) that address the likely expansion of mangroves at the expense of salt marshes and salt barrens will be required to meet the targets and goals for these habitats.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areas to developed lands (</w:t>
      </w:r>
      <w:hyperlink w:anchor="fig-chgdatalluv">
        <w:r>
          <w:rPr>
            <w:rStyle w:val="Hyperlink"/>
          </w:rPr>
          <w:t xml:space="preserve">Figure 4</w:t>
        </w:r>
      </w:hyperlink>
      <w:r>
        <w:t xml:space="preserve">) presents additional challenges for restoration of native uplands. Additional education about best practices in land development, market-based incentives, and amendments to existing planning, zoning, and land development regulations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Voluntary approaches to low impact urban or suburban development may also gain traction among developers as more viable methods for land conversion that minimize impacts to natural resources while increasing quality of life</w:t>
      </w:r>
      <w:r>
        <w:t xml:space="preserve"> </w:t>
      </w:r>
      <w:r>
        <w:t xml:space="preserve">(Jones et al., 2009)</w:t>
      </w:r>
      <w:r>
        <w:t xml:space="preserve">. Education and outreach activities that target land developers to raise awareness of the benefits of alternative practices are critical in this effort. Market-based approaches to mitigating urban sprawl may also be practical</w:t>
      </w:r>
      <w:r>
        <w:t xml:space="preserve"> </w:t>
      </w:r>
      <w:r>
        <w:t xml:space="preserve">(e.g., conservation subdvisions, Mohamed, 2006)</w:t>
      </w:r>
      <w:r>
        <w:t xml:space="preserve"> </w:t>
      </w:r>
      <w:r>
        <w:t xml:space="preserve">given the estimated economic gains relative to conventional approaches. Regardless, reductions in native uplands will likely continue in the short-term unless local governments improve regulatory protections, such as strengthening language within comprehensive plans and development regulations to maintain a defined extent of these habitats within a rapidly urbanizing coastal watershed.</w:t>
      </w:r>
    </w:p>
    <w:bookmarkEnd w:id="37"/>
    <w:bookmarkStart w:id="38" w:name="achieving-restoration-targets-and-goals"/>
    <w:p>
      <w:pPr>
        <w:pStyle w:val="Heading3"/>
      </w:pPr>
      <w:r>
        <w:t xml:space="preserve">4.2 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initiating novel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or voluntary initiatives that incentivize habitat restoration</w:t>
      </w:r>
      <w:r>
        <w:t xml:space="preserve"> </w:t>
      </w:r>
      <w:r>
        <w:t xml:space="preserve">(e.g., Blue Carbon investments, Sheehan et al., 2019)</w:t>
      </w:r>
      <w:r>
        <w:t xml:space="preserve">.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 Further, finer-scale land cover classification datasets are currently being investigated to refine identification of opportunity areas within the urbanized, developed landscape of the watershed.</w:t>
      </w:r>
    </w:p>
    <w:p>
      <w:pPr>
        <w:pStyle w:val="BodyText"/>
      </w:pPr>
      <w:r>
        <w:t xml:space="preserve">Creative approaches may be required in areas affected by sea-level rise if land acquisition is not possible. These approaches are necessary to accommodate future landward migration of tidal wetlands or the protection of coastal uplands, while also reducing risks to built infrastructure that, when inappropriately sited,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future landward habitat migration. These approaches also offer risk-reduction to built infrastructure by offering increased protection from potential affects of sea-level rise and other coastal stressors (e.g., storm surge).</w:t>
      </w:r>
    </w:p>
    <w:p>
      <w:pPr>
        <w:pStyle w:val="BodyText"/>
      </w:pPr>
      <w:r>
        <w:t xml:space="preserve">Finally, wetland impacts and associated compensatory mitigation projects authorized under wetland regulatory programs could serve as more directed restoration mechanisms to help achieve watershed-wide goals. Mitigation activities have historically been conducted independent of watershed-level planning and monitoring processes. This disconnect has contributed to fragmented implementation, marginal habitat function,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8"/>
    <w:bookmarkStart w:id="39" w:name="limitations-of-the-approach"/>
    <w:p>
      <w:pPr>
        <w:pStyle w:val="Heading3"/>
      </w:pPr>
      <w:r>
        <w:t xml:space="preserve">4.3 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 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Despite the region’s data richness, limitations still exist in classifying restoration opportunities based on the spatial-scale of the LULC datasets. Additional refinements within the classified developed lands and coastal reservation space are currently being explored with 1-m scale national land cover datasets, which could expose additional opportunities in urban or suburban areas (e.g., improving stormwater infrastructure) or differential changes within native habitat classes (e.g., interspecific differences in mangrove colonization).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these habitat targets and goals is heavily reliant on regular updates to these datasets, as well as routine land use and cover map updates.</w:t>
      </w:r>
    </w:p>
    <w:p>
      <w:pPr>
        <w:pStyle w:val="BodyText"/>
      </w:pPr>
      <w:r>
        <w:t xml:space="preserve">An additional assumption of the workflow, particularly for tracking progress, is that implemented restoration projects reported by partners will ultimately manifest into a classification within the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becomes represented within the data layers.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streamlined reporting.</w:t>
      </w:r>
    </w:p>
    <w:bookmarkEnd w:id="39"/>
    <w:bookmarkStart w:id="40" w:name="conclusion"/>
    <w:p>
      <w:pPr>
        <w:pStyle w:val="Heading3"/>
      </w:pPr>
      <w:r>
        <w:t xml:space="preserve">4.4 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region is not unique in the challenges resource managers face to protect and restore native habitats, and the approach described herein is readily transferable to other locations where restoration priorities are needed in response to pervasive coastal stressors.</w:t>
      </w:r>
    </w:p>
    <w:bookmarkEnd w:id="40"/>
    <w:bookmarkEnd w:id="41"/>
    <w:bookmarkStart w:id="42"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2"/>
    <w:bookmarkStart w:id="6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6" w:name="fig-lulcmap"/>
          <w:p>
            <w:pPr>
              <w:pStyle w:val="Figure"/>
              <w:jc w:val="center"/>
            </w:pPr>
            <w:r>
              <w:drawing>
                <wp:inline>
                  <wp:extent cx="5943600" cy="4245428"/>
                  <wp:effectExtent b="0" l="0" r="0" t="0"/>
                  <wp:docPr descr="" title="" id="44" name="Picture"/>
                  <a:graphic>
                    <a:graphicData uri="http://schemas.openxmlformats.org/drawingml/2006/picture">
                      <pic:pic>
                        <pic:nvPicPr>
                          <pic:cNvPr descr="figs/lulcmap.jp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 Categories are based on the Florida Land Use Cover and Forms Classification System</w:t>
            </w:r>
            <w:r>
              <w:t xml:space="preserve"> </w:t>
            </w:r>
            <w:r>
              <w:t xml:space="preserve">(Florida Department of Transportation, 1999; Southwest Florida Water Management District, 2014; Kawula and Redner, 2018)</w:t>
            </w:r>
            <w:r>
              <w:t xml:space="preserve"> </w:t>
            </w:r>
            <w:r>
              <w:t xml:space="preserve">with relevant codes combined for presentation.</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gisworkflow"/>
          <w:p>
            <w:pPr>
              <w:pStyle w:val="Figure"/>
              <w:jc w:val="center"/>
            </w:pPr>
            <w:r>
              <w:drawing>
                <wp:inline>
                  <wp:extent cx="5943600" cy="5486400"/>
                  <wp:effectExtent b="0" l="0" r="0" t="0"/>
                  <wp:docPr descr="" title="" id="48" name="Picture"/>
                  <a:graphic>
                    <a:graphicData uri="http://schemas.openxmlformats.org/drawingml/2006/picture">
                      <pic:pic>
                        <pic:nvPicPr>
                          <pic:cNvPr descr="figs/gisworkflow.jpg" id="49" name="Picture"/>
                          <pic:cNvPicPr>
                            <a:picLocks noChangeArrowheads="1" noChangeAspect="1"/>
                          </pic:cNvPicPr>
                        </pic:nvPicPr>
                        <pic:blipFill>
                          <a:blip r:embed="rId47"/>
                          <a:stretch>
                            <a:fillRect/>
                          </a:stretch>
                        </pic:blipFill>
                        <pic:spPr bwMode="auto">
                          <a:xfrm>
                            <a:off x="0" y="0"/>
                            <a:ext cx="59436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(existing conservation native, proposed conservation native, existing conservation restorable, proposed conservation restorable, reservation native, reservation restorable) and restoration potential (coastal uplands, uplands, freshwater wetlands, tidal wetlands) in the Tampa Bay watershed. Workflows are divided into binning of land use/land cover categories into relevant habitat types and spatial overlay of datasets to identify the opportunity areas and restoration potential. The approach was applied to both the intertidal and supratidal strata of the watershed.</w:t>
            </w:r>
          </w:p>
          <w:bookmarkEnd w:id="5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4" w:name="fig-subtchgdatalluv"/>
          <w:p>
            <w:pPr>
              <w:pStyle w:val="Figure"/>
              <w:jc w:val="center"/>
            </w:pPr>
            <w:r>
              <w:drawing>
                <wp:inline>
                  <wp:extent cx="5943600" cy="5940900"/>
                  <wp:effectExtent b="0" l="0" r="0" t="0"/>
                  <wp:docPr descr="" title="" id="52" name="Picture"/>
                  <a:graphic>
                    <a:graphicData uri="http://schemas.openxmlformats.org/drawingml/2006/picture">
                      <pic:pic>
                        <pic:nvPicPr>
                          <pic:cNvPr descr="figs/subtchgdatalluv.jpg" id="53" name="Picture"/>
                          <pic:cNvPicPr>
                            <a:picLocks noChangeArrowheads="1" noChangeAspect="1"/>
                          </pic:cNvPicPr>
                        </pic:nvPicPr>
                        <pic:blipFill>
                          <a:blip r:embed="rId51"/>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8" w:name="fig-chgdatalluv"/>
          <w:p>
            <w:pPr>
              <w:pStyle w:val="Figure"/>
              <w:jc w:val="center"/>
            </w:pPr>
            <w:r>
              <w:drawing>
                <wp:inline>
                  <wp:extent cx="5943600" cy="5940900"/>
                  <wp:effectExtent b="0" l="0" r="0" t="0"/>
                  <wp:docPr descr="" title="" id="56" name="Picture"/>
                  <a:graphic>
                    <a:graphicData uri="http://schemas.openxmlformats.org/drawingml/2006/picture">
                      <pic:pic>
                        <pic:nvPicPr>
                          <pic:cNvPr descr="figs/chgdatalluv.jpg" id="57" name="Picture"/>
                          <pic:cNvPicPr>
                            <a:picLocks noChangeArrowheads="1" noChangeAspect="1"/>
                          </pic:cNvPicPr>
                        </pic:nvPicPr>
                        <pic:blipFill>
                          <a:blip r:embed="rId55"/>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2" w:name="fig-oppmap"/>
          <w:p>
            <w:pPr>
              <w:pStyle w:val="Figure"/>
              <w:jc w:val="center"/>
            </w:pPr>
            <w:r>
              <w:drawing>
                <wp:inline>
                  <wp:extent cx="5943600" cy="3714750"/>
                  <wp:effectExtent b="0" l="0" r="0" t="0"/>
                  <wp:docPr descr="" title="" id="60" name="Picture"/>
                  <a:graphic>
                    <a:graphicData uri="http://schemas.openxmlformats.org/drawingml/2006/picture">
                      <pic:pic>
                        <pic:nvPicPr>
                          <pic:cNvPr descr="figs/oppmap.jpg" id="61" name="Picture"/>
                          <pic:cNvPicPr>
                            <a:picLocks noChangeArrowheads="1" noChangeAspect="1"/>
                          </pic:cNvPicPr>
                        </pic:nvPicPr>
                        <pic:blipFill>
                          <a:blip r:embed="rId59"/>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 opportunities. Each category is also grouped into native and restorable habitats. The outline is the Tampa Bay watershed.</w:t>
            </w:r>
          </w:p>
          <w:bookmarkEnd w:id="6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6" w:name="fig-restmap"/>
          <w:p>
            <w:pPr>
              <w:pStyle w:val="Figure"/>
              <w:jc w:val="center"/>
            </w:pPr>
            <w:r>
              <w:drawing>
                <wp:inline>
                  <wp:extent cx="5943600" cy="3714750"/>
                  <wp:effectExtent b="0" l="0" r="0" t="0"/>
                  <wp:docPr descr="" title="" id="64" name="Picture"/>
                  <a:graphic>
                    <a:graphicData uri="http://schemas.openxmlformats.org/drawingml/2006/picture">
                      <pic:pic>
                        <pic:nvPicPr>
                          <pic:cNvPr descr="figs/restmap.jpg" id="65" name="Picture"/>
                          <pic:cNvPicPr>
                            <a:picLocks noChangeArrowheads="1" noChangeAspect="1"/>
                          </pic:cNvPicPr>
                        </pic:nvPicPr>
                        <pic:blipFill>
                          <a:blip r:embed="rId63"/>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6"/>
        </w:tc>
      </w:tr>
    </w:tbl>
    <w:p>
      <w:r>
        <w:br w:type="page"/>
      </w:r>
    </w:p>
    <w:bookmarkEnd w:id="67"/>
    <w:bookmarkStart w:id="68"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Description of the opportunity areas in the Tampa Bay watershed identified through spatial analysis. Native habitats include those in the watershed not considered developed or restorable (e.g., freshwater wetlands, forested uplands, etc.).  Restorable areas are altered but non-hardened and pervious lands that could potentially support native habitats through restoration.  Existing and proposed conservation areas are those that are publicly owned or on conservation easements that currently exist or are proposed for acquisition, respectively, as identified primarily in the Florida Natural Areas Inventory.  Coastal reservation areas occur within the coastal stratum identified from the bay shoreline to the 5-foot elevation contour.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684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Opportunity area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Description</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Native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currently within existing conservation lands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currently within existing conservation lanbs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habits within proposed conservation lands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proposed conservations lands</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within the coastal stratum</w:t>
            </w:r>
          </w:p>
        </w:tc>
      </w:tr>
      <w:tr>
        <w:trPr>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Restorable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the coastal stratum</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 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4: 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5: 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8"/>
    <w:bookmarkStart w:id="189" w:name="references"/>
    <w:p>
      <w:pPr>
        <w:pStyle w:val="Heading2"/>
      </w:pPr>
      <w:r>
        <w:t xml:space="preserve">References</w:t>
      </w:r>
    </w:p>
    <w:bookmarkStart w:id="188" w:name="refs"/>
    <w:bookmarkStart w:id="70"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69">
        <w:r>
          <w:rPr>
            <w:rStyle w:val="Hyperlink"/>
          </w:rPr>
          <w:t xml:space="preserve">https://CRAN.R-project.org/package=networkD3</w:t>
        </w:r>
      </w:hyperlink>
      <w:r>
        <w:t xml:space="preserve">.</w:t>
      </w:r>
    </w:p>
    <w:bookmarkEnd w:id="70"/>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4">
        <w:r>
          <w:rPr>
            <w:rStyle w:val="Hyperlink"/>
          </w:rPr>
          <w:t xml:space="preserve">10.5281/zenodo.7032909</w:t>
        </w:r>
      </w:hyperlink>
      <w:r>
        <w:t xml:space="preserve">.</w:t>
      </w:r>
    </w:p>
    <w:bookmarkEnd w:id="75"/>
    <w:bookmarkStart w:id="77"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6">
        <w:r>
          <w:rPr>
            <w:rStyle w:val="Hyperlink"/>
          </w:rPr>
          <w:t xml:space="preserve">https://doi.org/10.1007/s11273-017-9565-8</w:t>
        </w:r>
      </w:hyperlink>
      <w:r>
        <w:t xml:space="preserve">.</w:t>
      </w:r>
    </w:p>
    <w:bookmarkEnd w:id="77"/>
    <w:bookmarkStart w:id="78"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0">
        <w:r>
          <w:rPr>
            <w:rStyle w:val="Hyperlink"/>
          </w:rPr>
          <w:t xml:space="preserve">https://drive.google.com/file/d/1c_KTSJ4TgVX9IugnyDadr2Hc0gjAuQg2/view?usp=drivesdk</w:t>
        </w:r>
      </w:hyperlink>
      <w:r>
        <w:t xml:space="preserve">.</w:t>
      </w:r>
    </w:p>
    <w:bookmarkEnd w:id="81"/>
    <w:bookmarkStart w:id="83"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2">
        <w:r>
          <w:rPr>
            <w:rStyle w:val="Hyperlink"/>
          </w:rPr>
          <w:t xml:space="preserve">https://doi.org/10.1371/journal.pone.0132651</w:t>
        </w:r>
      </w:hyperlink>
      <w:r>
        <w:t xml:space="preserve">.</w:t>
      </w:r>
    </w:p>
    <w:bookmarkEnd w:id="83"/>
    <w:bookmarkStart w:id="85"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4">
        <w:r>
          <w:rPr>
            <w:rStyle w:val="Hyperlink"/>
          </w:rPr>
          <w:t xml:space="preserve">https://doi.org/10.1073/pnas.1902181116</w:t>
        </w:r>
      </w:hyperlink>
      <w:r>
        <w:t xml:space="preserve">.</w:t>
      </w:r>
    </w:p>
    <w:bookmarkEnd w:id="85"/>
    <w:bookmarkStart w:id="87"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6">
        <w:r>
          <w:rPr>
            <w:rStyle w:val="Hyperlink"/>
          </w:rPr>
          <w:t xml:space="preserve">https://doi.org/10.1073/pnas.1315800111</w:t>
        </w:r>
      </w:hyperlink>
      <w:r>
        <w:t xml:space="preserve">.</w:t>
      </w:r>
    </w:p>
    <w:bookmarkEnd w:id="87"/>
    <w:bookmarkStart w:id="89"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8">
        <w:r>
          <w:rPr>
            <w:rStyle w:val="Hyperlink"/>
          </w:rPr>
          <w:t xml:space="preserve">https://doi.org/10.1016/j.ecoser.2018.09.004</w:t>
        </w:r>
      </w:hyperlink>
      <w:r>
        <w:t xml:space="preserve">.</w:t>
      </w:r>
    </w:p>
    <w:bookmarkEnd w:id="89"/>
    <w:bookmarkStart w:id="90"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0"/>
    <w:bookmarkStart w:id="91"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1"/>
    <w:bookmarkStart w:id="93"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2">
        <w:r>
          <w:rPr>
            <w:rStyle w:val="Hyperlink"/>
          </w:rPr>
          <w:t xml:space="preserve">https://doi.org/10.1016/j.ecss.2011.10.003</w:t>
        </w:r>
      </w:hyperlink>
      <w:r>
        <w:t xml:space="preserve">.</w:t>
      </w:r>
    </w:p>
    <w:bookmarkEnd w:id="93"/>
    <w:bookmarkStart w:id="95"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4">
        <w:r>
          <w:rPr>
            <w:rStyle w:val="Hyperlink"/>
          </w:rPr>
          <w:t xml:space="preserve">https://doi.org/10.1007/978-1-4020-5095-4</w:t>
        </w:r>
      </w:hyperlink>
      <w:r>
        <w:t xml:space="preserve">.</w:t>
      </w:r>
    </w:p>
    <w:bookmarkEnd w:id="95"/>
    <w:bookmarkStart w:id="96"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6"/>
    <w:bookmarkStart w:id="98"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7">
        <w:r>
          <w:rPr>
            <w:rStyle w:val="Hyperlink"/>
          </w:rPr>
          <w:t xml:space="preserve">https://doi.org/10.1007/s12237-020-00733-0</w:t>
        </w:r>
      </w:hyperlink>
      <w:r>
        <w:t xml:space="preserve">.</w:t>
      </w:r>
    </w:p>
    <w:bookmarkEnd w:id="98"/>
    <w:bookmarkStart w:id="100"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9">
        <w:r>
          <w:rPr>
            <w:rStyle w:val="Hyperlink"/>
          </w:rPr>
          <w:t xml:space="preserve">https://doi.org/10.1007/s12237-008-9111-2</w:t>
        </w:r>
      </w:hyperlink>
      <w:r>
        <w:t xml:space="preserve">.</w:t>
      </w:r>
    </w:p>
    <w:bookmarkEnd w:id="100"/>
    <w:bookmarkStart w:id="102"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1">
        <w:r>
          <w:rPr>
            <w:rStyle w:val="Hyperlink"/>
          </w:rPr>
          <w:t xml:space="preserve">https://doi.org/10.1080/08920750802395558</w:t>
        </w:r>
      </w:hyperlink>
      <w:r>
        <w:t xml:space="preserve">.</w:t>
      </w:r>
    </w:p>
    <w:bookmarkEnd w:id="102"/>
    <w:bookmarkStart w:id="104"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3">
        <w:r>
          <w:rPr>
            <w:rStyle w:val="Hyperlink"/>
          </w:rPr>
          <w:t xml:space="preserve">https://doi.org/10.1201/9780138750308</w:t>
        </w:r>
      </w:hyperlink>
      <w:r>
        <w:t xml:space="preserve">.</w:t>
      </w:r>
    </w:p>
    <w:bookmarkEnd w:id="104"/>
    <w:bookmarkStart w:id="105" w:name="ref-EPA96"/>
    <w:p>
      <w:pPr>
        <w:pStyle w:val="Bibliography"/>
      </w:pPr>
      <w:r>
        <w:t xml:space="preserve">Environmental Protection Agency (1996). Watershed approach framework. Office of Water (4501F).</w:t>
      </w:r>
    </w:p>
    <w:bookmarkEnd w:id="105"/>
    <w:bookmarkStart w:id="107"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6">
        <w:r>
          <w:rPr>
            <w:rStyle w:val="Hyperlink"/>
          </w:rPr>
          <w:t xml:space="preserve">https://dx.doi.org/10.3133/ds969</w:t>
        </w:r>
      </w:hyperlink>
      <w:r>
        <w:t xml:space="preserve">.</w:t>
      </w:r>
    </w:p>
    <w:bookmarkEnd w:id="107"/>
    <w:bookmarkStart w:id="108"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8"/>
    <w:bookmarkStart w:id="109"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9"/>
    <w:bookmarkStart w:id="111" w:name="ref-Greening14"/>
    <w:p>
      <w:pPr>
        <w:pStyle w:val="Bibliography"/>
      </w:pPr>
      <w:r>
        <w:t xml:space="preserve">Greening, H., Janicki, A., Sherwood, E., Pribble, R., and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 doi:</w:t>
      </w:r>
      <w:r>
        <w:t xml:space="preserve"> </w:t>
      </w:r>
      <w:hyperlink r:id="rId110">
        <w:r>
          <w:rPr>
            <w:rStyle w:val="Hyperlink"/>
          </w:rPr>
          <w:t xml:space="preserve">10.1016/j.ecss.2014.10.003</w:t>
        </w:r>
      </w:hyperlink>
      <w:r>
        <w:t xml:space="preserve">.</w:t>
      </w:r>
    </w:p>
    <w:bookmarkEnd w:id="111"/>
    <w:bookmarkStart w:id="112"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2"/>
    <w:bookmarkStart w:id="113"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3"/>
    <w:bookmarkStart w:id="114"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4"/>
    <w:bookmarkStart w:id="116"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5">
        <w:r>
          <w:rPr>
            <w:rStyle w:val="Hyperlink"/>
          </w:rPr>
          <w:t xml:space="preserve">https://doi.org/10.1046/j.1526-100x.2000.80037.x</w:t>
        </w:r>
      </w:hyperlink>
      <w:r>
        <w:t xml:space="preserve">.</w:t>
      </w:r>
    </w:p>
    <w:bookmarkEnd w:id="116"/>
    <w:bookmarkStart w:id="117"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7"/>
    <w:bookmarkStart w:id="119"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8">
        <w:r>
          <w:rPr>
            <w:rStyle w:val="Hyperlink"/>
          </w:rPr>
          <w:t xml:space="preserve">https://doi.org/10.2307/1352488</w:t>
        </w:r>
      </w:hyperlink>
      <w:r>
        <w:t xml:space="preserve">.</w:t>
      </w:r>
    </w:p>
    <w:bookmarkEnd w:id="119"/>
    <w:bookmarkStart w:id="120"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0"/>
    <w:bookmarkStart w:id="121"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1"/>
    <w:bookmarkStart w:id="122" w:name="ref-Jones09"/>
    <w:p>
      <w:pPr>
        <w:pStyle w:val="Bibliography"/>
      </w:pPr>
      <w:r>
        <w:t xml:space="preserve">Jones, P. H., Larson, B. C., and Clark, M. W. (2009). Reduced impact development practices at</w:t>
      </w:r>
      <w:r>
        <w:t xml:space="preserve"> </w:t>
      </w:r>
      <w:r>
        <w:t xml:space="preserve">“restoration.”</w:t>
      </w:r>
      <w:r>
        <w:t xml:space="preserve"> </w:t>
      </w:r>
      <w:r>
        <w:t xml:space="preserve">in</w:t>
      </w:r>
      <w:r>
        <w:t xml:space="preserve"> </w:t>
      </w:r>
      <w:r>
        <w:rPr>
          <w:iCs/>
          <w:i/>
        </w:rPr>
        <w:t xml:space="preserve">American institute of physics conference proceedings</w:t>
      </w:r>
      <w:r>
        <w:t xml:space="preserve"> </w:t>
      </w:r>
      <w:r>
        <w:t xml:space="preserve">(American Institute of Physics), 151–161.</w:t>
      </w:r>
    </w:p>
    <w:bookmarkEnd w:id="122"/>
    <w:bookmarkStart w:id="123"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3"/>
    <w:bookmarkStart w:id="124" w:name="ref-Kawula18"/>
    <w:p>
      <w:pPr>
        <w:pStyle w:val="Bibliography"/>
      </w:pPr>
      <w:r>
        <w:t xml:space="preserve">Kawula, R., and Redner, J. (2018).</w:t>
      </w:r>
      <w:r>
        <w:t xml:space="preserve"> </w:t>
      </w:r>
      <w:r>
        <w:t xml:space="preserve">F</w:t>
      </w:r>
      <w:r>
        <w:t xml:space="preserve">lorida</w:t>
      </w:r>
      <w:r>
        <w:t xml:space="preserve"> </w:t>
      </w:r>
      <w:r>
        <w:t xml:space="preserve">L</w:t>
      </w:r>
      <w:r>
        <w:t xml:space="preserve">and</w:t>
      </w:r>
      <w:r>
        <w:t xml:space="preserve"> </w:t>
      </w:r>
      <w:r>
        <w:t xml:space="preserve">C</w:t>
      </w:r>
      <w:r>
        <w:t xml:space="preserve">over</w:t>
      </w:r>
      <w:r>
        <w:t xml:space="preserve"> </w:t>
      </w:r>
      <w:r>
        <w:t xml:space="preserve">C</w:t>
      </w:r>
      <w:r>
        <w:t xml:space="preserve">lassification</w:t>
      </w:r>
      <w:r>
        <w:t xml:space="preserve"> </w:t>
      </w:r>
      <w:r>
        <w:t xml:space="preserve">S</w:t>
      </w:r>
      <w:r>
        <w:t xml:space="preserve">ystem. Center for Spatial Analysis, Fish; Widlife Research Institute, Florida Fish; Wildlife Conservation Commission, Tallahassee, Florida.</w:t>
      </w:r>
    </w:p>
    <w:bookmarkEnd w:id="124"/>
    <w:bookmarkStart w:id="125"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5"/>
    <w:bookmarkStart w:id="126"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6"/>
    <w:bookmarkStart w:id="128"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7">
        <w:r>
          <w:rPr>
            <w:rStyle w:val="Hyperlink"/>
          </w:rPr>
          <w:t xml:space="preserve">10.1111/jpy.12883</w:t>
        </w:r>
      </w:hyperlink>
      <w:r>
        <w:t xml:space="preserve">.</w:t>
      </w:r>
    </w:p>
    <w:bookmarkEnd w:id="128"/>
    <w:bookmarkStart w:id="130"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9">
        <w:r>
          <w:rPr>
            <w:rStyle w:val="Hyperlink"/>
          </w:rPr>
          <w:t xml:space="preserve">10.1038/s41559-017-0160</w:t>
        </w:r>
      </w:hyperlink>
      <w:r>
        <w:t xml:space="preserve">.</w:t>
      </w:r>
    </w:p>
    <w:bookmarkEnd w:id="130"/>
    <w:bookmarkStart w:id="132"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1">
        <w:r>
          <w:rPr>
            <w:rStyle w:val="Hyperlink"/>
          </w:rPr>
          <w:t xml:space="preserve">https://doi.org/10.1016/j.ecoser.2018.09.005</w:t>
        </w:r>
      </w:hyperlink>
      <w:r>
        <w:t xml:space="preserve">.</w:t>
      </w:r>
    </w:p>
    <w:bookmarkEnd w:id="132"/>
    <w:bookmarkStart w:id="133"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3"/>
    <w:bookmarkStart w:id="135" w:name="ref-Mohamed06"/>
    <w:p>
      <w:pPr>
        <w:pStyle w:val="Bibliography"/>
      </w:pPr>
      <w:r>
        <w:t xml:space="preserve">Mohamed, R. (2006). The economics of conservation subdivisions: Price premiums, improvement costs, and absorption rates.</w:t>
      </w:r>
      <w:r>
        <w:t xml:space="preserve"> </w:t>
      </w:r>
      <w:r>
        <w:rPr>
          <w:iCs/>
          <w:i/>
        </w:rPr>
        <w:t xml:space="preserve">Urban Affairs Review</w:t>
      </w:r>
      <w:r>
        <w:t xml:space="preserve"> </w:t>
      </w:r>
      <w:r>
        <w:t xml:space="preserve">41, 376–399. doi:</w:t>
      </w:r>
      <w:r>
        <w:t xml:space="preserve"> </w:t>
      </w:r>
      <w:hyperlink r:id="rId134">
        <w:r>
          <w:rPr>
            <w:rStyle w:val="Hyperlink"/>
          </w:rPr>
          <w:t xml:space="preserve">10.1177/1078087405282183</w:t>
        </w:r>
      </w:hyperlink>
      <w:r>
        <w:t xml:space="preserve">.</w:t>
      </w:r>
    </w:p>
    <w:bookmarkEnd w:id="135"/>
    <w:bookmarkStart w:id="136"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6"/>
    <w:bookmarkStart w:id="137"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7"/>
    <w:bookmarkStart w:id="138"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38"/>
    <w:bookmarkStart w:id="140" w:name="ref-Osland22"/>
    <w:p>
      <w:pPr>
        <w:pStyle w:val="Bibliography"/>
      </w:pPr>
      <w:r>
        <w:t xml:space="preserve">Osland, M. J., Hughes, A. R., Armitage, A. R., Scyphers, S. B., Cebrian, J., Swinea, S. H., et al. (2022). The impacts of mangrove range expansion on wetland ecosystem services in the southeastern</w:t>
      </w:r>
      <w:r>
        <w:t xml:space="preserve"> </w:t>
      </w:r>
      <w:r>
        <w:t xml:space="preserve">U</w:t>
      </w:r>
      <w:r>
        <w:t xml:space="preserve">nited</w:t>
      </w:r>
      <w:r>
        <w:t xml:space="preserve"> </w:t>
      </w:r>
      <w:r>
        <w:t xml:space="preserve">S</w:t>
      </w:r>
      <w:r>
        <w:t xml:space="preserve">tates: Current understanding, knowledge gaps, and emerging research needs.</w:t>
      </w:r>
      <w:r>
        <w:t xml:space="preserve"> </w:t>
      </w:r>
      <w:r>
        <w:rPr>
          <w:iCs/>
          <w:i/>
        </w:rPr>
        <w:t xml:space="preserve">Global Change Biology</w:t>
      </w:r>
      <w:r>
        <w:t xml:space="preserve"> </w:t>
      </w:r>
      <w:r>
        <w:t xml:space="preserve">28, 3163–3187. doi:</w:t>
      </w:r>
      <w:r>
        <w:t xml:space="preserve"> </w:t>
      </w:r>
      <w:hyperlink r:id="rId139">
        <w:r>
          <w:rPr>
            <w:rStyle w:val="Hyperlink"/>
          </w:rPr>
          <w:t xml:space="preserve">10.1111/gcb.16111</w:t>
        </w:r>
      </w:hyperlink>
      <w:r>
        <w:t xml:space="preserve">.</w:t>
      </w:r>
    </w:p>
    <w:bookmarkEnd w:id="140"/>
    <w:bookmarkStart w:id="142"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1">
        <w:r>
          <w:rPr>
            <w:rStyle w:val="Hyperlink"/>
          </w:rPr>
          <w:t xml:space="preserve">https://doi.org/10.1007/s10021-012-9551-1</w:t>
        </w:r>
      </w:hyperlink>
      <w:r>
        <w:t xml:space="preserve">.</w:t>
      </w:r>
    </w:p>
    <w:bookmarkEnd w:id="142"/>
    <w:bookmarkStart w:id="144"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3">
        <w:r>
          <w:rPr>
            <w:rStyle w:val="Hyperlink"/>
          </w:rPr>
          <w:t xml:space="preserve">https://doi.org/10.1007/s12237-008-9129-5</w:t>
        </w:r>
      </w:hyperlink>
      <w:r>
        <w:t xml:space="preserve">.</w:t>
      </w:r>
    </w:p>
    <w:bookmarkEnd w:id="144"/>
    <w:bookmarkStart w:id="146"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45">
        <w:r>
          <w:rPr>
            <w:rStyle w:val="Hyperlink"/>
          </w:rPr>
          <w:t xml:space="preserve">10.32614/RJ-2018-009</w:t>
        </w:r>
      </w:hyperlink>
      <w:r>
        <w:t xml:space="preserve">.</w:t>
      </w:r>
    </w:p>
    <w:bookmarkEnd w:id="146"/>
    <w:bookmarkStart w:id="148"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7">
        <w:r>
          <w:rPr>
            <w:rStyle w:val="Hyperlink"/>
          </w:rPr>
          <w:t xml:space="preserve">https://www.R-project.org/</w:t>
        </w:r>
      </w:hyperlink>
      <w:r>
        <w:t xml:space="preserve">.</w:t>
      </w:r>
    </w:p>
    <w:bookmarkEnd w:id="148"/>
    <w:bookmarkStart w:id="150"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9">
        <w:r>
          <w:rPr>
            <w:rStyle w:val="Hyperlink"/>
          </w:rPr>
          <w:t xml:space="preserve">https://doi.org/10.1007/s12237-012-9503-1</w:t>
        </w:r>
      </w:hyperlink>
      <w:r>
        <w:t xml:space="preserve">.</w:t>
      </w:r>
    </w:p>
    <w:bookmarkEnd w:id="150"/>
    <w:bookmarkStart w:id="151"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1"/>
    <w:bookmarkStart w:id="152"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2"/>
    <w:bookmarkStart w:id="153"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3"/>
    <w:bookmarkStart w:id="154"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4"/>
    <w:bookmarkStart w:id="156"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55">
        <w:r>
          <w:rPr>
            <w:rStyle w:val="Hyperlink"/>
          </w:rPr>
          <w:t xml:space="preserve">https://drive.google.com/file/d/1Hp0l_qtbxp1JxKJoGatdyuANSzQrpL0I/view?usp=drivesdk</w:t>
        </w:r>
      </w:hyperlink>
      <w:r>
        <w:t xml:space="preserve">.</w:t>
      </w:r>
    </w:p>
    <w:bookmarkEnd w:id="156"/>
    <w:bookmarkStart w:id="158"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7">
        <w:r>
          <w:rPr>
            <w:rStyle w:val="Hyperlink"/>
          </w:rPr>
          <w:t xml:space="preserve">https://doi.org/10.1007/s12237-013-9662-8</w:t>
        </w:r>
      </w:hyperlink>
      <w:r>
        <w:t xml:space="preserve">.</w:t>
      </w:r>
    </w:p>
    <w:bookmarkEnd w:id="158"/>
    <w:bookmarkStart w:id="160" w:name="ref-Sheehan19"/>
    <w:p>
      <w:pPr>
        <w:pStyle w:val="Bibliography"/>
      </w:pPr>
      <w:r>
        <w:t xml:space="preserve">Sheehan, L., Sherwood, E. T., Moyer, R. P., Radabaugh, K. R., and Simpson, S. (2019). Blue</w:t>
      </w:r>
      <w:r>
        <w:t xml:space="preserve"> </w:t>
      </w:r>
      <w:r>
        <w:t xml:space="preserve">C</w:t>
      </w:r>
      <w:r>
        <w:t xml:space="preserve">arbon: an Additional Driver for Restoring and Preserving Ecological Services of Coastal Wetlands in</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w:t>
      </w:r>
      <w:r>
        <w:t xml:space="preserve"> </w:t>
      </w:r>
      <w:r>
        <w:rPr>
          <w:iCs/>
          <w:i/>
        </w:rPr>
        <w:t xml:space="preserve">Wetlands</w:t>
      </w:r>
      <w:r>
        <w:t xml:space="preserve"> </w:t>
      </w:r>
      <w:r>
        <w:t xml:space="preserve">39, 1317–1328. doi:</w:t>
      </w:r>
      <w:r>
        <w:t xml:space="preserve"> </w:t>
      </w:r>
      <w:hyperlink r:id="rId159">
        <w:r>
          <w:rPr>
            <w:rStyle w:val="Hyperlink"/>
          </w:rPr>
          <w:t xml:space="preserve">10.1007/s13157-019-01137-y</w:t>
        </w:r>
      </w:hyperlink>
      <w:r>
        <w:t xml:space="preserve">.</w:t>
      </w:r>
    </w:p>
    <w:bookmarkEnd w:id="160"/>
    <w:bookmarkStart w:id="161"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61"/>
    <w:bookmarkStart w:id="162"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2"/>
    <w:bookmarkStart w:id="163"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63"/>
    <w:bookmarkStart w:id="165"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4">
        <w:r>
          <w:rPr>
            <w:rStyle w:val="Hyperlink"/>
          </w:rPr>
          <w:t xml:space="preserve">https://doi.org/10.1002/eap.1722</w:t>
        </w:r>
      </w:hyperlink>
      <w:r>
        <w:t xml:space="preserve">.</w:t>
      </w:r>
    </w:p>
    <w:bookmarkEnd w:id="165"/>
    <w:bookmarkStart w:id="166" w:name="ref-SWFWMD14"/>
    <w:p>
      <w:pPr>
        <w:pStyle w:val="Bibliography"/>
      </w:pPr>
      <w:r>
        <w:t xml:space="preserve">Southwest Florida Water Management District (2014). Photo interpretation key for land use classification.</w:t>
      </w:r>
    </w:p>
    <w:bookmarkEnd w:id="166"/>
    <w:bookmarkStart w:id="168" w:name="ref-SWFWMD18"/>
    <w:p>
      <w:pPr>
        <w:pStyle w:val="Bibliography"/>
      </w:pPr>
      <w:r>
        <w:t xml:space="preserve">Southwest Florida Water Management District (2018). Land use land cover data. c1990-2017. Available at:</w:t>
      </w:r>
      <w:r>
        <w:t xml:space="preserve"> </w:t>
      </w:r>
      <w:hyperlink r:id="rId167">
        <w:r>
          <w:rPr>
            <w:rStyle w:val="Hyperlink"/>
          </w:rPr>
          <w:t xml:space="preserve">https://data-swfwmd.opendata.arcgis.com/</w:t>
        </w:r>
      </w:hyperlink>
      <w:r>
        <w:t xml:space="preserve">.</w:t>
      </w:r>
    </w:p>
    <w:bookmarkEnd w:id="168"/>
    <w:bookmarkStart w:id="170" w:name="ref-SWFWMD19"/>
    <w:p>
      <w:pPr>
        <w:pStyle w:val="Bibliography"/>
      </w:pPr>
      <w:r>
        <w:t xml:space="preserve">Southwest Florida Water Management District (2019). Seagrass in 2018. Available at:</w:t>
      </w:r>
      <w:r>
        <w:t xml:space="preserve"> </w:t>
      </w:r>
      <w:hyperlink r:id="rId169">
        <w:r>
          <w:rPr>
            <w:rStyle w:val="Hyperlink"/>
          </w:rPr>
          <w:t xml:space="preserve">https://data-swfwmd.opendata.arcgis.com/datasets/seagrass-in-2018</w:t>
        </w:r>
      </w:hyperlink>
      <w:r>
        <w:t xml:space="preserve">.</w:t>
      </w:r>
    </w:p>
    <w:bookmarkEnd w:id="170"/>
    <w:bookmarkStart w:id="171"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1"/>
    <w:bookmarkStart w:id="173"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2">
        <w:r>
          <w:rPr>
            <w:rStyle w:val="Hyperlink"/>
          </w:rPr>
          <w:t xml:space="preserve">https://doi.org/10.1016/j.geoderma.2013.10.007</w:t>
        </w:r>
      </w:hyperlink>
      <w:r>
        <w:t xml:space="preserve">.</w:t>
      </w:r>
    </w:p>
    <w:bookmarkEnd w:id="173"/>
    <w:bookmarkStart w:id="175"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4">
        <w:r>
          <w:rPr>
            <w:rStyle w:val="Hyperlink"/>
          </w:rPr>
          <w:t xml:space="preserve">https://doi.org/10.1016/S0169-2046(97)00041-8</w:t>
        </w:r>
      </w:hyperlink>
      <w:r>
        <w:t xml:space="preserve">.</w:t>
      </w:r>
    </w:p>
    <w:bookmarkEnd w:id="175"/>
    <w:bookmarkStart w:id="177"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6">
        <w:r>
          <w:rPr>
            <w:rStyle w:val="Hyperlink"/>
          </w:rPr>
          <w:t xml:space="preserve">https://doi.org/10.1088/1748-9326/4/4/044008</w:t>
        </w:r>
      </w:hyperlink>
      <w:r>
        <w:t xml:space="preserve">.</w:t>
      </w:r>
    </w:p>
    <w:bookmarkEnd w:id="177"/>
    <w:bookmarkStart w:id="179"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8">
        <w:r>
          <w:rPr>
            <w:rStyle w:val="Hyperlink"/>
          </w:rPr>
          <w:t xml:space="preserve">https://doi.org/10.1016/j.marpolbul.2020.111247</w:t>
        </w:r>
      </w:hyperlink>
      <w:r>
        <w:t xml:space="preserve">.</w:t>
      </w:r>
    </w:p>
    <w:bookmarkEnd w:id="179"/>
    <w:bookmarkStart w:id="181"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80">
        <w:r>
          <w:rPr>
            <w:rStyle w:val="Hyperlink"/>
          </w:rPr>
          <w:t xml:space="preserve">https://doi.org/10.1016/j.rse.2011.06.027</w:t>
        </w:r>
      </w:hyperlink>
      <w:r>
        <w:t xml:space="preserve">.</w:t>
      </w:r>
    </w:p>
    <w:bookmarkEnd w:id="181"/>
    <w:bookmarkStart w:id="183"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2">
        <w:r>
          <w:rPr>
            <w:rStyle w:val="Hyperlink"/>
          </w:rPr>
          <w:t xml:space="preserve">https://doi.org/10.1007/s12237-021-00974-7</w:t>
        </w:r>
      </w:hyperlink>
      <w:r>
        <w:t xml:space="preserve">.</w:t>
      </w:r>
    </w:p>
    <w:bookmarkEnd w:id="183"/>
    <w:bookmarkStart w:id="185"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4">
        <w:r>
          <w:rPr>
            <w:rStyle w:val="Hyperlink"/>
          </w:rPr>
          <w:t xml:space="preserve">10.21105/joss.01686</w:t>
        </w:r>
      </w:hyperlink>
      <w:r>
        <w:t xml:space="preserve">.</w:t>
      </w:r>
    </w:p>
    <w:bookmarkEnd w:id="185"/>
    <w:bookmarkStart w:id="187"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6">
        <w:r>
          <w:rPr>
            <w:rStyle w:val="Hyperlink"/>
          </w:rPr>
          <w:t xml:space="preserve">https://doi.org/10.1007/s12237-014-9926-y</w:t>
        </w:r>
      </w:hyperlink>
      <w:r>
        <w:t xml:space="preserve">.</w:t>
      </w:r>
    </w:p>
    <w:bookmarkEnd w:id="187"/>
    <w:bookmarkEnd w:id="188"/>
    <w:bookmarkEnd w:id="189"/>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jpg" /><Relationship Type="http://schemas.openxmlformats.org/officeDocument/2006/relationships/image" Id="rId47" Target="media/rId47.jpg" /><Relationship Type="http://schemas.openxmlformats.org/officeDocument/2006/relationships/image" Id="rId43" Target="media/rId43.jpg" /><Relationship Type="http://schemas.openxmlformats.org/officeDocument/2006/relationships/image" Id="rId59" Target="media/rId59.jpg" /><Relationship Type="http://schemas.openxmlformats.org/officeDocument/2006/relationships/image" Id="rId63" Target="media/rId63.jpg" /><Relationship Type="http://schemas.openxmlformats.org/officeDocument/2006/relationships/image" Id="rId51" Target="media/rId51.jpg" /><Relationship Type="http://schemas.openxmlformats.org/officeDocument/2006/relationships/hyperlink" Id="rId69" Target="https://CRAN.R-project.org/package=networkD3" TargetMode="External" /><Relationship Type="http://schemas.openxmlformats.org/officeDocument/2006/relationships/hyperlink" Id="rId167" Target="https://data-swfwmd.opendata.arcgis.com/" TargetMode="External" /><Relationship Type="http://schemas.openxmlformats.org/officeDocument/2006/relationships/hyperlink" Id="rId169" Target="https://data-swfwmd.opendata.arcgis.com/datasets/seagrass-in-2018" TargetMode="External" /><Relationship Type="http://schemas.openxmlformats.org/officeDocument/2006/relationships/hyperlink" Id="rId164"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1"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3" Target="https://doi.org/10.1007/s12237-008-9129-5" TargetMode="External" /><Relationship Type="http://schemas.openxmlformats.org/officeDocument/2006/relationships/hyperlink" Id="rId149" Target="https://doi.org/10.1007/s12237-012-9503-1" TargetMode="External" /><Relationship Type="http://schemas.openxmlformats.org/officeDocument/2006/relationships/hyperlink" Id="rId157" Target="https://doi.org/10.1007/s12237-013-9662-8" TargetMode="External" /><Relationship Type="http://schemas.openxmlformats.org/officeDocument/2006/relationships/hyperlink" Id="rId186"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2" Target="https://doi.org/10.1007/s12237-021-00974-7" TargetMode="External" /><Relationship Type="http://schemas.openxmlformats.org/officeDocument/2006/relationships/hyperlink" Id="rId159" Target="https://doi.org/10.1007/s13157-019-01137-y" TargetMode="External" /><Relationship Type="http://schemas.openxmlformats.org/officeDocument/2006/relationships/hyperlink" Id="rId174"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1"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72" Target="https://doi.org/10.1016/j.geoderma.2013.10.007" TargetMode="External" /><Relationship Type="http://schemas.openxmlformats.org/officeDocument/2006/relationships/hyperlink" Id="rId178" Target="https://doi.org/10.1016/j.marpolbul.2020.111247" TargetMode="External" /><Relationship Type="http://schemas.openxmlformats.org/officeDocument/2006/relationships/hyperlink" Id="rId180" Target="https://doi.org/10.1016/j.rse.2011.06.027" TargetMode="External" /><Relationship Type="http://schemas.openxmlformats.org/officeDocument/2006/relationships/hyperlink" Id="rId129"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6" Target="https://doi.org/10.1088/1748-9326/4/4/044008" TargetMode="External" /><Relationship Type="http://schemas.openxmlformats.org/officeDocument/2006/relationships/hyperlink" Id="rId139" Target="https://doi.org/10.1111/gcb.16111" TargetMode="External" /><Relationship Type="http://schemas.openxmlformats.org/officeDocument/2006/relationships/hyperlink" Id="rId127" Target="https://doi.org/10.1111/jpy.12883" TargetMode="External" /><Relationship Type="http://schemas.openxmlformats.org/officeDocument/2006/relationships/hyperlink" Id="rId134"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4"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5"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5"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7"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networkD3" TargetMode="External" /><Relationship Type="http://schemas.openxmlformats.org/officeDocument/2006/relationships/hyperlink" Id="rId167" Target="https://data-swfwmd.opendata.arcgis.com/" TargetMode="External" /><Relationship Type="http://schemas.openxmlformats.org/officeDocument/2006/relationships/hyperlink" Id="rId169" Target="https://data-swfwmd.opendata.arcgis.com/datasets/seagrass-in-2018" TargetMode="External" /><Relationship Type="http://schemas.openxmlformats.org/officeDocument/2006/relationships/hyperlink" Id="rId164"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1"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3" Target="https://doi.org/10.1007/s12237-008-9129-5" TargetMode="External" /><Relationship Type="http://schemas.openxmlformats.org/officeDocument/2006/relationships/hyperlink" Id="rId149" Target="https://doi.org/10.1007/s12237-012-9503-1" TargetMode="External" /><Relationship Type="http://schemas.openxmlformats.org/officeDocument/2006/relationships/hyperlink" Id="rId157" Target="https://doi.org/10.1007/s12237-013-9662-8" TargetMode="External" /><Relationship Type="http://schemas.openxmlformats.org/officeDocument/2006/relationships/hyperlink" Id="rId186"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2" Target="https://doi.org/10.1007/s12237-021-00974-7" TargetMode="External" /><Relationship Type="http://schemas.openxmlformats.org/officeDocument/2006/relationships/hyperlink" Id="rId159" Target="https://doi.org/10.1007/s13157-019-01137-y" TargetMode="External" /><Relationship Type="http://schemas.openxmlformats.org/officeDocument/2006/relationships/hyperlink" Id="rId174"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1"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72" Target="https://doi.org/10.1016/j.geoderma.2013.10.007" TargetMode="External" /><Relationship Type="http://schemas.openxmlformats.org/officeDocument/2006/relationships/hyperlink" Id="rId178" Target="https://doi.org/10.1016/j.marpolbul.2020.111247" TargetMode="External" /><Relationship Type="http://schemas.openxmlformats.org/officeDocument/2006/relationships/hyperlink" Id="rId180" Target="https://doi.org/10.1016/j.rse.2011.06.027" TargetMode="External" /><Relationship Type="http://schemas.openxmlformats.org/officeDocument/2006/relationships/hyperlink" Id="rId129"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6" Target="https://doi.org/10.1088/1748-9326/4/4/044008" TargetMode="External" /><Relationship Type="http://schemas.openxmlformats.org/officeDocument/2006/relationships/hyperlink" Id="rId139" Target="https://doi.org/10.1111/gcb.16111" TargetMode="External" /><Relationship Type="http://schemas.openxmlformats.org/officeDocument/2006/relationships/hyperlink" Id="rId127" Target="https://doi.org/10.1111/jpy.12883" TargetMode="External" /><Relationship Type="http://schemas.openxmlformats.org/officeDocument/2006/relationships/hyperlink" Id="rId134"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4"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5"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5"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7"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2022-12-29T22:27:42Z</dcterms:created>
  <dcterms:modified xsi:type="dcterms:W3CDTF">2022-12-29T22:27:42Z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shorttitle">
    <vt:lpwstr>Tampa Bay watershed habitat restoration planning</vt:lpwstr>
  </property>
  <property fmtid="{D5CDD505-2E9C-101B-9397-08002B2CF9AE}" pid="14" name="toc-title">
    <vt:lpwstr>Table of contents</vt:lpwstr>
  </property>
</Properties>
</file>