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48.png" ContentType="image/png"/>
  <Override PartName="/word/media/rId60.png" ContentType="image/png"/>
  <Override PartName="/word/media/rId64.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coastal habitats, and associated fauna and flora are inextricably linked to land uses and management throughout the watershed</w:t>
      </w:r>
      <w:r>
        <w:t xml:space="preserve"> </w:t>
      </w:r>
      <w:r>
        <w:t xml:space="preserve">(Yoskowitz and Russell, 2015)</w:t>
      </w:r>
      <w:r>
        <w:t xml:space="preserve"> </w:t>
      </w:r>
      <w:r>
        <w:t xml:space="preserve">These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The Tampa Bay Estuary Program (TBEP) is one of 28 programs administered by the US Environmental Protection Agency (USEPA) under the National Estuary Program (NEP). In recognition of threats to habitats from development and climate change stressors, the TBEP and partners recently created the third iteration of a plan to establish targets and goals for habitat restoration within the Tampa Bay watershed. As an NEP, the program has guided regional environmental restoration initiatives for the estuary since 1991. The methodologies used in the creation of a 2020 Habitat Master Plan Update for Tampa Bay</w:t>
      </w:r>
      <w:r>
        <w:t xml:space="preserve"> </w:t>
      </w:r>
      <w:r>
        <w:t xml:space="preserve">(Robison et al., 2020)</w:t>
      </w:r>
      <w:r>
        <w:t xml:space="preserve"> </w:t>
      </w:r>
      <w:r>
        <w:t xml:space="preserve">are highly transferable to both coastal and non-coastal systems.</w:t>
      </w:r>
    </w:p>
    <w:bookmarkEnd w:id="22"/>
    <w:bookmarkStart w:id="23" w:name="Xcbc147c0c03a9a182946ab200c571696fb3aee0"/>
    <w:p>
      <w:pPr>
        <w:pStyle w:val="Heading2"/>
      </w:pPr>
      <w:r>
        <w:t xml:space="preserve">Development, climate change, and coastal squeeze</w:t>
      </w:r>
    </w:p>
    <w:p>
      <w:pPr>
        <w:pStyle w:val="FirstParagraph"/>
      </w:pPr>
      <w:r>
        <w:t xml:space="preserve">Development causes multiple perturbations within any watershed. The accumulated impacts of construction and associated infrastructure remove or substantially modify existing habitats, and can alter hydrology of nearby streams and rivers</w:t>
      </w:r>
      <w:r>
        <w:t xml:space="preserve"> </w:t>
      </w:r>
      <w:r>
        <w:t xml:space="preserve">(Theobald et al., 1997; Sim and Mesev, 2014)</w:t>
      </w:r>
      <w:r>
        <w:t xml:space="preserve">. Given the degree to which the Tampa Bay watershed has been urbanized, the synergistic effects of continued coastal development and future climate change are primary concerns for maintenance of estuarine and coastal habitat health. Observed and potential adverse effects of climate change and sea level rise on marine and estuarine ecosystems are well-documented</w:t>
      </w:r>
      <w:r>
        <w:t xml:space="preserve"> </w:t>
      </w:r>
      <w:r>
        <w:t xml:space="preserve">(Scavia et al., 2002; Spalding and Hester, 2007; Titus et al., 2009)</w:t>
      </w:r>
      <w:r>
        <w:t xml:space="preserve">. With regard to estuarine habitats, the primary concerns are that sea level rise is now occurring at such a rapid rate that the landward migration of tidal wetlands in response cannot keep pace; or that the upland slope has already been lost to urban development and hardening, leaving no place for tidal wetland migration</w:t>
      </w:r>
      <w:r>
        <w:t xml:space="preserve"> </w:t>
      </w:r>
      <w:r>
        <w:t xml:space="preserve">(Titus et al., 2009)</w:t>
      </w:r>
      <w:r>
        <w:t xml:space="preserve">. Geological, physical and chemical changes could include alterations in sediment deposition and erosion patterns, micro-topography, and water quality</w:t>
      </w:r>
      <w:r>
        <w:t xml:space="preserve"> </w:t>
      </w:r>
      <w:r>
        <w:t xml:space="preserve">(Whitehead et al., 2009; Arnell et al., 2015)</w:t>
      </w:r>
      <w:r>
        <w:t xml:space="preserve">.</w:t>
      </w:r>
    </w:p>
    <w:p>
      <w:pPr>
        <w:pStyle w:val="BodyText"/>
      </w:pPr>
      <w:r>
        <w:t xml:space="preserve">Related changes in habitats in response to climate change (sea 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Species dependent upon these habitats will be forced to change use patterns or adapt to the new conditions</w:t>
      </w:r>
      <w:r>
        <w:t xml:space="preserve"> </w:t>
      </w:r>
      <w:r>
        <w:t xml:space="preserve">(Iwamura et al., 2013)</w:t>
      </w:r>
      <w:r>
        <w:t xml:space="preserve">. For example, while black needle rush (</w:t>
      </w:r>
      <w:r>
        <w:rPr>
          <w:iCs/>
          <w:i/>
        </w:rPr>
        <w:t xml:space="preserve">Juncus roemerianus</w:t>
      </w:r>
      <w:r>
        <w:t xml:space="preserve">) can tolerate a wide salinity range</w:t>
      </w:r>
      <w:r>
        <w:t xml:space="preserve"> </w:t>
      </w:r>
      <w:r>
        <w:t xml:space="preserve">(Eleuterius and Eleuterius, 1979; Stout, 1984)</w:t>
      </w:r>
      <w:r>
        <w:t xml:space="preserve">, the largest remaining</w:t>
      </w:r>
      <w:r>
        <w:t xml:space="preserve"> </w:t>
      </w:r>
      <w:r>
        <w:rPr>
          <w:iCs/>
          <w:i/>
        </w:rPr>
        <w:t xml:space="preserve">J. roemerianus</w:t>
      </w:r>
      <w:r>
        <w:t xml:space="preserve"> </w:t>
      </w:r>
      <w:r>
        <w:t xml:space="preserve">marshes in Tampa Bay are located in the lower-salinity reaches of tidal rivers and creeks. The greatest extents of those marshes occur in river systems where their upstream extent is constrained by impoundments for public water supplies. Spatial restriction in these hydrologically truncated rivers may make these marshes particularly vulnerable to</w:t>
      </w:r>
      <w:r>
        <w:t xml:space="preserve"> </w:t>
      </w:r>
      <w:r>
        <w:t xml:space="preserve">“</w:t>
      </w:r>
      <w:r>
        <w:t xml:space="preserve">pinching out</w:t>
      </w:r>
      <w:r>
        <w:t xml:space="preserve">”</w:t>
      </w:r>
      <w:r>
        <w:t xml:space="preserve">, as upstream migration in response to sea level rise will be cut off by anthropogenic barriers. Similarly, landward migration of salt barrens (high marsh areas in Tampa Bay) in response to sea level rise will be restricted by the filling and hardening of coastal uplands associated with existing or future urban development.</w:t>
      </w:r>
    </w:p>
    <w:bookmarkEnd w:id="23"/>
    <w:bookmarkStart w:id="24" w:name="need-for-a-paradigm-shift"/>
    <w:p>
      <w:pPr>
        <w:pStyle w:val="Heading2"/>
      </w:pPr>
      <w:r>
        <w:t xml:space="preserve">Need for a paradigm shift</w:t>
      </w:r>
    </w:p>
    <w:p>
      <w:pPr>
        <w:pStyle w:val="FirstParagraph"/>
      </w:pPr>
      <w:r>
        <w:t xml:space="preserve">The synergistic effects of development and climate change diminish the available space for future restoration in urbanizing estuaries, thereby impacting the variety of ecosystem services provided by these habitats and the wildlife they support</w:t>
      </w:r>
      <w:r>
        <w:t xml:space="preserve"> </w:t>
      </w:r>
      <w:r>
        <w:t xml:space="preserve">(Enwright et al., 2015)</w:t>
      </w:r>
      <w:r>
        <w:t xml:space="preserve">. Given projected habitat losses without intervention efforts and the limited resources (including time, land, funding, and labor force) available, it is important to appropriately and realistically site restoration projects to increase the likelihood of success. To achieve this objective, a new restoration approach on a broad watershed scale will be implemented.</w:t>
      </w:r>
    </w:p>
    <w:p>
      <w:pPr>
        <w:pStyle w:val="BodyText"/>
      </w:pPr>
      <w:r>
        <w:t xml:space="preserve">Previously, a</w:t>
      </w:r>
      <w:r>
        <w:t xml:space="preserve"> </w:t>
      </w:r>
      <w:r>
        <w:t xml:space="preserve">“</w:t>
      </w:r>
      <w:r>
        <w:t xml:space="preserve">retrospective</w:t>
      </w:r>
      <w:r>
        <w:t xml:space="preserve">”</w:t>
      </w:r>
      <w:r>
        <w:t xml:space="preserve"> </w:t>
      </w:r>
      <w:r>
        <w:t xml:space="preserve">approach to setting habitat protection and restoration targets in Tampa Bay was employed</w:t>
      </w:r>
      <w:r>
        <w:t xml:space="preserve"> </w:t>
      </w:r>
      <w:r>
        <w:t xml:space="preserve">(Lewis and Robison, 1996; Robison, 2010; Cicchetti and Greening, 2011; Russell and Greening, 2015)</w:t>
      </w:r>
      <w:r>
        <w:t xml:space="preserve">. Under this paradigm, priority was given to restoration activities focused on habitat types, important for a suite of ten estuarine faunal guilds, that were disproportionately lost or degraded compared to a benchmark period. Primary criticisms of this approach included a lack of consideration for future sea level rise and other climate change factors</w:t>
      </w:r>
      <w:r>
        <w:t xml:space="preserve"> </w:t>
      </w:r>
      <w:r>
        <w:t xml:space="preserve">(Yoskowitz and Russell, 2015)</w:t>
      </w:r>
      <w:r>
        <w:t xml:space="preserve">, use of expanded and different habitats outside the Tampa Bay watershed by the faunal guilds</w:t>
      </w:r>
      <w:r>
        <w:t xml:space="preserve"> </w:t>
      </w:r>
      <w:r>
        <w:t xml:space="preserve">(Robison, 2010)</w:t>
      </w:r>
      <w:r>
        <w:t xml:space="preserve">, lack of attention to upland or freshwater wetland habitats, and little recognition of other stressors such as land development trends or actual available space for restoration efforts.</w:t>
      </w:r>
    </w:p>
    <w:p>
      <w:pPr>
        <w:pStyle w:val="BodyText"/>
      </w:pPr>
      <w:r>
        <w:t xml:space="preserve">Past approaches for guiding restoration planning have been successfully used in other contexts, but they do not fully balance competing needs.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that have contributed to seagrass restoration in the system. Additionally, the habitat mosaic approach</w:t>
      </w:r>
      <w:r>
        <w:t xml:space="preserve"> </w:t>
      </w:r>
      <w:r>
        <w:t xml:space="preserve">(Henningsen, 2005)</w:t>
      </w:r>
      <w:r>
        <w:t xml:space="preserve"> </w:t>
      </w:r>
      <w:r>
        <w:t xml:space="preserve">of including multiple habitat types within restoration projects is recognized as necessary in Tampa Bay</w:t>
      </w:r>
      <w:r>
        <w:t xml:space="preserve"> </w:t>
      </w:r>
      <w:r>
        <w:t xml:space="preserve">(Hughes et al., 2011)</w:t>
      </w:r>
      <w:r>
        <w:t xml:space="preserve"> </w:t>
      </w:r>
      <w:r>
        <w:t xml:space="preserve">and elsewhere to allow for ecosystem state changes in response to different environmental pressures</w:t>
      </w:r>
      <w:r>
        <w:t xml:space="preserve"> </w:t>
      </w:r>
      <w:r>
        <w:t xml:space="preserve">(Duarte et al., 2009; Palmer, 2009)</w:t>
      </w:r>
      <w:r>
        <w:t xml:space="preserve">.</w:t>
      </w:r>
    </w:p>
    <w:p>
      <w:pPr>
        <w:pStyle w:val="BodyText"/>
      </w:pPr>
      <w:r>
        <w:t xml:space="preserve">Adaptive management</w:t>
      </w:r>
      <w:r>
        <w:t xml:space="preserve"> </w:t>
      </w:r>
      <w:r>
        <w:t xml:space="preserve">(Holling, 1978; Gregory et al., 2006)</w:t>
      </w:r>
      <w:r>
        <w:t xml:space="preserve"> </w:t>
      </w:r>
      <w:r>
        <w:t xml:space="preserve">components have been increasingly used to address challenges of sea level rise, climate change, and development stressors, including monitoring to identify critical restoration decision points and needed intervention with contingency plans. Rising sea levels and temperatures and altered rainfall patterns are causing observable changes to habitats on a global scale</w:t>
      </w:r>
      <w:r>
        <w:t xml:space="preserve"> </w:t>
      </w:r>
      <w:r>
        <w:t xml:space="preserve">(Cavanaugh et al., 2014; Garner et al., 2015; Yoskowitz and Russell, 2015)</w:t>
      </w:r>
      <w:r>
        <w:t xml:space="preserve">, including within Tampa Bay</w:t>
      </w:r>
      <w:r>
        <w:t xml:space="preserve"> </w:t>
      </w:r>
      <w:r>
        <w:t xml:space="preserve">(Price et al., 2017)</w:t>
      </w:r>
      <w:r>
        <w:t xml:space="preserve">, and those changes are expected to become more pronounced over the next several decades</w:t>
      </w:r>
      <w:r>
        <w:t xml:space="preserve"> </w:t>
      </w:r>
      <w:r>
        <w:t xml:space="preserve">(Sheehan et al., 2016; Nerem et al., 2018)</w:t>
      </w:r>
      <w:r>
        <w:t xml:space="preserve">.</w:t>
      </w:r>
    </w:p>
    <w:bookmarkEnd w:id="24"/>
    <w:bookmarkStart w:id="25" w:name="updating-the-approach"/>
    <w:p>
      <w:pPr>
        <w:pStyle w:val="Heading2"/>
      </w:pPr>
      <w:r>
        <w:t xml:space="preserve">Updating the approach</w:t>
      </w:r>
    </w:p>
    <w:p>
      <w:pPr>
        <w:pStyle w:val="FirstParagraph"/>
      </w:pPr>
      <w:r>
        <w:t xml:space="preserve">The new approach integrates the whole watershed, addresses historical changes, focuses on trajectories that have occurred during more contemporary time periods, and considers both current and future stressors – particularly land development and sea level rise. There is relatively consistent extent and distribution data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This approach establishes a broader framework that guides both watershed-level habitat master planning and site-level restoration design activities and incorporates applicable elements of the other habitat restoration paradigms discussed above</w:t>
      </w:r>
      <w:r>
        <w:t xml:space="preserve"> </w:t>
      </w:r>
      <w:r>
        <w:t xml:space="preserve">(Palmer, 2009)</w:t>
      </w:r>
      <w:r>
        <w:t xml:space="preserve">. Our broader framework for guiding restoration activities includes 1) designation of habitat types by strata relative to the aquatic-terrestrial gradient, 2) quantification of historical trends by habitat types to identify appropriate future targets in acreage, and 3) identification of opportunity areas that could be used by practitioners to achieve restoration goals based on habitat type and past trajectories.</w:t>
      </w:r>
    </w:p>
    <w:p>
      <w:pPr>
        <w:pStyle w:val="BodyText"/>
      </w:pPr>
      <w:r>
        <w:t xml:space="preserve">With regard to habitat restoration projects, the design approach must envision not only what is possible today, but also what the coastal landscape will look like in 50 years and beyond. Design features should continue to use the historical</w:t>
      </w:r>
      <w:r>
        <w:t xml:space="preserve"> </w:t>
      </w:r>
      <w:r>
        <w:t xml:space="preserve">“</w:t>
      </w:r>
      <w:r>
        <w:t xml:space="preserve">habitat mosaic</w:t>
      </w:r>
      <w:r>
        <w:t xml:space="preserve">”</w:t>
      </w:r>
      <w:r>
        <w:t xml:space="preserve"> </w:t>
      </w:r>
      <w:r>
        <w:t xml:space="preserve">approach, but should also include coastal upland features that accommodate tidal inundation and the landward advance of emergent tidal wetlands</w:t>
      </w:r>
      <w:r>
        <w:t xml:space="preserve"> </w:t>
      </w:r>
      <w:r>
        <w:t xml:space="preserve">(Enwright et al., 2016)</w:t>
      </w:r>
      <w:r>
        <w:t xml:space="preserve">.</w:t>
      </w:r>
    </w:p>
    <w:bookmarkEnd w:id="25"/>
    <w:bookmarkStart w:id="33" w:name="methods"/>
    <w:p>
      <w:pPr>
        <w:pStyle w:val="Heading2"/>
      </w:pPr>
      <w:r>
        <w:t xml:space="preserve">Methods</w:t>
      </w:r>
    </w:p>
    <w:bookmarkStart w:id="26" w:name="study-area"/>
    <w:p>
      <w:pPr>
        <w:pStyle w:val="Heading3"/>
      </w:pPr>
      <w:r>
        <w:t xml:space="preserve">Study area</w:t>
      </w:r>
    </w:p>
    <w:p>
      <w:pPr>
        <w:pStyle w:val="FirstParagraph"/>
      </w:pPr>
      <w:r>
        <w:t xml:space="preserve">Tampa Bay is a large open water estuary (open water area approximately 983 km</w:t>
      </w:r>
      <w:r>
        <w:rPr>
          <w:vertAlign w:val="superscript"/>
        </w:rPr>
        <w:t xml:space="preserve">2</w:t>
      </w:r>
      <w:r>
        <w:t xml:space="preserve">) on the west-central coast of Florida (Fig 1). Its watershed encompasses another 5,872 km</w:t>
      </w:r>
      <w:r>
        <w:rPr>
          <w:vertAlign w:val="superscript"/>
        </w:rPr>
        <w:t xml:space="preserve">2</w:t>
      </w:r>
      <w:r>
        <w:t xml:space="preserve">, for a total combined area of approximately 6,855 km</w:t>
      </w:r>
      <w:r>
        <w:rPr>
          <w:vertAlign w:val="superscript"/>
        </w:rPr>
        <w:t xml:space="preserve">2</w:t>
      </w:r>
      <w:r>
        <w:t xml:space="preserve">. It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(2019) population of 3.3 million people in the four counties that comprise most of the watershed</w:t>
      </w:r>
      <w:r>
        <w:t xml:space="preserve"> </w:t>
      </w:r>
      <w:r>
        <w:t xml:space="preserve">(Rayer and Wang, 2020)</w:t>
      </w:r>
      <w:r>
        <w:rPr>
          <w:iCs/>
          <w:i/>
        </w:rPr>
        <w:t xml:space="preserve">.</w:t>
      </w:r>
      <w:r>
        <w:t xml:space="preserve"> </w:t>
      </w:r>
      <w:r>
        <w:t xml:space="preserve">Numerous anthropogenic changes have been made to the natural systems within and surrounding Tampa Bay, including direct removal of habitat (including dredge and fill of bay bottom), alteration of hydrology, and destruction and fragmentation of habitat from development.</w:t>
      </w:r>
    </w:p>
    <w:bookmarkEnd w:id="26"/>
    <w:bookmarkStart w:id="27" w:name="habitats-of-tampa-bay"/>
    <w:p>
      <w:pPr>
        <w:pStyle w:val="Heading3"/>
      </w:pPr>
      <w:r>
        <w:t xml:space="preserve">Habitats of Tampa Bay</w:t>
      </w:r>
    </w:p>
    <w:p>
      <w:pPr>
        <w:pStyle w:val="FirstParagraph"/>
      </w:pPr>
      <w:r>
        <w:t xml:space="preserve">Addressing the full suite of habitats in a watershed is now recognized as critical for large-scale restoration planning efforts</w:t>
      </w:r>
      <w:r>
        <w:t xml:space="preserve"> </w:t>
      </w:r>
      <w:r>
        <w:t xml:space="preserve">(Palmer, 2009; Lamb, 2018)</w:t>
      </w:r>
      <w:r>
        <w:rPr>
          <w:bCs/>
          <w:b/>
        </w:rPr>
        <w:t xml:space="preserve">.</w:t>
      </w:r>
      <w:r>
        <w:t xml:space="preserve"> </w:t>
      </w:r>
      <w:r>
        <w:t xml:space="preserve">The major habitat types of Tampa Bay can be described and organized relative to tidal influence and location in the watershed. Subtidal habitats include those that are submerged all or most of the time; emergent tidal wetlands include those that are submerged during high tides but exposed during low tides; and supratidal habitats include those that occur above the high tide line.</w:t>
      </w:r>
    </w:p>
    <w:p>
      <w:pPr>
        <w:pStyle w:val="BodyText"/>
      </w:pPr>
      <w:r>
        <w:t xml:space="preserve">Habitats generally described as</w:t>
      </w:r>
      <w:r>
        <w:t xml:space="preserve"> </w:t>
      </w:r>
      <w:r>
        <w:t xml:space="preserve">‘</w:t>
      </w:r>
      <w:r>
        <w:t xml:space="preserve">subtidal</w:t>
      </w:r>
      <w:r>
        <w:t xml:space="preserve">’</w:t>
      </w:r>
      <w:r>
        <w:t xml:space="preserve"> </w:t>
      </w:r>
      <w:r>
        <w:t xml:space="preserve">include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w:t>
      </w:r>
      <w:r>
        <w:t xml:space="preserve">are classified as emergent tidal wetlands. For the purposes of this planning effort,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As discussed below, uplands are sub-divided into coastal and non-coastal uplands, based on location relative to the 5-foot contour.</w:t>
      </w:r>
    </w:p>
    <w:bookmarkEnd w:id="27"/>
    <w:bookmarkStart w:id="28" w:name="approach"/>
    <w:p>
      <w:pPr>
        <w:pStyle w:val="Heading3"/>
      </w:pPr>
      <w:r>
        <w:t xml:space="preserve">Approach</w:t>
      </w:r>
    </w:p>
    <w:p>
      <w:pPr>
        <w:pStyle w:val="FirstParagraph"/>
      </w:pPr>
      <w:r>
        <w:t xml:space="preserve">Recommended targets were created stepwise with geospatial analyses: 1) quantifying habitat status and historical trends; 2) synthesizing historic habitat restoration efforts; and 3) identifying and defining remaining</w:t>
      </w:r>
      <w:r>
        <w:t xml:space="preserve"> </w:t>
      </w:r>
      <w:r>
        <w:t xml:space="preserve">‘</w:t>
      </w:r>
      <w:r>
        <w:t xml:space="preserve">opportunities</w:t>
      </w:r>
      <w:r>
        <w:t xml:space="preserve">’</w:t>
      </w:r>
      <w:r>
        <w:t xml:space="preserve"> </w:t>
      </w:r>
      <w:r>
        <w:t xml:space="preserve">for restoration that integrated results from the first two analyses. Final development of restoration targets and goals integrated strata and opportunity area information with an analysis of past restoration implementation to use previous completed projects as a guide to a feasible amount of restoration that could be conducted by partners. This approach will ensure that the estuarine-dependent species and faunal guilds throughout the watershed, as defined in the original approach, will continue to be supported.</w:t>
      </w:r>
    </w:p>
    <w:bookmarkEnd w:id="28"/>
    <w:bookmarkStart w:id="29" w:name="habitat-status-and-trends"/>
    <w:p>
      <w:pPr>
        <w:pStyle w:val="Heading3"/>
      </w:pPr>
      <w:r>
        <w:t xml:space="preserve">Habitat status and trends</w:t>
      </w:r>
    </w:p>
    <w:p>
      <w:pPr>
        <w:pStyle w:val="FirstParagraph"/>
      </w:pPr>
      <w:r>
        <w:t xml:space="preserve">For the majority of subtidal, intertidal and supratidal habitats, primary data derived from two routine spatial assessment programs conducted by the Southwest Florida Water Management District (SWFWMD) were utilized. However, to address data gaps for some habitats, results from special studies were integrated with the primary data sources. These included hard bottom</w:t>
      </w:r>
      <w:r>
        <w:t xml:space="preserve"> </w:t>
      </w:r>
      <w:r>
        <w:t xml:space="preserve">(Kaufman, 2017; CSA Ocean Sciences, 2019)</w:t>
      </w:r>
      <w:r>
        <w:t xml:space="preserve">, dredged holes</w:t>
      </w:r>
      <w:r>
        <w:t xml:space="preserve"> </w:t>
      </w:r>
      <w:r>
        <w:t xml:space="preserve">(Griffen and Greening, 2005; Raulerson et al., 2019)</w:t>
      </w:r>
      <w:r>
        <w:t xml:space="preserve"> </w:t>
      </w:r>
      <w:r>
        <w:t xml:space="preserve">and oyster habitat</w:t>
      </w:r>
      <w:r>
        <w:t xml:space="preserve"> </w:t>
      </w:r>
      <w:r>
        <w:t xml:space="preserve">(O’Keife et al., 2006)</w:t>
      </w:r>
      <w:r>
        <w:rPr>
          <w:iCs/>
          <w:i/>
        </w:rPr>
        <w:t xml:space="preserve">.</w:t>
      </w:r>
    </w:p>
    <w:p>
      <w:pPr>
        <w:pStyle w:val="BodyText"/>
      </w:pPr>
      <w:r>
        <w:t xml:space="preserve">The source data used to estimate the most current coverage of seagrasses, tidal flats, and oysters was the</w:t>
      </w:r>
      <w:r>
        <w:t xml:space="preserve"> </w:t>
      </w:r>
      <w:r>
        <w:rPr>
          <w:iCs/>
          <w:i/>
        </w:rPr>
        <w:t xml:space="preserve">Seagrass in 2018</w:t>
      </w:r>
      <w:r>
        <w:t xml:space="preserve"> </w:t>
      </w:r>
      <w:r>
        <w:t xml:space="preserve">geospatial database</w:t>
      </w:r>
      <w:r>
        <w:t xml:space="preserve"> </w:t>
      </w:r>
      <w:r>
        <w:t xml:space="preserve">(Southwest Florida Water Management District, 2019)</w:t>
      </w:r>
      <w:r>
        <w:t xml:space="preserve">. The bi-annual seagrass monitoring program was initiated in 1988 under SWFWMD’s Surface Water Improvement and Management program</w:t>
      </w:r>
      <w:r>
        <w:t xml:space="preserve"> </w:t>
      </w:r>
      <w:r>
        <w:t xml:space="preserve">(Sherwood et al., 2017; Tomasko et al., 2020)</w:t>
      </w:r>
      <w:r>
        <w:rPr>
          <w:iCs/>
          <w:i/>
        </w:rPr>
        <w:t xml:space="preserve">.</w:t>
      </w:r>
      <w:r>
        <w:t xml:space="preserve"> </w:t>
      </w:r>
      <w:r>
        <w:t xml:space="preserve">SWFWMD has estimated oyster bed coverage as part of this program since 2014.</w:t>
      </w:r>
    </w:p>
    <w:p>
      <w:pPr>
        <w:pStyle w:val="BodyText"/>
      </w:pPr>
      <w:r>
        <w:t xml:space="preserve">The source data used to estimate and map trends in development, emergent tidal wetlands, freshwater wetlands, and native upland habitats was the SWFWMD Land Use Land Cover (LULC) series geospatial database</w:t>
      </w:r>
      <w:r>
        <w:t xml:space="preserve"> </w:t>
      </w:r>
      <w:r>
        <w:t xml:space="preserve">(Southwest Florida Water Management District, 2018)</w:t>
      </w:r>
      <w:r>
        <w:t xml:space="preserve">. This comprehensive database classifies the land use and cover types (natural and developed) pursuant to the Florida Land Use Cover and Forms Classification System</w:t>
      </w:r>
      <w:r>
        <w:t xml:space="preserve"> </w:t>
      </w:r>
      <w:r>
        <w:t xml:space="preserve">(Florida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very difficult, it is possible to accurately distinguish forested wetlands from non-forested wetlands. Therefore, for this analysis, all applicable FLUCCS codes representing the suite of natural freshwater wetlands were combined within those two classifications. Similarly, within the target- and goal-setting exercise, uplands were combined in one classification. These classifications were reported for each mapping exercise conducted every 2-3 years from the start of the program 1990 through 2017, the most recent year with available data.</w:t>
      </w:r>
    </w:p>
    <w:p>
      <w:pPr>
        <w:pStyle w:val="BodyText"/>
      </w:pPr>
      <w:r>
        <w:t xml:space="preserve">To quantify the extent of tidal creeks, GIS data</w:t>
      </w:r>
      <w:r>
        <w:t xml:space="preserve"> </w:t>
      </w:r>
      <w:r>
        <w:t xml:space="preserve">(Janicki Environmental, Inc. and Mote Marine Laboratory, 2016, 2020)</w:t>
      </w:r>
      <w:r>
        <w:t xml:space="preserve"> </w:t>
      </w:r>
      <w:r>
        <w:t xml:space="preserve">was clipped to the Florida Department of Environmental Protection stream segments that were classified as estuarine.</w:t>
      </w:r>
    </w:p>
    <w:bookmarkEnd w:id="29"/>
    <w:bookmarkStart w:id="31" w:name="restoration-database"/>
    <w:p>
      <w:pPr>
        <w:pStyle w:val="Heading3"/>
      </w:pPr>
      <w:r>
        <w:t xml:space="preserve">Restoration database</w:t>
      </w:r>
    </w:p>
    <w:p>
      <w:pPr>
        <w:pStyle w:val="FirstParagraph"/>
      </w:pPr>
      <w:r>
        <w:t xml:space="preserve">We quantified past restoration efforts in each of the major habitat types to guide decisions on future targets and goals. Information regarding habitat restoration and enhancement activities in the Tampa Bay area over the past 40 years were compiled, reviewed, and consolidated into a single, consistent geospatial database. Data were gathered from the SWFWMD Surface Water Improvement and Management Program, Federal Government Performance and Results Act (GPRA) reporting, the Tampa Bay Water Atlas (</w:t>
      </w:r>
      <w:hyperlink r:id="rId30">
        <w:r>
          <w:rPr>
            <w:rStyle w:val="Hyperlink"/>
          </w:rPr>
          <w:t xml:space="preserve">https://www.tampabay.wateratlas.usf.edu/</w:t>
        </w:r>
      </w:hyperlink>
      <w:r>
        <w:t xml:space="preserve">), Tampa Bay Watch, and the Technical Advisory Committee of the TBEP. Primary data collected included project name, year, description, lead partner, size (area or length), and latitude and longitude. Data gaps were supplemented by archival research, site visits, contacting the responsible entities, and documenting the knowledge of local professionals. Living shoreline projects, including seawall enhancements and oyster reef modules, were inventoried separately.</w:t>
      </w:r>
    </w:p>
    <w:bookmarkEnd w:id="31"/>
    <w:bookmarkStart w:id="32" w:name="X3ee14f540c6971491d0c5ce5ddb0f35ab125cab"/>
    <w:p>
      <w:pPr>
        <w:pStyle w:val="Heading3"/>
      </w:pPr>
      <w:r>
        <w:t xml:space="preserve">Creating and combining opportunity layers</w:t>
      </w:r>
    </w:p>
    <w:p>
      <w:pPr>
        <w:pStyle w:val="FirstParagraph"/>
      </w:pPr>
      <w:hyperlink w:anchor="fig-gisworkflow">
        <w:r>
          <w:rPr>
            <w:rStyle w:val="Hyperlink"/>
          </w:rPr>
          <w:t xml:space="preserve">Figure 1</w:t>
        </w:r>
      </w:hyperlink>
    </w:p>
    <w:p>
      <w:pPr>
        <w:pStyle w:val="BodyText"/>
      </w:pPr>
      <w:r>
        <w:t xml:space="preserve">Three strata, distinct geographic breakpoints in the watershed where different habitat management and restoration activities could take place, were created to establish the process for target and goal-setting within this framework. The first is the coastal stratum, which extends from the local Mean Lower Low Water elevation to elevation 5 feet above Mean Sea Level and is likely to be affected by frequent tidal flooding or inundation by 2070. The coastal stratum is the zone where emergent tidal wetland restoration would be conducted and includes low lying coastal uplands which serve as important tidal wetland buffers that will be critically important in the future as lands reserved to accommodate ideal wetland migration in response to sea level rise. The river floodplain stratum includes all hydrologically contiguous forested and non-forested wetlands within the river and stream corridors of the Tampa Bay watershed. Floodplain corridors provide vital watershed functions including fish and wildlife habitat and migratory pathways, floodwater attenuation and storage, erosion control, and delivery of complex organic matter to the estuarine food web. Finally, the upland stratum encompasses those areas outside of the coastal and river floodplain strata, including native upland habitats as well as hydrologically isolated wetlands. These habitats provide important aquifer recharge and wildlife habitat functions.</w:t>
      </w:r>
    </w:p>
    <w:p>
      <w:pPr>
        <w:pStyle w:val="BodyText"/>
      </w:pPr>
      <w:r>
        <w:t xml:space="preserve">Opportunity areas, defined here as locations where habitat protection and restoration activities are possible, and where they should best be focused to attain defined targets, were also analyzed. The definition and mapping of opportunity areas is necessary to quantify the</w:t>
      </w:r>
      <w:r>
        <w:t xml:space="preserve"> </w:t>
      </w:r>
      <w:r>
        <w:t xml:space="preserve">“</w:t>
      </w:r>
      <w:r>
        <w:t xml:space="preserve">restoration potential</w:t>
      </w:r>
      <w:r>
        <w:t xml:space="preserve">”</w:t>
      </w:r>
      <w:r>
        <w:t xml:space="preserve"> </w:t>
      </w:r>
      <w:r>
        <w:t xml:space="preserve">for a particular habitat type, which is a measure of what is actually possible under current and future projected conditions. The most appropriate opportunity areas are generally not developed and located on existing public lands or areas identified for acquisition.</w:t>
      </w:r>
    </w:p>
    <w:p>
      <w:pPr>
        <w:pStyle w:val="BodyText"/>
      </w:pPr>
      <w:r>
        <w:t xml:space="preserve">The Land Use Land Cover 2017 geospatial database (Table 1) was used as the baseline for cataloguing existing and opportunity areas for intertidal and supratidal habitats in the Tampa Bay watershed. All FLUCCS classification codes were placed into one of three categories. First, native habitats cover the full range of natural plant communities and other habitats that are endemic to the Tampa Bay watershed, and were further grouped into three major habitat types (tidal wetlands, freshwater wetlands, and uplands). Second, restorable habitats include existing altered but non-hardened and pervious FLUCCS codes that could potentially support native habitats through the restoration of more natural hydrology, soils strata, and/or topography. Third, existing development includes developed land FLUCCS codes that are hardened and impervious (e.g., structures and pavement) and not suitable for habitat restoration activities.</w:t>
      </w:r>
    </w:p>
    <w:p>
      <w:pPr>
        <w:pStyle w:val="BodyText"/>
      </w:pPr>
      <w:r>
        <w:t xml:space="preserve">Layers for existing public lands and parcels targeted for acquisition were compiled by combining data from the Florida Natural Areas Inventory (Table 1), consulting staff from various federal, state and local entities, and inventorying conservation and drainage easements data.</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soils distributions can be used to generally represent historical habitat distribution, and can be used to provide generalized restoration guidelines (e.g., tidal wetlands, freshwater wetlands, and native uplands).</w:t>
      </w:r>
      <w:r>
        <w:t xml:space="preserve"> </w:t>
      </w:r>
      <w:r>
        <w:t xml:space="preserve">Ries and Scheda (2014)</w:t>
      </w:r>
      <w:r>
        <w:t xml:space="preserve"> </w:t>
      </w:r>
      <w:r>
        <w:t xml:space="preserve">created a soils suitability analysis for wetland mitigation and restoration sing data from the USDA Web Soil Survey (Table 1) and classified all soils in the Tampa Bay soils into one of three categories (xeric, mesic, and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combined mesic and hydric soils polygons with the coastal stratum. Mesic or hydric soils that occur below the 5-foot contour were classified as having tidal wetland restoration potential, while mesic or hydric soils occurring above the 5-foot contour were classified as having freshwater wetland restoration potential.</w:t>
      </w:r>
    </w:p>
    <w:p>
      <w:pPr>
        <w:pStyle w:val="BodyText"/>
      </w:pPr>
      <w:r>
        <w:t xml:space="preserve">Within the Tampa Bay region, lands adjacent to waters with average salinity values greater than 18 psu are considered most appropriate for higher salinity mangrove/salt barren restoration, while lands adjacent to waters with average salinity values less than 18 psu are considered most appropriate for lower salinity salt marsh (</w:t>
      </w:r>
      <w:r>
        <w:rPr>
          <w:iCs/>
          <w:i/>
        </w:rPr>
        <w:t xml:space="preserve">Juncus</w:t>
      </w:r>
      <w:r>
        <w:t xml:space="preserve"> </w:t>
      </w:r>
      <w:r>
        <w:t xml:space="preserve">spp.) restoration</w:t>
      </w:r>
      <w:r>
        <w:t xml:space="preserve"> </w:t>
      </w:r>
      <w:r>
        <w:t xml:space="preserve">(Eleuterius and Eleuterius, 1979)</w:t>
      </w:r>
      <w:r>
        <w:t xml:space="preserve">. To estimate the relative restoration potential of mangrove/salt barrens and salt marshes, a regional long-term water quality data set was used to create salinity isohalines, which was then binned into two salinity categories: greater and less than an annual mean of 18 psu (Table 1).</w:t>
      </w:r>
    </w:p>
    <w:p>
      <w:pPr>
        <w:pStyle w:val="BodyText"/>
      </w:pPr>
      <w:r>
        <w:t xml:space="preserve">All acquired and created GIS layers (Table 1) were converted to 10m x 10m raster data sets and delimited using a previously established watershed boundary. The reservation, restorable, conservation, acquisition, soils, and salinity isohaline layers were then merged to create a comprehensive set of maps and matrices of all possible combinations of opportunity areas. Within an ArcGIS Pro 2.x GIS environment, the SWFWMD 2017 FLUCCS and 2018 submerged data was classified and extracted to the study area into described categories. The dataset was then spatially assigned to existing and proposed restoration areas, reservation areas, soil type, and salinity level.</w:t>
      </w:r>
    </w:p>
    <w:bookmarkEnd w:id="32"/>
    <w:bookmarkEnd w:id="33"/>
    <w:bookmarkStart w:id="42" w:name="results"/>
    <w:p>
      <w:pPr>
        <w:pStyle w:val="Heading2"/>
      </w:pPr>
      <w:r>
        <w:t xml:space="preserve">Results</w:t>
      </w:r>
    </w:p>
    <w:bookmarkStart w:id="38" w:name="habitat-status-and-trends-1"/>
    <w:p>
      <w:pPr>
        <w:pStyle w:val="Heading3"/>
      </w:pPr>
      <w:r>
        <w:t xml:space="preserve">Habitat status and trends</w:t>
      </w:r>
    </w:p>
    <w:bookmarkStart w:id="34" w:name="subtidal-habitats"/>
    <w:p>
      <w:pPr>
        <w:pStyle w:val="Heading4"/>
      </w:pPr>
      <w:r>
        <w:t xml:space="preserve">Subtidal habitats</w:t>
      </w:r>
    </w:p>
    <w:p>
      <w:pPr>
        <w:pStyle w:val="FirstParagraph"/>
      </w:pPr>
      <w:hyperlink w:anchor="fig-subtchgdatalluv">
        <w:r>
          <w:rPr>
            <w:rStyle w:val="Hyperlink"/>
          </w:rPr>
          <w:t xml:space="preserve">Figure 2</w:t>
        </w:r>
      </w:hyperlink>
    </w:p>
    <w:p>
      <w:pPr>
        <w:pStyle w:val="BodyText"/>
      </w:pPr>
      <w:r>
        <w:t xml:space="preserve">While no trend information is available, the best cumulative estimate of natural hard bottom extent in Tampa Bay is 171 ha (Table 2). Oyster bars covered 69 ha (Table 2) in 2018, and a 30% (6 ha) increase reflected since mapping began in 2014 (Table 3a) probably represents improved ground-truthing and photointerpretation of oyster bar signatures from aerial photography. Twelve artificial reefs in Tampa Bay are managed by Hillsborough, Manatee, and Pinellas Counties. Surface area estimates were not available for the Manatee and Pinellas County reefs, but assuming an average size of 4.2 ha, based on the Hillsborough County reefs, the total coverage of artificial reefs in Tampa Bay is estimated to be approximately 67 ha (Table 2).</w:t>
      </w:r>
    </w:p>
    <w:p>
      <w:pPr>
        <w:pStyle w:val="BodyText"/>
      </w:pPr>
      <w:r>
        <w:t xml:space="preserve">Table 1</w:t>
      </w:r>
    </w:p>
    <w:p>
      <w:pPr>
        <w:pStyle w:val="BodyText"/>
      </w:pPr>
      <w:r>
        <w:t xml:space="preserve">Total seagrass coverage has increased by 7,027 ha (75%) during the 30-year period of record (Table 3a), and the most current (2018) estimate of total seagrass meadow coverage in Tampa Bay is 16,452 ha. The 2018 coverage of tidal flats and sand other than beaches in Tampa Bay was 6,564 ha (Table 2). A decrease of 4,496 ha (55%) during the 30-year period of record (Table 3a) is associated with the expansion of seagrass to previously non-vegetated bottom area.</w:t>
      </w:r>
    </w:p>
    <w:bookmarkEnd w:id="34"/>
    <w:bookmarkStart w:id="36" w:name="intertidal-habitats"/>
    <w:p>
      <w:pPr>
        <w:pStyle w:val="Heading4"/>
      </w:pPr>
      <w:r>
        <w:t xml:space="preserve">Intertidal habitats</w:t>
      </w:r>
    </w:p>
    <w:p>
      <w:pPr>
        <w:pStyle w:val="FirstParagraph"/>
      </w:pPr>
      <w:hyperlink w:anchor="fig-chgdatalluv">
        <w:r>
          <w:rPr>
            <w:rStyle w:val="Hyperlink"/>
          </w:rPr>
          <w:t xml:space="preserve">Figure 3</w:t>
        </w:r>
      </w:hyperlink>
    </w:p>
    <w:p>
      <w:pPr>
        <w:pStyle w:val="BodyText"/>
      </w:pPr>
      <w:r>
        <w:t xml:space="preserve">Between 1990 and 2017, the suite of emergent tidal wetlands (mangroves, salt barrens, and salt marshes) experienced a net gain of 725 ha (10%, Table 3b). The current estimate of the extent of mangrove forests in Tampa Bay is 6,192 ha. Mangrove forest coverage increased by 684 ha (12%). Salt marshes in Tampa Bay cover 1,844 ha, and coverage increased by 30 ha (2%). However, from 1990 to 2017, it is estimated that a net area of 219 ha of salt marshes converted from salt marsh to mangrove habitat (</w:t>
      </w:r>
      <w:hyperlink r:id="rId35">
        <w:r>
          <w:rPr>
            <w:rStyle w:val="Hyperlink"/>
          </w:rPr>
          <w:t xml:space="preserve">https://tbep-tech.github.io/landuse/</w:t>
        </w:r>
      </w:hyperlink>
      <w:r>
        <w:t xml:space="preserve">). The 2017 estimate of the extent of salt barrens in Tampa Bay is 201 ha, and coverage has increased by 14 ha (7%) during the 27-year period of record (Table 3b). Based on GIS data from Janicki Environmental and Mote Marine Laboratory</w:t>
      </w:r>
      <w:r>
        <w:t xml:space="preserve"> </w:t>
      </w:r>
      <w:r>
        <w:t xml:space="preserve">(Janicki Environmental, Inc. and Mote Marine Laboratory, 2016, 2020)</w:t>
      </w:r>
      <w:r>
        <w:t xml:space="preserve">, the extent of tidal creek habitat in the Tampa Bay watershed is approximately 623 km (Table 2). No trend analysis is available.</w:t>
      </w:r>
    </w:p>
    <w:bookmarkEnd w:id="36"/>
    <w:bookmarkStart w:id="37" w:name="supratidal-habitats"/>
    <w:p>
      <w:pPr>
        <w:pStyle w:val="Heading4"/>
      </w:pPr>
      <w:r>
        <w:t xml:space="preserve">Supratidal habitats</w:t>
      </w:r>
    </w:p>
    <w:p>
      <w:pPr>
        <w:pStyle w:val="FirstParagraph"/>
      </w:pPr>
      <w:hyperlink w:anchor="fig-chgdatalluv">
        <w:r>
          <w:rPr>
            <w:rStyle w:val="Hyperlink"/>
          </w:rPr>
          <w:t xml:space="preserve">Figure 3</w:t>
        </w:r>
      </w:hyperlink>
    </w:p>
    <w:p>
      <w:pPr>
        <w:pStyle w:val="BodyText"/>
      </w:pPr>
      <w:r>
        <w:t xml:space="preserve">As determined in the 2017 land use/land cover update, the most current estimate of the extent of non-coastal native upland habitats in the Tampa Bay watershed is 56,899 ha, and the extent of</w:t>
      </w:r>
      <w:r>
        <w:t xml:space="preserve"> </w:t>
      </w:r>
      <w:r>
        <w:t xml:space="preserve">“</w:t>
      </w:r>
      <w:r>
        <w:t xml:space="preserve">coastal uplands</w:t>
      </w:r>
      <w:r>
        <w:t xml:space="preserve">”</w:t>
      </w:r>
      <w:r>
        <w:t xml:space="preserve"> </w:t>
      </w:r>
      <w:r>
        <w:t xml:space="preserve">(defined as below the 5-foot contour) in the Tampa Bay watershed is 1,465 ha (Table 2). Over the 27-year period of record, the suite of native upland habitats has experienced a net loss of 37,051 ha (39%, Table 3b).</w:t>
      </w:r>
    </w:p>
    <w:p>
      <w:pPr>
        <w:pStyle w:val="BodyText"/>
      </w:pPr>
      <w:r>
        <w:t xml:space="preserve">The 2017 extent of freshwater wetlands in the Tampa Bay watershed was 88,917 ha (Table 2). Of this total, forested freshwater wetlands comprised 61,565 ha (69%), while non-forested freshwater wetlands comprised 27,351 ha (31%). From 1990-2017, the suite of freshwater wetlands experienced a net gain of 2,444 ha (3%, Table 3b). There has been a 5,335 ha (24%) increase in vegetated non-forested freshwater wetlands since 1990, while forested freshwater wetlands have decreased by 2,891 ha (4%).</w:t>
      </w:r>
    </w:p>
    <w:bookmarkEnd w:id="37"/>
    <w:bookmarkEnd w:id="38"/>
    <w:bookmarkStart w:id="39" w:name="habitat-restoration"/>
    <w:p>
      <w:pPr>
        <w:pStyle w:val="Heading3"/>
      </w:pPr>
      <w:r>
        <w:t xml:space="preserve">Habitat restoration</w:t>
      </w:r>
    </w:p>
    <w:p>
      <w:pPr>
        <w:pStyle w:val="FirstParagraph"/>
      </w:pPr>
      <w:r>
        <w:t xml:space="preserve">A total of 460 projects were documented between 1971 and 2019 (Table 4), addressing the full range of habitat types, including Estuarine (n=228), Freshwater (n=53), Uplands (n=119), and Mixed (n=60). A total of 1,978 ha have been restored, and 12,930 ha and 42.8 km of linear projects were enhanced during the time period. Forty lead partners were documented as responsible for the projects, although some of these lead partners are departments within the same overall agency. Eighty-nine living shoreline projects, seawall enhancements, and oyster reef module installations along shorelines were inventoried, with a linear footprint of 18.2 km.</w:t>
      </w:r>
    </w:p>
    <w:bookmarkEnd w:id="39"/>
    <w:bookmarkStart w:id="40" w:name="habitat-restoration-opportunities"/>
    <w:p>
      <w:pPr>
        <w:pStyle w:val="Heading3"/>
      </w:pPr>
      <w:r>
        <w:t xml:space="preserve">Habitat restoration opportunities</w:t>
      </w:r>
    </w:p>
    <w:p>
      <w:pPr>
        <w:pStyle w:val="FirstParagraph"/>
      </w:pPr>
      <w:hyperlink w:anchor="fig-oppmap">
        <w:r>
          <w:rPr>
            <w:rStyle w:val="Hyperlink"/>
          </w:rPr>
          <w:t xml:space="preserve">Figure 4</w:t>
        </w:r>
      </w:hyperlink>
    </w:p>
    <w:p>
      <w:pPr>
        <w:pStyle w:val="BodyText"/>
      </w:pPr>
      <w:r>
        <w:t xml:space="preserve">In 2017, 1,555 km</w:t>
      </w:r>
      <w:r>
        <w:rPr>
          <w:vertAlign w:val="superscript"/>
        </w:rPr>
        <w:t xml:space="preserve">2</w:t>
      </w:r>
      <w:r>
        <w:t xml:space="preserve"> </w:t>
      </w:r>
      <w:r>
        <w:t xml:space="preserve">of land (26.5%) in the Tampa Bay watershed above the MLLW line was classified as natural and 2,144 km</w:t>
      </w:r>
      <w:r>
        <w:rPr>
          <w:vertAlign w:val="superscript"/>
        </w:rPr>
        <w:t xml:space="preserve">2</w:t>
      </w:r>
      <w:r>
        <w:t xml:space="preserve"> </w:t>
      </w:r>
      <w:r>
        <w:t xml:space="preserve">(37%) was considered restorable. Developed areas in the Tampa Bay watershed encompassed 2,172 km</w:t>
      </w:r>
      <w:r>
        <w:rPr>
          <w:vertAlign w:val="superscript"/>
        </w:rPr>
        <w:t xml:space="preserve">2</w:t>
      </w:r>
      <w:r>
        <w:t xml:space="preserve"> </w:t>
      </w:r>
      <w:r>
        <w:t xml:space="preserve">(36.5%) of the 5,872 km</w:t>
      </w:r>
      <w:r>
        <w:rPr>
          <w:vertAlign w:val="superscript"/>
        </w:rPr>
        <w:t xml:space="preserve">2</w:t>
      </w:r>
      <w:r>
        <w:t xml:space="preserve"> </w:t>
      </w:r>
      <w:r>
        <w:t xml:space="preserve">watershed area. Between 2014 and 2017, the developed footprint increased by seven percent (7%, Fig 2).</w:t>
      </w:r>
    </w:p>
    <w:p>
      <w:pPr>
        <w:pStyle w:val="BodyText"/>
      </w:pPr>
      <w:r>
        <w:t xml:space="preserve">The Tampa Bay watershed included a total of 1,260 km</w:t>
      </w:r>
      <w:r>
        <w:rPr>
          <w:vertAlign w:val="superscript"/>
        </w:rPr>
        <w:t xml:space="preserve">2</w:t>
      </w:r>
      <w:r>
        <w:t xml:space="preserve"> </w:t>
      </w:r>
      <w:r>
        <w:t xml:space="preserve">of existing conservation lands, either publicly owned or in conservation easements. However, excluding subtidal areas owned by the State of Florida results in a total of 816 km</w:t>
      </w:r>
      <w:r>
        <w:rPr>
          <w:vertAlign w:val="superscript"/>
        </w:rPr>
        <w:t xml:space="preserve">2</w:t>
      </w:r>
      <w:r>
        <w:t xml:space="preserve"> </w:t>
      </w:r>
      <w:r>
        <w:t xml:space="preserve">of conservation lands, about 13.9% of the watershed area occurring above the MLLW line. (Fig 3). Proposed conservation lands in the Tampa Bay watershed total 1,254 km</w:t>
      </w:r>
      <w:r>
        <w:rPr>
          <w:vertAlign w:val="superscript"/>
        </w:rPr>
        <w:t xml:space="preserve">2</w:t>
      </w:r>
      <w:r>
        <w:t xml:space="preserve">. The mapped proposed conservation lands generally link eastward and provide wildlife connectivity to the larger-scale Florida Wildlife Corridor (Fig 3).</w:t>
      </w:r>
    </w:p>
    <w:p>
      <w:pPr>
        <w:pStyle w:val="BodyText"/>
      </w:pPr>
      <w:r>
        <w:t xml:space="preserve">Reservation lands, from the MLLW line landward to elevation 5-feet (NAVD 88), currently (2017) include 4,622 ha proposed for conservation in the Tampa Bay watershed, with 3,303 ha of native habitats and 1,319 ha of restorable habitats (Fig 1).</w:t>
      </w:r>
    </w:p>
    <w:p>
      <w:pPr>
        <w:pStyle w:val="BodyText"/>
      </w:pPr>
      <w:r>
        <w:t xml:space="preserve">Xeric soils were roughly aggregated in an east-west band through the middle of the watershed (Fig 4). Approximately 2,107 km2 was classified as xeric, while 3,760 km2 was classified as mesic/hydric.</w:t>
      </w:r>
    </w:p>
    <w:p>
      <w:pPr>
        <w:pStyle w:val="BodyText"/>
      </w:pPr>
      <w:hyperlink w:anchor="fig-restmap">
        <w:r>
          <w:rPr>
            <w:rStyle w:val="Hyperlink"/>
          </w:rPr>
          <w:t xml:space="preserve">Figure 5</w:t>
        </w:r>
      </w:hyperlink>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40"/>
    <w:bookmarkStart w:id="41" w:name="establishment-of-goals-and-targets"/>
    <w:p>
      <w:pPr>
        <w:pStyle w:val="Heading3"/>
      </w:pPr>
      <w:r>
        <w:t xml:space="preserve">Establishment of goals and targets</w:t>
      </w:r>
    </w:p>
    <w:p>
      <w:pPr>
        <w:pStyle w:val="FirstParagraph"/>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 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 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 level rise scenarios</w:t>
      </w:r>
      <w:r>
        <w:t xml:space="preserve"> </w:t>
      </w:r>
      <w:r>
        <w:t xml:space="preserve">(Sherwood and Greening, 2014; Geselbracht et al., 2015)</w:t>
      </w:r>
      <w:r>
        <w:t xml:space="preserve">.</w:t>
      </w:r>
    </w:p>
    <w:bookmarkEnd w:id="41"/>
    <w:bookmarkEnd w:id="42"/>
    <w:bookmarkStart w:id="47"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43"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 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 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 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43"/>
    <w:bookmarkStart w:id="44" w:name="habitat-restoration-1"/>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44"/>
    <w:bookmarkStart w:id="45"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 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 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45"/>
    <w:bookmarkStart w:id="46"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6"/>
    <w:bookmarkEnd w:id="47"/>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51" w:name="fig-gisworkflow"/>
          <w:p>
            <w:pPr>
              <w:pStyle w:val="Figure"/>
              <w:jc w:val="center"/>
            </w:pPr>
            <w:r>
              <w:drawing>
                <wp:inline>
                  <wp:extent cx="5943600" cy="6840747"/>
                  <wp:effectExtent b="0" l="0" r="0" t="0"/>
                  <wp:docPr descr="" title="" id="49" name="Picture"/>
                  <a:graphic>
                    <a:graphicData uri="http://schemas.openxmlformats.org/drawingml/2006/picture">
                      <pic:pic>
                        <pic:nvPicPr>
                          <pic:cNvPr descr="figs/gisworkflow.png" id="50" name="Picture"/>
                          <pic:cNvPicPr>
                            <a:picLocks noChangeArrowheads="1" noChangeAspect="1"/>
                          </pic:cNvPicPr>
                        </pic:nvPicPr>
                        <pic:blipFill>
                          <a:blip r:embed="rId48"/>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51"/>
        </w:tc>
      </w:tr>
    </w:tbl>
    <w:p/>
    <w:tbl>
      <w:tblPr>
        <w:tblStyle w:val="Table"/>
        <w:tblW w:type="pct" w:w="5000"/>
        <w:tblLook w:firstRow="0" w:lastRow="0" w:firstColumn="0" w:lastColumn="0" w:noHBand="0" w:noVBand="0" w:val="0000"/>
      </w:tblPr>
      <w:tblGrid>
        <w:gridCol w:w="7920"/>
      </w:tblGrid>
      <w:tr>
        <w:tc>
          <w:tcPr/>
          <w:bookmarkStart w:id="55" w:name="fig-subtchgdatalluv"/>
          <w:p>
            <w:pPr>
              <w:pStyle w:val="Figure"/>
              <w:jc w:val="center"/>
            </w:pPr>
            <w:r>
              <w:drawing>
                <wp:inline>
                  <wp:extent cx="4663745" cy="6755550"/>
                  <wp:effectExtent b="0" l="0" r="0" t="0"/>
                  <wp:docPr descr="" title="" id="53" name="Picture"/>
                  <a:graphic>
                    <a:graphicData uri="http://schemas.openxmlformats.org/drawingml/2006/picture">
                      <pic:pic>
                        <pic:nvPicPr>
                          <pic:cNvPr descr="figs/subtchgdatalluv.png" id="54" name="Picture"/>
                          <pic:cNvPicPr>
                            <a:picLocks noChangeArrowheads="1" noChangeAspect="1"/>
                          </pic:cNvPicPr>
                        </pic:nvPicPr>
                        <pic:blipFill>
                          <a:blip r:embed="rId52"/>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5"/>
        </w:tc>
      </w:tr>
    </w:tbl>
    <w:p/>
    <w:tbl>
      <w:tblPr>
        <w:tblStyle w:val="Table"/>
        <w:tblW w:type="pct" w:w="5000"/>
        <w:tblLook w:firstRow="0" w:lastRow="0" w:firstColumn="0" w:lastColumn="0" w:noHBand="0" w:noVBand="0" w:val="0000"/>
      </w:tblPr>
      <w:tblGrid>
        <w:gridCol w:w="7920"/>
      </w:tblGrid>
      <w:tr>
        <w:tc>
          <w:tcPr/>
          <w:bookmarkStart w:id="59" w:name="fig-chgdatalluv"/>
          <w:p>
            <w:pPr>
              <w:pStyle w:val="Figure"/>
              <w:jc w:val="center"/>
            </w:pPr>
            <w:r>
              <w:drawing>
                <wp:inline>
                  <wp:extent cx="5943600" cy="5940900"/>
                  <wp:effectExtent b="0" l="0" r="0" t="0"/>
                  <wp:docPr descr="" title="" id="57" name="Picture"/>
                  <a:graphic>
                    <a:graphicData uri="http://schemas.openxmlformats.org/drawingml/2006/picture">
                      <pic:pic>
                        <pic:nvPicPr>
                          <pic:cNvPr descr="figs/chgdatalluv.png" id="58" name="Picture"/>
                          <pic:cNvPicPr>
                            <a:picLocks noChangeArrowheads="1" noChangeAspect="1"/>
                          </pic:cNvPicPr>
                        </pic:nvPicPr>
                        <pic:blipFill>
                          <a:blip r:embed="rId56"/>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9"/>
        </w:tc>
      </w:tr>
    </w:tbl>
    <w:p/>
    <w:tbl>
      <w:tblPr>
        <w:tblStyle w:val="Table"/>
        <w:tblW w:type="pct" w:w="5000"/>
        <w:tblLook w:firstRow="0" w:lastRow="0" w:firstColumn="0" w:lastColumn="0" w:noHBand="0" w:noVBand="0" w:val="0000"/>
      </w:tblPr>
      <w:tblGrid>
        <w:gridCol w:w="7920"/>
      </w:tblGrid>
      <w:tr>
        <w:tc>
          <w:tcPr/>
          <w:bookmarkStart w:id="63" w:name="fig-oppmap"/>
          <w:p>
            <w:pPr>
              <w:pStyle w:val="Figure"/>
              <w:jc w:val="center"/>
            </w:pPr>
            <w:r>
              <w:drawing>
                <wp:inline>
                  <wp:extent cx="5943600" cy="3714749"/>
                  <wp:effectExtent b="0" l="0" r="0" t="0"/>
                  <wp:docPr descr="" title="" id="61" name="Picture"/>
                  <a:graphic>
                    <a:graphicData uri="http://schemas.openxmlformats.org/drawingml/2006/picture">
                      <pic:pic>
                        <pic:nvPicPr>
                          <pic:cNvPr descr="figs/oppmap.png" id="62" name="Picture"/>
                          <pic:cNvPicPr>
                            <a:picLocks noChangeArrowheads="1" noChangeAspect="1"/>
                          </pic:cNvPicPr>
                        </pic:nvPicPr>
                        <pic:blipFill>
                          <a:blip r:embed="rId60"/>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Opportunity areas for habitat conservation and reservation in the Tampa Bay watershed. Green indicates existing conservation, blue indicates proposed conservation, and pink indicates reservations opportunities. Each category is also grouped into native and restorable habitats.</w:t>
            </w:r>
          </w:p>
          <w:bookmarkEnd w:id="63"/>
        </w:tc>
      </w:tr>
    </w:tbl>
    <w:p/>
    <w:tbl>
      <w:tblPr>
        <w:tblStyle w:val="Table"/>
        <w:tblW w:type="pct" w:w="5000"/>
        <w:tblLook w:firstRow="0" w:lastRow="0" w:firstColumn="0" w:lastColumn="0" w:noHBand="0" w:noVBand="0" w:val="0000"/>
      </w:tblPr>
      <w:tblGrid>
        <w:gridCol w:w="7920"/>
      </w:tblGrid>
      <w:tr>
        <w:tc>
          <w:tcPr/>
          <w:bookmarkStart w:id="67" w:name="fig-restmap"/>
          <w:p>
            <w:pPr>
              <w:pStyle w:val="Figure"/>
              <w:jc w:val="center"/>
            </w:pPr>
            <w:r>
              <w:drawing>
                <wp:inline>
                  <wp:extent cx="5943600" cy="3714749"/>
                  <wp:effectExtent b="0" l="0" r="0" t="0"/>
                  <wp:docPr descr="" title="" id="65" name="Picture"/>
                  <a:graphic>
                    <a:graphicData uri="http://schemas.openxmlformats.org/drawingml/2006/picture">
                      <pic:pic>
                        <pic:nvPicPr>
                          <pic:cNvPr descr="figs/restmap.png" id="66" name="Picture"/>
                          <pic:cNvPicPr>
                            <a:picLocks noChangeArrowheads="1" noChangeAspect="1"/>
                          </pic:cNvPicPr>
                        </pic:nvPicPr>
                        <pic:blipFill>
                          <a:blip r:embed="rId64"/>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w:t>
            </w:r>
          </w:p>
          <w:bookmarkEnd w:id="67"/>
        </w:tc>
      </w:tr>
    </w:tbl>
    <w:bookmarkEnd w:id="68"/>
    <w:bookmarkStart w:id="69" w:name="tables"/>
    <w:p>
      <w:pPr>
        <w:pStyle w:val="Heading2"/>
      </w:pPr>
      <w:r>
        <w:t xml:space="preserve">Tables</w:t>
      </w:r>
    </w:p>
    <w:p>
      <w:pPr>
        <w:pStyle w:val=""/>
      </w:pPr>
      <w:r>
        <w:rPr>
          <w:rFonts/>
          <w:b w:val="true"/>
        </w:rPr>
        <w:t xml:space="preserve">Table</w:t>
      </w:r>
      <w:bookmarkStart w:id="a0bc4942-48db-4f16-b83a-04c8cfe062d3"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0bc4942-48db-4f16-b83a-04c8cfe062d3"/>
      <w:r>
        <w:t xml:space="preserve">:</w:t>
      </w:r>
      <w:r>
        <w:t xml:space="preserve">Change over time in hectares for subtidal habitats in Tampa Bay. Coluns show years with available data and the final two columns how the change in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pPr>
        <w:pStyle w:val="BodyText"/>
      </w:pPr>
      <w:r>
        <w:t xml:space="preserve">Table 2: Land use change table</w:t>
      </w:r>
    </w:p>
    <w:p>
      <w:pPr>
        <w:pStyle w:val="BodyText"/>
      </w:pPr>
      <w:r>
        <w:t xml:space="preserve">Table 3: Summary of the opportunity assessment analysis</w:t>
      </w:r>
    </w:p>
    <w:p>
      <w:pPr>
        <w:pStyle w:val="BodyText"/>
      </w:pPr>
      <w:r>
        <w:t xml:space="preserve">Table 4: Targets</w:t>
      </w:r>
    </w:p>
    <w:bookmarkEnd w:id="69"/>
    <w:bookmarkStart w:id="205" w:name="references"/>
    <w:p>
      <w:pPr>
        <w:pStyle w:val="Heading2"/>
      </w:pPr>
      <w:r>
        <w:t xml:space="preserve">References</w:t>
      </w:r>
    </w:p>
    <w:bookmarkStart w:id="204" w:name="refs"/>
    <w:bookmarkStart w:id="71" w:name="ref-Arnell15"/>
    <w:p>
      <w:pPr>
        <w:pStyle w:val="Bibliography"/>
      </w:pPr>
      <w:r>
        <w:t xml:space="preserve">Arnell, N. W., Halliday, S. J., Battarbee, R. W., Skeffington, R. A., and Wade, A. J. (2015). The implications of climate change for the water environment in</w:t>
      </w:r>
      <w:r>
        <w:t xml:space="preserve"> </w:t>
      </w:r>
      <w:r>
        <w:t xml:space="preserve">E</w:t>
      </w:r>
      <w:r>
        <w:t xml:space="preserve">ngland.</w:t>
      </w:r>
      <w:r>
        <w:t xml:space="preserve"> </w:t>
      </w:r>
      <w:r>
        <w:rPr>
          <w:iCs/>
          <w:i/>
        </w:rPr>
        <w:t xml:space="preserve">Progress in Physical Geography</w:t>
      </w:r>
      <w:r>
        <w:t xml:space="preserve"> </w:t>
      </w:r>
      <w:r>
        <w:t xml:space="preserve">39, 93–120. Available at:</w:t>
      </w:r>
      <w:r>
        <w:t xml:space="preserve"> </w:t>
      </w:r>
      <w:hyperlink r:id="rId70">
        <w:r>
          <w:rPr>
            <w:rStyle w:val="Hyperlink"/>
          </w:rPr>
          <w:t xml:space="preserve">https://doi.org/10.1177/0309133314560369</w:t>
        </w:r>
      </w:hyperlink>
      <w:r>
        <w:t xml:space="preserve">.</w:t>
      </w:r>
    </w:p>
    <w:bookmarkEnd w:id="71"/>
    <w:bookmarkStart w:id="72"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2"/>
    <w:bookmarkStart w:id="74"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3">
        <w:r>
          <w:rPr>
            <w:rStyle w:val="Hyperlink"/>
          </w:rPr>
          <w:t xml:space="preserve">https://doi.org/10.1016/j.ecoser.2020.101179</w:t>
        </w:r>
      </w:hyperlink>
      <w:r>
        <w:t xml:space="preserve">.</w:t>
      </w:r>
    </w:p>
    <w:bookmarkEnd w:id="74"/>
    <w:bookmarkStart w:id="76"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5">
        <w:r>
          <w:rPr>
            <w:rStyle w:val="Hyperlink"/>
          </w:rPr>
          <w:t xml:space="preserve">https://doi.org/10.1007/s11273-017-9565-8</w:t>
        </w:r>
      </w:hyperlink>
      <w:r>
        <w:t xml:space="preserve">.</w:t>
      </w:r>
    </w:p>
    <w:bookmarkEnd w:id="76"/>
    <w:bookmarkStart w:id="77"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7"/>
    <w:bookmarkStart w:id="78"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78"/>
    <w:bookmarkStart w:id="79"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79"/>
    <w:bookmarkStart w:id="80"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0"/>
    <w:bookmarkStart w:id="82"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81">
        <w:r>
          <w:rPr>
            <w:rStyle w:val="Hyperlink"/>
          </w:rPr>
          <w:t xml:space="preserve">https://drive.google.com/file/d/11xohuoaHDxNHRqgXoOHdI37FpWvac_rn/view?usp=sharing</w:t>
        </w:r>
      </w:hyperlink>
      <w:r>
        <w:t xml:space="preserve">.</w:t>
      </w:r>
    </w:p>
    <w:bookmarkEnd w:id="82"/>
    <w:bookmarkStart w:id="84"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3">
        <w:r>
          <w:rPr>
            <w:rStyle w:val="Hyperlink"/>
          </w:rPr>
          <w:t xml:space="preserve">https://drive.google.com/file/d/1c_KTSJ4TgVX9IugnyDadr2Hc0gjAuQg2/view?usp=drivesdk</w:t>
        </w:r>
      </w:hyperlink>
      <w:r>
        <w:t xml:space="preserve">.</w:t>
      </w:r>
    </w:p>
    <w:bookmarkEnd w:id="84"/>
    <w:bookmarkStart w:id="86"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5">
        <w:r>
          <w:rPr>
            <w:rStyle w:val="Hyperlink"/>
          </w:rPr>
          <w:t xml:space="preserve">https://doi.org/10.1371/journal.pone.0132651</w:t>
        </w:r>
      </w:hyperlink>
      <w:r>
        <w:t xml:space="preserve">.</w:t>
      </w:r>
    </w:p>
    <w:bookmarkEnd w:id="86"/>
    <w:bookmarkStart w:id="88"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7">
        <w:r>
          <w:rPr>
            <w:rStyle w:val="Hyperlink"/>
          </w:rPr>
          <w:t xml:space="preserve">https://doi.org/10.1073/pnas.1902181116</w:t>
        </w:r>
      </w:hyperlink>
      <w:r>
        <w:t xml:space="preserve">.</w:t>
      </w:r>
    </w:p>
    <w:bookmarkEnd w:id="88"/>
    <w:bookmarkStart w:id="90"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9">
        <w:r>
          <w:rPr>
            <w:rStyle w:val="Hyperlink"/>
          </w:rPr>
          <w:t xml:space="preserve">https://doi.org/10.1073/pnas.1315800111</w:t>
        </w:r>
      </w:hyperlink>
      <w:r>
        <w:t xml:space="preserve">.</w:t>
      </w:r>
    </w:p>
    <w:bookmarkEnd w:id="90"/>
    <w:bookmarkStart w:id="92"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91">
        <w:r>
          <w:rPr>
            <w:rStyle w:val="Hyperlink"/>
          </w:rPr>
          <w:t xml:space="preserve">https://doi.org/10.1016/j.ecoser.2018.09.004</w:t>
        </w:r>
      </w:hyperlink>
      <w:r>
        <w:t xml:space="preserve">.</w:t>
      </w:r>
    </w:p>
    <w:bookmarkEnd w:id="92"/>
    <w:bookmarkStart w:id="93"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3"/>
    <w:bookmarkStart w:id="94"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4"/>
    <w:bookmarkStart w:id="96"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5">
        <w:r>
          <w:rPr>
            <w:rStyle w:val="Hyperlink"/>
          </w:rPr>
          <w:t xml:space="preserve">https://doi.org/10.1016/j.ecss.2011.10.003</w:t>
        </w:r>
      </w:hyperlink>
      <w:r>
        <w:t xml:space="preserve">.</w:t>
      </w:r>
    </w:p>
    <w:bookmarkEnd w:id="96"/>
    <w:bookmarkStart w:id="98"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7">
        <w:r>
          <w:rPr>
            <w:rStyle w:val="Hyperlink"/>
          </w:rPr>
          <w:t xml:space="preserve">https://doi.org/10.1007/978-1-4020-5095-4</w:t>
        </w:r>
      </w:hyperlink>
      <w:r>
        <w:t xml:space="preserve">.</w:t>
      </w:r>
    </w:p>
    <w:bookmarkEnd w:id="98"/>
    <w:bookmarkStart w:id="99"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9"/>
    <w:bookmarkStart w:id="101"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100">
        <w:r>
          <w:rPr>
            <w:rStyle w:val="Hyperlink"/>
          </w:rPr>
          <w:t xml:space="preserve">https://doi.org/10.1007/s12237-020-00733-0</w:t>
        </w:r>
      </w:hyperlink>
      <w:r>
        <w:t xml:space="preserve">.</w:t>
      </w:r>
    </w:p>
    <w:bookmarkEnd w:id="101"/>
    <w:bookmarkStart w:id="103"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2">
        <w:r>
          <w:rPr>
            <w:rStyle w:val="Hyperlink"/>
          </w:rPr>
          <w:t xml:space="preserve">https://doi.org/10.1007/s12237-008-9111-2</w:t>
        </w:r>
      </w:hyperlink>
      <w:r>
        <w:t xml:space="preserve">.</w:t>
      </w:r>
    </w:p>
    <w:bookmarkEnd w:id="103"/>
    <w:bookmarkStart w:id="105"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4">
        <w:r>
          <w:rPr>
            <w:rStyle w:val="Hyperlink"/>
          </w:rPr>
          <w:t xml:space="preserve">https://doi.org/10.1080/08920750802395558</w:t>
        </w:r>
      </w:hyperlink>
      <w:r>
        <w:t xml:space="preserve">.</w:t>
      </w:r>
    </w:p>
    <w:bookmarkEnd w:id="105"/>
    <w:bookmarkStart w:id="107"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6">
        <w:r>
          <w:rPr>
            <w:rStyle w:val="Hyperlink"/>
          </w:rPr>
          <w:t xml:space="preserve">https://doi.org/10.1201/9780138750308</w:t>
        </w:r>
      </w:hyperlink>
      <w:r>
        <w:t xml:space="preserve">.</w:t>
      </w:r>
    </w:p>
    <w:bookmarkEnd w:id="107"/>
    <w:bookmarkStart w:id="108"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08"/>
    <w:bookmarkStart w:id="109" w:name="ref-EPA96"/>
    <w:p>
      <w:pPr>
        <w:pStyle w:val="Bibliography"/>
      </w:pPr>
      <w:r>
        <w:t xml:space="preserve">Environmental Protection Agency (1996). Watershed approach framework. Office of Water (4501F).</w:t>
      </w:r>
    </w:p>
    <w:bookmarkEnd w:id="109"/>
    <w:bookmarkStart w:id="111"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10">
        <w:r>
          <w:rPr>
            <w:rStyle w:val="Hyperlink"/>
          </w:rPr>
          <w:t xml:space="preserve">https://dx.doi.org/10.3133/ds969</w:t>
        </w:r>
      </w:hyperlink>
      <w:r>
        <w:t xml:space="preserve">.</w:t>
      </w:r>
    </w:p>
    <w:bookmarkEnd w:id="111"/>
    <w:bookmarkStart w:id="113" w:name="ref-Enwright16"/>
    <w:p>
      <w:pPr>
        <w:pStyle w:val="Bibliography"/>
      </w:pPr>
      <w:r>
        <w:t xml:space="preserve">Enwright, N. M., Griffith, K. T., and Osland, M. J. (2016). Barriers to and opportunities for landward migration of coastal wetlands with sea-level rise.</w:t>
      </w:r>
      <w:r>
        <w:t xml:space="preserve"> </w:t>
      </w:r>
      <w:r>
        <w:rPr>
          <w:iCs/>
          <w:i/>
        </w:rPr>
        <w:t xml:space="preserve">Frontiers in Ecology and the Environment</w:t>
      </w:r>
      <w:r>
        <w:t xml:space="preserve"> </w:t>
      </w:r>
      <w:r>
        <w:t xml:space="preserve">14, 307–316. Available at:</w:t>
      </w:r>
      <w:r>
        <w:t xml:space="preserve"> </w:t>
      </w:r>
      <w:hyperlink r:id="rId112">
        <w:r>
          <w:rPr>
            <w:rStyle w:val="Hyperlink"/>
          </w:rPr>
          <w:t xml:space="preserve">https://doi.org/10.1002/fee.1282</w:t>
        </w:r>
      </w:hyperlink>
      <w:r>
        <w:t xml:space="preserve">.</w:t>
      </w:r>
    </w:p>
    <w:bookmarkEnd w:id="113"/>
    <w:bookmarkStart w:id="114"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14"/>
    <w:bookmarkStart w:id="115"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5"/>
    <w:bookmarkStart w:id="117" w:name="ref-Garner15"/>
    <w:p>
      <w:pPr>
        <w:pStyle w:val="Bibliography"/>
      </w:pPr>
      <w:r>
        <w:t xml:space="preserve">Garner, K. L., Chang, M. Y., Fulda, M. T., Berlin, J. A., Freed, R. E., Soo-Hoo, M. M., et al. (2015). Impacts of sea level rise and climate change on coastal plant species in the central</w:t>
      </w:r>
      <w:r>
        <w:t xml:space="preserve"> </w:t>
      </w:r>
      <w:r>
        <w:t xml:space="preserve">C</w:t>
      </w:r>
      <w:r>
        <w:t xml:space="preserve">alifornia coast.</w:t>
      </w:r>
      <w:r>
        <w:t xml:space="preserve"> </w:t>
      </w:r>
      <w:r>
        <w:rPr>
          <w:iCs/>
          <w:i/>
        </w:rPr>
        <w:t xml:space="preserve">PeerJ</w:t>
      </w:r>
      <w:r>
        <w:t xml:space="preserve"> </w:t>
      </w:r>
      <w:r>
        <w:t xml:space="preserve">3, e958. Available at:</w:t>
      </w:r>
      <w:r>
        <w:t xml:space="preserve"> </w:t>
      </w:r>
      <w:hyperlink r:id="rId116">
        <w:r>
          <w:rPr>
            <w:rStyle w:val="Hyperlink"/>
          </w:rPr>
          <w:t xml:space="preserve">https://doi.org/10.7717/peerj.958</w:t>
        </w:r>
      </w:hyperlink>
      <w:r>
        <w:t xml:space="preserve">.</w:t>
      </w:r>
    </w:p>
    <w:bookmarkEnd w:id="117"/>
    <w:bookmarkStart w:id="119"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18">
        <w:r>
          <w:rPr>
            <w:rStyle w:val="Hyperlink"/>
          </w:rPr>
          <w:t xml:space="preserve">https://doi.org/10.1371/journal.pone.0132079</w:t>
        </w:r>
      </w:hyperlink>
      <w:r>
        <w:t xml:space="preserve">.</w:t>
      </w:r>
    </w:p>
    <w:bookmarkEnd w:id="119"/>
    <w:bookmarkStart w:id="120"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20"/>
    <w:bookmarkStart w:id="121" w:name="ref-Griffen05"/>
    <w:p>
      <w:pPr>
        <w:pStyle w:val="Bibliography"/>
      </w:pPr>
      <w:r>
        <w:t xml:space="preserve">Griffen, L., and Greening, H. (2005).</w:t>
      </w:r>
      <w:r>
        <w:t xml:space="preserve"> </w:t>
      </w:r>
      <w:r>
        <w:t xml:space="preserve">T</w:t>
      </w:r>
      <w:r>
        <w:t xml:space="preserve">ampa</w:t>
      </w:r>
      <w:r>
        <w:t xml:space="preserve"> </w:t>
      </w:r>
      <w:r>
        <w:t xml:space="preserve">B</w:t>
      </w:r>
      <w:r>
        <w:t xml:space="preserve">ay dredged hole habitat assessment project. Tampa Bay Estuary Program, St. Petersburg, Florida.</w:t>
      </w:r>
    </w:p>
    <w:bookmarkEnd w:id="121"/>
    <w:bookmarkStart w:id="122"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22"/>
    <w:bookmarkStart w:id="123"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23"/>
    <w:bookmarkStart w:id="124"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24"/>
    <w:bookmarkStart w:id="125"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25"/>
    <w:bookmarkStart w:id="127"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6">
        <w:r>
          <w:rPr>
            <w:rStyle w:val="Hyperlink"/>
          </w:rPr>
          <w:t xml:space="preserve">https://doi.org/10.1046/j.1526-100x.2000.80037.x</w:t>
        </w:r>
      </w:hyperlink>
      <w:r>
        <w:t xml:space="preserve">.</w:t>
      </w:r>
    </w:p>
    <w:bookmarkEnd w:id="127"/>
    <w:bookmarkStart w:id="128"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8"/>
    <w:bookmarkStart w:id="130"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9">
        <w:r>
          <w:rPr>
            <w:rStyle w:val="Hyperlink"/>
          </w:rPr>
          <w:t xml:space="preserve">https://doi.org/10.2307/1352488</w:t>
        </w:r>
      </w:hyperlink>
      <w:r>
        <w:t xml:space="preserve">.</w:t>
      </w:r>
    </w:p>
    <w:bookmarkEnd w:id="130"/>
    <w:bookmarkStart w:id="131"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31"/>
    <w:bookmarkStart w:id="133" w:name="ref-Hughes11"/>
    <w:p>
      <w:pPr>
        <w:pStyle w:val="Bibliography"/>
      </w:pPr>
      <w:r>
        <w:t xml:space="preserve">Hughes, F. M. R., Stroh, P. A., Adams, W. M., Kirby, K. J., Mountford, J. O., and Warrington, S. (2011). Monitoring and evaluating large-scale, ’open-ended’ habitat creation projects: A journey rather than a destination.</w:t>
      </w:r>
      <w:r>
        <w:t xml:space="preserve"> </w:t>
      </w:r>
      <w:r>
        <w:rPr>
          <w:iCs/>
          <w:i/>
        </w:rPr>
        <w:t xml:space="preserve">Journal for Nature Conservation</w:t>
      </w:r>
      <w:r>
        <w:t xml:space="preserve"> </w:t>
      </w:r>
      <w:r>
        <w:t xml:space="preserve">19, 245–253. Available at:</w:t>
      </w:r>
      <w:r>
        <w:t xml:space="preserve"> </w:t>
      </w:r>
      <w:hyperlink r:id="rId132">
        <w:r>
          <w:rPr>
            <w:rStyle w:val="Hyperlink"/>
          </w:rPr>
          <w:t xml:space="preserve">https://doi.org/10.1016/j.jnc.2011.02.003</w:t>
        </w:r>
      </w:hyperlink>
      <w:r>
        <w:t xml:space="preserve">.</w:t>
      </w:r>
    </w:p>
    <w:bookmarkEnd w:id="133"/>
    <w:bookmarkStart w:id="135" w:name="ref-Iwamura13"/>
    <w:p>
      <w:pPr>
        <w:pStyle w:val="Bibliography"/>
      </w:pPr>
      <w:r>
        <w:t xml:space="preserve">Iwamura, T., Possingham, H. P., Chadés, I., Minton, C., Murray, N. J., Rogers, D. I., et al. (2013). Migratory connectivity magnifies the consequences of habitat loss from sea-level rise for shorebird populations.</w:t>
      </w:r>
      <w:r>
        <w:t xml:space="preserve"> </w:t>
      </w:r>
      <w:r>
        <w:rPr>
          <w:iCs/>
          <w:i/>
        </w:rPr>
        <w:t xml:space="preserve">Proceedings of the Royal Society B: Biological Sciences</w:t>
      </w:r>
      <w:r>
        <w:t xml:space="preserve"> </w:t>
      </w:r>
      <w:r>
        <w:t xml:space="preserve">280. Available at:</w:t>
      </w:r>
      <w:r>
        <w:t xml:space="preserve"> </w:t>
      </w:r>
      <w:hyperlink r:id="rId134">
        <w:r>
          <w:rPr>
            <w:rStyle w:val="Hyperlink"/>
          </w:rPr>
          <w:t xml:space="preserve">https://doi.org/10.1098/rspb.2013.0325</w:t>
        </w:r>
      </w:hyperlink>
      <w:r>
        <w:t xml:space="preserve">.</w:t>
      </w:r>
    </w:p>
    <w:bookmarkEnd w:id="135"/>
    <w:bookmarkStart w:id="136"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36"/>
    <w:bookmarkStart w:id="137"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7"/>
    <w:bookmarkStart w:id="138"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8"/>
    <w:bookmarkStart w:id="139"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39"/>
    <w:bookmarkStart w:id="140"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40"/>
    <w:bookmarkStart w:id="141" w:name="ref-Lamb18"/>
    <w:p>
      <w:pPr>
        <w:pStyle w:val="Bibliography"/>
      </w:pPr>
      <w:r>
        <w:t xml:space="preserve">Lamb, D. (2018). Undertaking large-scale forest restoration to generate ecosystem services.</w:t>
      </w:r>
      <w:r>
        <w:t xml:space="preserve"> </w:t>
      </w:r>
      <w:r>
        <w:rPr>
          <w:iCs/>
          <w:i/>
        </w:rPr>
        <w:t xml:space="preserve">Restoration Ecology</w:t>
      </w:r>
      <w:r>
        <w:t xml:space="preserve"> </w:t>
      </w:r>
      <w:r>
        <w:t xml:space="preserve">26, 657–666.</w:t>
      </w:r>
    </w:p>
    <w:bookmarkEnd w:id="141"/>
    <w:bookmarkStart w:id="142"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42"/>
    <w:bookmarkStart w:id="144"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43">
        <w:r>
          <w:rPr>
            <w:rStyle w:val="Hyperlink"/>
          </w:rPr>
          <w:t xml:space="preserve">https://doi.org/10.1016/j.ecoser.2018.09.005</w:t>
        </w:r>
      </w:hyperlink>
      <w:r>
        <w:t xml:space="preserve">.</w:t>
      </w:r>
    </w:p>
    <w:bookmarkEnd w:id="144"/>
    <w:bookmarkStart w:id="145"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45"/>
    <w:bookmarkStart w:id="146"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46"/>
    <w:bookmarkStart w:id="148"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47">
        <w:r>
          <w:rPr>
            <w:rStyle w:val="Hyperlink"/>
          </w:rPr>
          <w:t xml:space="preserve">https://doi.org/10.1111/j.1752-1688.2005.tb03712.x</w:t>
        </w:r>
      </w:hyperlink>
      <w:r>
        <w:t xml:space="preserve">.</w:t>
      </w:r>
    </w:p>
    <w:bookmarkEnd w:id="148"/>
    <w:bookmarkStart w:id="149"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9"/>
    <w:bookmarkStart w:id="151" w:name="ref-Nerem18"/>
    <w:p>
      <w:pPr>
        <w:pStyle w:val="Bibliography"/>
      </w:pPr>
      <w:r>
        <w:t xml:space="preserve">Nerem, R. S., Beckley, B. D., Fasullo, J. T., Hamlington, B. D., Masters, D., and Mitchum, G. T. (2018). Climate-change driven accelerated sea-level rise.</w:t>
      </w:r>
      <w:r>
        <w:t xml:space="preserve"> </w:t>
      </w:r>
      <w:r>
        <w:rPr>
          <w:iCs/>
          <w:i/>
        </w:rPr>
        <w:t xml:space="preserve">Proceedings of the National Academy of Sciences</w:t>
      </w:r>
      <w:r>
        <w:t xml:space="preserve"> </w:t>
      </w:r>
      <w:r>
        <w:t xml:space="preserve">115, 2022–2025. Available at:</w:t>
      </w:r>
      <w:r>
        <w:t xml:space="preserve"> </w:t>
      </w:r>
      <w:hyperlink r:id="rId150">
        <w:r>
          <w:rPr>
            <w:rStyle w:val="Hyperlink"/>
          </w:rPr>
          <w:t xml:space="preserve">https://doi.org/10.1073/pnas.1717312115</w:t>
        </w:r>
      </w:hyperlink>
      <w:r>
        <w:t xml:space="preserve">.</w:t>
      </w:r>
    </w:p>
    <w:bookmarkEnd w:id="151"/>
    <w:bookmarkStart w:id="152" w:name="ref-OKeife06"/>
    <w:p>
      <w:pPr>
        <w:pStyle w:val="Bibliography"/>
      </w:pPr>
      <w:r>
        <w:t xml:space="preserve">O’Keife, K. W., Arnold, D., and Reed, D. (2006).</w:t>
      </w:r>
      <w:r>
        <w:t xml:space="preserve"> </w:t>
      </w:r>
      <w:r>
        <w:t xml:space="preserve">T</w:t>
      </w:r>
      <w:r>
        <w:t xml:space="preserve">ampa</w:t>
      </w:r>
      <w:r>
        <w:t xml:space="preserve"> </w:t>
      </w:r>
      <w:r>
        <w:t xml:space="preserve">B</w:t>
      </w:r>
      <w:r>
        <w:t xml:space="preserve">ay oyster bar mapping and assessment: Final report to</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52"/>
    <w:bookmarkStart w:id="153"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53"/>
    <w:bookmarkStart w:id="155"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54">
        <w:r>
          <w:rPr>
            <w:rStyle w:val="Hyperlink"/>
          </w:rPr>
          <w:t xml:space="preserve">https://doi.org/10.1007/s10021-012-9551-1</w:t>
        </w:r>
      </w:hyperlink>
      <w:r>
        <w:t xml:space="preserve">.</w:t>
      </w:r>
    </w:p>
    <w:bookmarkEnd w:id="155"/>
    <w:bookmarkStart w:id="157"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56">
        <w:r>
          <w:rPr>
            <w:rStyle w:val="Hyperlink"/>
          </w:rPr>
          <w:t xml:space="preserve">https://doi.org/10.1007/s12237-008-9129-5</w:t>
        </w:r>
      </w:hyperlink>
      <w:r>
        <w:t xml:space="preserve">.</w:t>
      </w:r>
    </w:p>
    <w:bookmarkEnd w:id="157"/>
    <w:bookmarkStart w:id="158" w:name="ref-Price17"/>
    <w:p>
      <w:pPr>
        <w:pStyle w:val="Bibliography"/>
      </w:pPr>
      <w:r>
        <w:t xml:space="preserve">Price, R., Loy, D., and Robison, D. (2017). Critical coastal habitat assessment: Baseline monitoring report. Tampa Bay Estuary Program, St. Petersburg, Florida.</w:t>
      </w:r>
    </w:p>
    <w:bookmarkEnd w:id="158"/>
    <w:bookmarkStart w:id="160"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9">
        <w:r>
          <w:rPr>
            <w:rStyle w:val="Hyperlink"/>
          </w:rPr>
          <w:t xml:space="preserve">https://doi.org/10.1007/s12237-012-9503-1</w:t>
        </w:r>
      </w:hyperlink>
      <w:r>
        <w:t xml:space="preserve">.</w:t>
      </w:r>
    </w:p>
    <w:bookmarkEnd w:id="160"/>
    <w:bookmarkStart w:id="161" w:name="ref-Raulerson19"/>
    <w:p>
      <w:pPr>
        <w:pStyle w:val="Bibliography"/>
      </w:pPr>
      <w:r>
        <w:t xml:space="preserve">Raulerson, G., Hershorin, A., Karlen, D., MacDonald, T., and Tyler-Jedlund, A. (2019).</w:t>
      </w:r>
      <w:r>
        <w:t xml:space="preserve"> </w:t>
      </w:r>
      <w:r>
        <w:t xml:space="preserve">T</w:t>
      </w:r>
      <w:r>
        <w:t xml:space="preserve">ampa</w:t>
      </w:r>
      <w:r>
        <w:t xml:space="preserve"> </w:t>
      </w:r>
      <w:r>
        <w:t xml:space="preserve">B</w:t>
      </w:r>
      <w:r>
        <w:t xml:space="preserve">ay dredged hole assessment and management recommendations: 2019 synthesis report, final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Tampa Bay Estuary Program, St. Petersburg, Florida.</w:t>
      </w:r>
    </w:p>
    <w:bookmarkEnd w:id="161"/>
    <w:bookmarkStart w:id="162"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62"/>
    <w:bookmarkStart w:id="163"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63"/>
    <w:bookmarkStart w:id="164"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64"/>
    <w:bookmarkStart w:id="165"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65"/>
    <w:bookmarkStart w:id="167"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66">
        <w:r>
          <w:rPr>
            <w:rStyle w:val="Hyperlink"/>
          </w:rPr>
          <w:t xml:space="preserve">https://drive.google.com/file/d/1Hp0l_qtbxp1JxKJoGatdyuANSzQrpL0I/view?usp=drivesdk</w:t>
        </w:r>
      </w:hyperlink>
      <w:r>
        <w:t xml:space="preserve">.</w:t>
      </w:r>
    </w:p>
    <w:bookmarkEnd w:id="167"/>
    <w:bookmarkStart w:id="169"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68">
        <w:r>
          <w:rPr>
            <w:rStyle w:val="Hyperlink"/>
          </w:rPr>
          <w:t xml:space="preserve">https://doi.org/10.1007/s12237-013-9662-8</w:t>
        </w:r>
      </w:hyperlink>
      <w:r>
        <w:t xml:space="preserve">.</w:t>
      </w:r>
    </w:p>
    <w:bookmarkEnd w:id="169"/>
    <w:bookmarkStart w:id="171" w:name="ref-Scavia02"/>
    <w:p>
      <w:pPr>
        <w:pStyle w:val="Bibliography"/>
      </w:pPr>
      <w:r>
        <w:t xml:space="preserve">Scavia, D., Field, J. C., Boesch, D. F., Buddemeier, R. W., Burkett, V., Cayan, D. R., et al. (2002). Climate change impacts on</w:t>
      </w:r>
      <w:r>
        <w:t xml:space="preserve"> </w:t>
      </w:r>
      <w:r>
        <w:t xml:space="preserve">U.S.</w:t>
      </w:r>
      <w:r>
        <w:t xml:space="preserve"> </w:t>
      </w:r>
      <w:r>
        <w:t xml:space="preserve">Coastal and marine ecosystems.</w:t>
      </w:r>
      <w:r>
        <w:t xml:space="preserve"> </w:t>
      </w:r>
      <w:r>
        <w:rPr>
          <w:iCs/>
          <w:i/>
        </w:rPr>
        <w:t xml:space="preserve">Estuaries</w:t>
      </w:r>
      <w:r>
        <w:t xml:space="preserve"> </w:t>
      </w:r>
      <w:r>
        <w:t xml:space="preserve">25, 149–164. Available at:</w:t>
      </w:r>
      <w:r>
        <w:t xml:space="preserve"> </w:t>
      </w:r>
      <w:hyperlink r:id="rId170">
        <w:r>
          <w:rPr>
            <w:rStyle w:val="Hyperlink"/>
          </w:rPr>
          <w:t xml:space="preserve">https://doi.org/10.1007/BF02691304</w:t>
        </w:r>
      </w:hyperlink>
      <w:r>
        <w:t xml:space="preserve">.</w:t>
      </w:r>
    </w:p>
    <w:bookmarkEnd w:id="171"/>
    <w:bookmarkStart w:id="172" w:name="ref-Sheehan16"/>
    <w:p>
      <w:pPr>
        <w:pStyle w:val="Bibliography"/>
      </w:pPr>
      <w:r>
        <w:t xml:space="preserve">Sheehan, L., Crooks, D., Robison, D., and Tomasko, D. (2016).</w:t>
      </w:r>
      <w:r>
        <w:t xml:space="preserve"> </w:t>
      </w:r>
      <w:r>
        <w:t xml:space="preserve">T</w:t>
      </w:r>
      <w:r>
        <w:t xml:space="preserve">ampa</w:t>
      </w:r>
      <w:r>
        <w:t xml:space="preserve"> </w:t>
      </w:r>
      <w:r>
        <w:t xml:space="preserve">B</w:t>
      </w:r>
      <w:r>
        <w:t xml:space="preserve">ay blue carbon assessment: Summary of findings.</w:t>
      </w:r>
      <w:r>
        <w:t xml:space="preserve"> </w:t>
      </w:r>
      <w:r>
        <w:t xml:space="preserve">F</w:t>
      </w:r>
      <w:r>
        <w:t xml:space="preserve">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(2014) for</w:t>
      </w:r>
      <w:r>
        <w:t xml:space="preserve"> </w:t>
      </w:r>
      <w:r>
        <w:t xml:space="preserve">R</w:t>
      </w:r>
      <w:r>
        <w:t xml:space="preserve">estore</w:t>
      </w:r>
      <w:r>
        <w:t xml:space="preserve"> </w:t>
      </w:r>
      <w:r>
        <w:t xml:space="preserve">A</w:t>
      </w:r>
      <w:r>
        <w:t xml:space="preserve">merica’s</w:t>
      </w:r>
      <w:r>
        <w:t xml:space="preserve"> </w:t>
      </w:r>
      <w:r>
        <w:t xml:space="preserve">E</w:t>
      </w:r>
      <w:r>
        <w:t xml:space="preserve">stuaries. Tampa Bay Estuary Program, St. Petersburg, Florida.</w:t>
      </w:r>
    </w:p>
    <w:bookmarkEnd w:id="172"/>
    <w:bookmarkStart w:id="173"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73"/>
    <w:bookmarkStart w:id="175"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74">
        <w:r>
          <w:rPr>
            <w:rStyle w:val="Hyperlink"/>
          </w:rPr>
          <w:t xml:space="preserve">https://doi.org/10.1007/s00267-013-0179-5</w:t>
        </w:r>
      </w:hyperlink>
      <w:r>
        <w:t xml:space="preserve">.</w:t>
      </w:r>
    </w:p>
    <w:bookmarkEnd w:id="175"/>
    <w:bookmarkStart w:id="176"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76"/>
    <w:bookmarkStart w:id="177"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77"/>
    <w:bookmarkStart w:id="179"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78">
        <w:r>
          <w:rPr>
            <w:rStyle w:val="Hyperlink"/>
          </w:rPr>
          <w:t xml:space="preserve">https://doi.org/10.1002/eap.1722</w:t>
        </w:r>
      </w:hyperlink>
      <w:r>
        <w:t xml:space="preserve">.</w:t>
      </w:r>
    </w:p>
    <w:bookmarkEnd w:id="179"/>
    <w:bookmarkStart w:id="180" w:name="ref-SWFWMD14"/>
    <w:p>
      <w:pPr>
        <w:pStyle w:val="Bibliography"/>
      </w:pPr>
      <w:r>
        <w:t xml:space="preserve">Southwest Florida Water Management District (2014). Photo interpretation key for land use classification.</w:t>
      </w:r>
    </w:p>
    <w:bookmarkEnd w:id="180"/>
    <w:bookmarkStart w:id="182" w:name="ref-SWFWMD18"/>
    <w:p>
      <w:pPr>
        <w:pStyle w:val="Bibliography"/>
      </w:pPr>
      <w:r>
        <w:t xml:space="preserve">Southwest Florida Water Management District (2018). Land use land cover data. c1990-2017. Available at:</w:t>
      </w:r>
      <w:r>
        <w:t xml:space="preserve"> </w:t>
      </w:r>
      <w:hyperlink r:id="rId181">
        <w:r>
          <w:rPr>
            <w:rStyle w:val="Hyperlink"/>
          </w:rPr>
          <w:t xml:space="preserve">https://data-swfwmd.opendata.arcgis.com/</w:t>
        </w:r>
      </w:hyperlink>
      <w:r>
        <w:t xml:space="preserve">.</w:t>
      </w:r>
    </w:p>
    <w:bookmarkEnd w:id="182"/>
    <w:bookmarkStart w:id="184" w:name="ref-SWFWMD19"/>
    <w:p>
      <w:pPr>
        <w:pStyle w:val="Bibliography"/>
      </w:pPr>
      <w:r>
        <w:t xml:space="preserve">Southwest Florida Water Management District (2019). Seagrass in 2018. Available at:</w:t>
      </w:r>
      <w:r>
        <w:t xml:space="preserve"> </w:t>
      </w:r>
      <w:hyperlink r:id="rId183">
        <w:r>
          <w:rPr>
            <w:rStyle w:val="Hyperlink"/>
          </w:rPr>
          <w:t xml:space="preserve">https://data-swfwmd.opendata.arcgis.com/datasets/seagrass-in-2018</w:t>
        </w:r>
      </w:hyperlink>
      <w:r>
        <w:t xml:space="preserve">.</w:t>
      </w:r>
    </w:p>
    <w:bookmarkEnd w:id="184"/>
    <w:bookmarkStart w:id="185" w:name="ref-Spalding07"/>
    <w:p>
      <w:pPr>
        <w:pStyle w:val="Bibliography"/>
      </w:pPr>
      <w:r>
        <w:t xml:space="preserve">Spalding, E. A., and Hester, M. W. (2007). Interactive effects of hydrology and salinity on oligohaline plant species productivity: Implications of relative sea-level rise.</w:t>
      </w:r>
      <w:r>
        <w:t xml:space="preserve"> </w:t>
      </w:r>
      <w:r>
        <w:rPr>
          <w:iCs/>
          <w:i/>
        </w:rPr>
        <w:t xml:space="preserve">Estuaries and Coasts</w:t>
      </w:r>
      <w:r>
        <w:t xml:space="preserve"> </w:t>
      </w:r>
      <w:r>
        <w:t xml:space="preserve">30, 214–225.</w:t>
      </w:r>
    </w:p>
    <w:bookmarkEnd w:id="185"/>
    <w:bookmarkStart w:id="186"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86"/>
    <w:bookmarkStart w:id="188"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87">
        <w:r>
          <w:rPr>
            <w:rStyle w:val="Hyperlink"/>
          </w:rPr>
          <w:t xml:space="preserve">https://doi.org/10.1016/j.geoderma.2013.10.007</w:t>
        </w:r>
      </w:hyperlink>
      <w:r>
        <w:t xml:space="preserve">.</w:t>
      </w:r>
    </w:p>
    <w:bookmarkEnd w:id="188"/>
    <w:bookmarkStart w:id="189" w:name="ref-Stout84"/>
    <w:p>
      <w:pPr>
        <w:pStyle w:val="Bibliography"/>
      </w:pPr>
      <w:r>
        <w:t xml:space="preserve">Stout, J. P. (1984). Ecology of irregularly flooded salt marshes of the northeastern</w:t>
      </w:r>
      <w:r>
        <w:t xml:space="preserve"> </w:t>
      </w:r>
      <w:r>
        <w:t xml:space="preserve">G</w:t>
      </w:r>
      <w:r>
        <w:t xml:space="preserve">ulf of</w:t>
      </w:r>
      <w:r>
        <w:t xml:space="preserve"> </w:t>
      </w:r>
      <w:r>
        <w:t xml:space="preserve">M</w:t>
      </w:r>
      <w:r>
        <w:t xml:space="preserve">exico: A community profile. National Coastal Ecosystems Team, Division of Biological Services, Research; Development, Fish; Wildlife Service, U.S. Department of the Interior.</w:t>
      </w:r>
    </w:p>
    <w:bookmarkEnd w:id="189"/>
    <w:bookmarkStart w:id="191"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90">
        <w:r>
          <w:rPr>
            <w:rStyle w:val="Hyperlink"/>
          </w:rPr>
          <w:t xml:space="preserve">https://doi.org/10.1016/S0169-2046(97)00041-8</w:t>
        </w:r>
      </w:hyperlink>
      <w:r>
        <w:t xml:space="preserve">.</w:t>
      </w:r>
    </w:p>
    <w:bookmarkEnd w:id="191"/>
    <w:bookmarkStart w:id="193"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92">
        <w:r>
          <w:rPr>
            <w:rStyle w:val="Hyperlink"/>
          </w:rPr>
          <w:t xml:space="preserve">https://doi.org/10.1088/1748-9326/4/4/044008</w:t>
        </w:r>
      </w:hyperlink>
      <w:r>
        <w:t xml:space="preserve">.</w:t>
      </w:r>
    </w:p>
    <w:bookmarkEnd w:id="193"/>
    <w:bookmarkStart w:id="195"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94">
        <w:r>
          <w:rPr>
            <w:rStyle w:val="Hyperlink"/>
          </w:rPr>
          <w:t xml:space="preserve">https://doi.org/10.1016/j.marpolbul.2020.111247</w:t>
        </w:r>
      </w:hyperlink>
      <w:r>
        <w:t xml:space="preserve">.</w:t>
      </w:r>
    </w:p>
    <w:bookmarkEnd w:id="195"/>
    <w:bookmarkStart w:id="197"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96">
        <w:r>
          <w:rPr>
            <w:rStyle w:val="Hyperlink"/>
          </w:rPr>
          <w:t xml:space="preserve">https://doi.org/10.1016/j.rse.2011.06.027</w:t>
        </w:r>
      </w:hyperlink>
      <w:r>
        <w:t xml:space="preserve">.</w:t>
      </w:r>
    </w:p>
    <w:bookmarkEnd w:id="197"/>
    <w:bookmarkStart w:id="199"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98">
        <w:r>
          <w:rPr>
            <w:rStyle w:val="Hyperlink"/>
          </w:rPr>
          <w:t xml:space="preserve">https://doi.org/10.1007/s12237-021-00974-7</w:t>
        </w:r>
      </w:hyperlink>
      <w:r>
        <w:t xml:space="preserve">.</w:t>
      </w:r>
    </w:p>
    <w:bookmarkEnd w:id="199"/>
    <w:bookmarkStart w:id="201" w:name="ref-Whitehead09"/>
    <w:p>
      <w:pPr>
        <w:pStyle w:val="Bibliography"/>
      </w:pPr>
      <w:r>
        <w:t xml:space="preserve">Whitehead, P. G., Wilby, R. L., Battarbee, R. W., Kernan, M., and Wade, A. J. (2009). A review of the potential impacts of climate change on surface water quality.</w:t>
      </w:r>
      <w:r>
        <w:t xml:space="preserve"> </w:t>
      </w:r>
      <w:r>
        <w:rPr>
          <w:iCs/>
          <w:i/>
        </w:rPr>
        <w:t xml:space="preserve">Hydrological Sciences Journal</w:t>
      </w:r>
      <w:r>
        <w:t xml:space="preserve"> </w:t>
      </w:r>
      <w:r>
        <w:t xml:space="preserve">54, 101–123. Available at:</w:t>
      </w:r>
      <w:r>
        <w:t xml:space="preserve"> </w:t>
      </w:r>
      <w:hyperlink r:id="rId200">
        <w:r>
          <w:rPr>
            <w:rStyle w:val="Hyperlink"/>
          </w:rPr>
          <w:t xml:space="preserve">https://doi.org/10.1623/hysj.54.1.101</w:t>
        </w:r>
      </w:hyperlink>
      <w:r>
        <w:t xml:space="preserve">.</w:t>
      </w:r>
    </w:p>
    <w:bookmarkEnd w:id="201"/>
    <w:bookmarkStart w:id="203"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202">
        <w:r>
          <w:rPr>
            <w:rStyle w:val="Hyperlink"/>
          </w:rPr>
          <w:t xml:space="preserve">https://doi.org/10.1007/s12237-014-9926-y</w:t>
        </w:r>
      </w:hyperlink>
      <w:r>
        <w:t xml:space="preserve">.</w:t>
      </w:r>
    </w:p>
    <w:bookmarkEnd w:id="203"/>
    <w:bookmarkEnd w:id="204"/>
    <w:bookmarkEnd w:id="205"/>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hyperlink" Id="rId181" Target="https://data-swfwmd.opendata.arcgis.com/" TargetMode="External" /><Relationship Type="http://schemas.openxmlformats.org/officeDocument/2006/relationships/hyperlink" Id="rId183" Target="https://data-swfwmd.opendata.arcgis.com/datasets/seagrass-in-2018" TargetMode="External" /><Relationship Type="http://schemas.openxmlformats.org/officeDocument/2006/relationships/hyperlink" Id="rId178" Target="https://doi.org/10.1002/eap.1722" TargetMode="External" /><Relationship Type="http://schemas.openxmlformats.org/officeDocument/2006/relationships/hyperlink" Id="rId112" Target="https://doi.org/10.1002/fee.1282" TargetMode="External" /><Relationship Type="http://schemas.openxmlformats.org/officeDocument/2006/relationships/hyperlink" Id="rId97" Target="https://doi.org/10.1007/978-1-4020-5095-4" TargetMode="External" /><Relationship Type="http://schemas.openxmlformats.org/officeDocument/2006/relationships/hyperlink" Id="rId170" Target="https://doi.org/10.1007/BF02691304" TargetMode="External" /><Relationship Type="http://schemas.openxmlformats.org/officeDocument/2006/relationships/hyperlink" Id="rId174" Target="https://doi.org/10.1007/s00267-013-0179-5" TargetMode="External" /><Relationship Type="http://schemas.openxmlformats.org/officeDocument/2006/relationships/hyperlink" Id="rId154"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56" Target="https://doi.org/10.1007/s12237-008-9129-5" TargetMode="External" /><Relationship Type="http://schemas.openxmlformats.org/officeDocument/2006/relationships/hyperlink" Id="rId159" Target="https://doi.org/10.1007/s12237-012-9503-1" TargetMode="External" /><Relationship Type="http://schemas.openxmlformats.org/officeDocument/2006/relationships/hyperlink" Id="rId168" Target="https://doi.org/10.1007/s12237-013-9662-8" TargetMode="External" /><Relationship Type="http://schemas.openxmlformats.org/officeDocument/2006/relationships/hyperlink" Id="rId202"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98" Target="https://doi.org/10.1007/s12237-021-00974-7" TargetMode="External" /><Relationship Type="http://schemas.openxmlformats.org/officeDocument/2006/relationships/hyperlink" Id="rId190"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43"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87" Target="https://doi.org/10.1016/j.geoderma.2013.10.007" TargetMode="External" /><Relationship Type="http://schemas.openxmlformats.org/officeDocument/2006/relationships/hyperlink" Id="rId132" Target="https://doi.org/10.1016/j.jnc.2011.02.003" TargetMode="External" /><Relationship Type="http://schemas.openxmlformats.org/officeDocument/2006/relationships/hyperlink" Id="rId194" Target="https://doi.org/10.1016/j.marpolbul.2020.111247" TargetMode="External" /><Relationship Type="http://schemas.openxmlformats.org/officeDocument/2006/relationships/hyperlink" Id="rId196" Target="https://doi.org/10.1016/j.rse.2011.06.027" TargetMode="External" /><Relationship Type="http://schemas.openxmlformats.org/officeDocument/2006/relationships/hyperlink" Id="rId126"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150" Target="https://doi.org/10.1073/pnas.1717312115"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92" Target="https://doi.org/10.1088/1748-9326/4/4/044008" TargetMode="External" /><Relationship Type="http://schemas.openxmlformats.org/officeDocument/2006/relationships/hyperlink" Id="rId134" Target="https://doi.org/10.1098/rspb.2013.0325" TargetMode="External" /><Relationship Type="http://schemas.openxmlformats.org/officeDocument/2006/relationships/hyperlink" Id="rId147" Target="https://doi.org/10.1111/j.1752-1688.2005.tb03712.x" TargetMode="External" /><Relationship Type="http://schemas.openxmlformats.org/officeDocument/2006/relationships/hyperlink" Id="rId70" Target="https://doi.org/10.1177/0309133314560369" TargetMode="External" /><Relationship Type="http://schemas.openxmlformats.org/officeDocument/2006/relationships/hyperlink" Id="rId106" Target="https://doi.org/10.1201/9780138750308" TargetMode="External" /><Relationship Type="http://schemas.openxmlformats.org/officeDocument/2006/relationships/hyperlink" Id="rId118"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200" Target="https://doi.org/10.1623/hysj.54.1.101" TargetMode="External" /><Relationship Type="http://schemas.openxmlformats.org/officeDocument/2006/relationships/hyperlink" Id="rId129" Target="https://doi.org/10.2307/1352488" TargetMode="External" /><Relationship Type="http://schemas.openxmlformats.org/officeDocument/2006/relationships/hyperlink" Id="rId116" Target="https://doi.org/10.7717/peerj.958"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166" Target="https://drive.google.com/file/d/1Hp0l_qtbxp1JxKJoGatdyuANSzQrpL0I/view?usp=drivesdk"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35" Target="https://tbep-tech.github.io/landuse/" TargetMode="External" /><Relationship Type="http://schemas.openxmlformats.org/officeDocument/2006/relationships/hyperlink" Id="rId30"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81" Target="https://data-swfwmd.opendata.arcgis.com/" TargetMode="External" /><Relationship Type="http://schemas.openxmlformats.org/officeDocument/2006/relationships/hyperlink" Id="rId183" Target="https://data-swfwmd.opendata.arcgis.com/datasets/seagrass-in-2018" TargetMode="External" /><Relationship Type="http://schemas.openxmlformats.org/officeDocument/2006/relationships/hyperlink" Id="rId178" Target="https://doi.org/10.1002/eap.1722" TargetMode="External" /><Relationship Type="http://schemas.openxmlformats.org/officeDocument/2006/relationships/hyperlink" Id="rId112" Target="https://doi.org/10.1002/fee.1282" TargetMode="External" /><Relationship Type="http://schemas.openxmlformats.org/officeDocument/2006/relationships/hyperlink" Id="rId97" Target="https://doi.org/10.1007/978-1-4020-5095-4" TargetMode="External" /><Relationship Type="http://schemas.openxmlformats.org/officeDocument/2006/relationships/hyperlink" Id="rId170" Target="https://doi.org/10.1007/BF02691304" TargetMode="External" /><Relationship Type="http://schemas.openxmlformats.org/officeDocument/2006/relationships/hyperlink" Id="rId174" Target="https://doi.org/10.1007/s00267-013-0179-5" TargetMode="External" /><Relationship Type="http://schemas.openxmlformats.org/officeDocument/2006/relationships/hyperlink" Id="rId154"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56" Target="https://doi.org/10.1007/s12237-008-9129-5" TargetMode="External" /><Relationship Type="http://schemas.openxmlformats.org/officeDocument/2006/relationships/hyperlink" Id="rId159" Target="https://doi.org/10.1007/s12237-012-9503-1" TargetMode="External" /><Relationship Type="http://schemas.openxmlformats.org/officeDocument/2006/relationships/hyperlink" Id="rId168" Target="https://doi.org/10.1007/s12237-013-9662-8" TargetMode="External" /><Relationship Type="http://schemas.openxmlformats.org/officeDocument/2006/relationships/hyperlink" Id="rId202"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98" Target="https://doi.org/10.1007/s12237-021-00974-7" TargetMode="External" /><Relationship Type="http://schemas.openxmlformats.org/officeDocument/2006/relationships/hyperlink" Id="rId190"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43"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87" Target="https://doi.org/10.1016/j.geoderma.2013.10.007" TargetMode="External" /><Relationship Type="http://schemas.openxmlformats.org/officeDocument/2006/relationships/hyperlink" Id="rId132" Target="https://doi.org/10.1016/j.jnc.2011.02.003" TargetMode="External" /><Relationship Type="http://schemas.openxmlformats.org/officeDocument/2006/relationships/hyperlink" Id="rId194" Target="https://doi.org/10.1016/j.marpolbul.2020.111247" TargetMode="External" /><Relationship Type="http://schemas.openxmlformats.org/officeDocument/2006/relationships/hyperlink" Id="rId196" Target="https://doi.org/10.1016/j.rse.2011.06.027" TargetMode="External" /><Relationship Type="http://schemas.openxmlformats.org/officeDocument/2006/relationships/hyperlink" Id="rId126"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150" Target="https://doi.org/10.1073/pnas.1717312115"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92" Target="https://doi.org/10.1088/1748-9326/4/4/044008" TargetMode="External" /><Relationship Type="http://schemas.openxmlformats.org/officeDocument/2006/relationships/hyperlink" Id="rId134" Target="https://doi.org/10.1098/rspb.2013.0325" TargetMode="External" /><Relationship Type="http://schemas.openxmlformats.org/officeDocument/2006/relationships/hyperlink" Id="rId147" Target="https://doi.org/10.1111/j.1752-1688.2005.tb03712.x" TargetMode="External" /><Relationship Type="http://schemas.openxmlformats.org/officeDocument/2006/relationships/hyperlink" Id="rId70" Target="https://doi.org/10.1177/0309133314560369" TargetMode="External" /><Relationship Type="http://schemas.openxmlformats.org/officeDocument/2006/relationships/hyperlink" Id="rId106" Target="https://doi.org/10.1201/9780138750308" TargetMode="External" /><Relationship Type="http://schemas.openxmlformats.org/officeDocument/2006/relationships/hyperlink" Id="rId118"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200" Target="https://doi.org/10.1623/hysj.54.1.101" TargetMode="External" /><Relationship Type="http://schemas.openxmlformats.org/officeDocument/2006/relationships/hyperlink" Id="rId129" Target="https://doi.org/10.2307/1352488" TargetMode="External" /><Relationship Type="http://schemas.openxmlformats.org/officeDocument/2006/relationships/hyperlink" Id="rId116" Target="https://doi.org/10.7717/peerj.958"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166" Target="https://drive.google.com/file/d/1Hp0l_qtbxp1JxKJoGatdyuANSzQrpL0I/view?usp=drivesdk"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35" Target="https://tbep-tech.github.io/landuse/" TargetMode="External" /><Relationship Type="http://schemas.openxmlformats.org/officeDocument/2006/relationships/hyperlink" Id="rId30"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2022-08-22T20:23:32Z</dcterms:created>
  <dcterms:modified xsi:type="dcterms:W3CDTF">2022-08-22T20:23:32Z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