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jpg" ContentType="image/jpeg"/>
  <Override PartName="/word/media/rId47.jpg" ContentType="image/jpeg"/>
  <Override PartName="/word/media/rId43.jpg" ContentType="image/jpeg"/>
  <Override PartName="/word/media/rId59.jpg" ContentType="image/jpeg"/>
  <Override PartName="/word/media/rId63.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restoration framework for native habitats was created for the Tampa Bay watershed that identifies current opportunities and establishes short-term (2030) targets and long-term (2050) goals. The approach was informed through a three-decade habitat change analysis and over forty years of habitat restoration projects in the region. Although significant gains in subtidal habitats have been observed, expansion of mangroves into salt marshes and loss of native upland habitats to development highlights the need to target these locations for restoration. The long-term loss of potentially restorable lands to both coastal and upland development further underscores the diminishing restoration opportunities in the watershed. The established targets and goals identified habitats to maintain at their present level (e.g., mangroves) and those that require additional progress (e.g., oyster bars) based on past trends and an expected level of effort given the restoration history of the region. The new approach also accounts for the future effects of sea-level rise, climate change, and watershed development by prioritizing native coastal habitats relative to subtidal or upland areas. The restoration potential for coastal habitats was 624 ha (0.1% of the watershed) for tidal wetlands and 128 ha (&lt; 0.1% of the watershed) for coastal uplands, whereas the total restoration opportunity in the watershed was 17,205 ha (2.9% of the watershed). Maps were created to identify the restoration opportunities where practitioners could focus efforts to achieve the defined targets and goals. Methods for repeatable analyses are also available using an open source workflow.</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1 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Anthropogenic stressors can negatively impact the services provided by coastal habitats and restoration practitioners must consider the anticipated effects of these stressors during planning</w:t>
      </w:r>
      <w:r>
        <w:t xml:space="preserve"> </w:t>
      </w:r>
      <w:r>
        <w:t xml:space="preserve">(Elliott et al., 2007; White and Kaplan, 2017)</w:t>
      </w:r>
      <w:r>
        <w:t xml:space="preserve">. The combined effects of land development and climate change are especially problematic for prioritizing habitat restoration activities in coastal environments.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circa 1950 benchmark period considered as pre-development.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These opportunity areas provide a first assessment of where restoration could occur, where on the ground assessments could be pursued to further quantify restoration potential. The outcomes of the approach are also spatially 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habitats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2.2 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Data sources are described below and in Table S1. Uplands were further sub-divided into coastal and non-coastal uplands based on location relative to the 5-foot contour (~1.5m elevation) that covers an area of land from the local Mean Lower Low Water (MLLW) elevation landward to an elevation 5 feet above Mean Sea Level. This 5-foot contour or coastal stratum is an area of intense urban development and is expected to be affected by sea-level rise based on current estimates</w:t>
      </w:r>
      <w:r>
        <w:t xml:space="preserve"> </w:t>
      </w:r>
      <w:r>
        <w:t xml:space="preserve">(Burke et al., 2019)</w:t>
      </w:r>
      <w:r>
        <w:t xml:space="preserve">.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 The coastal stratum within the 5-foot contour is used to better identify and prioritize coastal habitats at risk of landward migration and coastal development given that it includes the area of land within the sea level rise projections.</w:t>
      </w:r>
    </w:p>
    <w:bookmarkEnd w:id="24"/>
    <w:bookmarkStart w:id="25" w:name="approach"/>
    <w:p>
      <w:pPr>
        <w:pStyle w:val="Heading3"/>
      </w:pPr>
      <w:r>
        <w:t xml:space="preserve">2.3 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The short-term targets provided an interim set of native habitat coverages to attain within a reasonable planning horizon, after which progress in attaining the long-term goals will be re-assessed.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2.4 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These data include vector polygons coverages of the major subtidal habitat types in Tampa Bay, as interpreted from 1:24,000 scale natural color aerial photographs flown in winter 2018 under cloud free conditions. Accuracy assessments of the photo-interpreted map product included field verification by random sample points, with a requirement of 90% accuracy for the seagrass categories. The minimum mapping unit for seagrass polygons is reported as 0.25 acres. Historical datasets for subtidal habitats using identical methods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 Kawula and Redner, 2018)</w:t>
      </w:r>
      <w:r>
        <w:rPr>
          <w:iCs/>
          <w:i/>
        </w:rPr>
        <w:t xml:space="preserve">.</w:t>
      </w:r>
      <w:r>
        <w:t xml:space="preserve"> </w:t>
      </w:r>
      <w:r>
        <w:t xml:space="preserve">Similar methods as the subtidal habitats described above are used for the intertidal and supratidal coverage maps, although at a slightly higher spatial resolution (1:12,000). 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Specifically, the spatial datasets were unioned and the total areal change of the polygons for each habitat type was quantified by taking the difference between the two terminal years. For example, the area that remained as native uplands between the 1990 and 2017 intertidal and suptratidal layers was quantified, whereas the area that changed from native uplands to another habitat category was also quantified. This process was repeated for all native habitats, including developed and restorable lands (described below).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2.5 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2.6 Opportunity areas and restoration potential</w:t>
      </w:r>
    </w:p>
    <w:p>
      <w:pPr>
        <w:pStyle w:val="FirstParagraph"/>
      </w:pPr>
      <w:r>
        <w:t xml:space="preserve">Spatially 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 The identification of these areas on a broad spatial scale serves as a planning tool for restoration practitioners, where follow-up assessments are expected to more fully quantify restoration potential at selected sites.</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(FNAI) and permit databases of conservation and drainage easements</w:t>
      </w:r>
      <w:r>
        <w:t xml:space="preserve"> </w:t>
      </w:r>
      <w:r>
        <w:t xml:space="preserve">(Florida Natural Areas Inventory, 2020)</w:t>
      </w:r>
      <w:r>
        <w:t xml:space="preserve">. The FNAI data are Florida Managed Areas as vector-based polygons of public and some private lands identified as having natural resource value and that are being managed at least partially for conservation. The source data for this layer are provided to FNAI directly from the managing agency in digital format or as paper source maps that are digitized using appropriate topographic quadrangles, ortho-imagery, and property appraiser parcel data at a minimum spatial resolution of 1:5,000. Intersecting the native and restorable lands in these areas produced four unique opportunity areas: existing conservation native, proposed conservation native, existing conservation restorable, and proposed conservation restorable. This workflow created the existing conservation and proposed conservation layers in</w:t>
      </w:r>
      <w:r>
        <w:t xml:space="preserve"> </w:t>
      </w:r>
      <w:hyperlink w:anchor="fig-gisworkflow">
        <w:r>
          <w:rPr>
            <w:rStyle w:val="Hyperlink"/>
          </w:rPr>
          <w:t xml:space="preserve">Figure 2</w:t>
        </w:r>
      </w:hyperlink>
      <w:r>
        <w:t xml:space="preserv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 This distinction explicitly accounts for potential salinity changes to soil properties as a function of sea-level rise based on regional projections in the time period for establishing the targets and goals.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spatial analyses described above and as outlined in</w:t>
      </w:r>
      <w:r>
        <w:t xml:space="preserve"> </w:t>
      </w:r>
      <w:hyperlink w:anchor="fig-gisworkflow">
        <w:r>
          <w:rPr>
            <w:rStyle w:val="Hyperlink"/>
          </w:rPr>
          <w:t xml:space="preserve">Figure 2</w:t>
        </w:r>
      </w:hyperlink>
      <w:r>
        <w:t xml:space="preserve"> </w:t>
      </w:r>
      <w:r>
        <w:t xml:space="preserve">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(e.g., the</w:t>
      </w:r>
      <w:r>
        <w:t xml:space="preserve"> </w:t>
      </w:r>
      <w:r>
        <w:rPr>
          <w:iCs/>
          <w:i/>
        </w:rPr>
        <w:t xml:space="preserve">st_intersection</w:t>
      </w:r>
      <w:r>
        <w:t xml:space="preserve"> </w:t>
      </w:r>
      <w:r>
        <w:t xml:space="preserve">and</w:t>
      </w:r>
      <w:r>
        <w:t xml:space="preserve"> </w:t>
      </w:r>
      <w:r>
        <w:rPr>
          <w:iCs/>
          <w:i/>
        </w:rPr>
        <w:t xml:space="preserve">st_union</w:t>
      </w:r>
      <w:r>
        <w:t xml:space="preserve"> </w:t>
      </w:r>
      <w:r>
        <w:t xml:space="preserve">functions for intersect and union operations, Pebesma, 2018)</w:t>
      </w:r>
      <w:r>
        <w:t xml:space="preserve">. All spatial data were transformed to the NAD83(2011) / Florida West (ftUS) projection prior to analysis.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3 Results</w:t>
      </w:r>
    </w:p>
    <w:bookmarkStart w:id="32" w:name="habitat-status-and-trends-1"/>
    <w:p>
      <w:pPr>
        <w:pStyle w:val="Heading3"/>
      </w:pPr>
      <w:r>
        <w:t xml:space="preserve">3.1 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2"/>
    <w:bookmarkStart w:id="33" w:name="habitat-restoration-and-enhancement"/>
    <w:p>
      <w:pPr>
        <w:pStyle w:val="Heading3"/>
      </w:pPr>
      <w:r>
        <w:t xml:space="preserve">3.2 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3.3 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restorable)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were identified, further partitioned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3.4 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5"/>
    <w:bookmarkEnd w:id="36"/>
    <w:bookmarkStart w:id="41" w:name="discussion"/>
    <w:p>
      <w:pPr>
        <w:pStyle w:val="Heading2"/>
      </w:pPr>
      <w:r>
        <w:t xml:space="preserve">4 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 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4.1 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7"/>
    <w:bookmarkStart w:id="38" w:name="achieving-restoration-targets-and-goals"/>
    <w:p>
      <w:pPr>
        <w:pStyle w:val="Heading3"/>
      </w:pPr>
      <w:r>
        <w:t xml:space="preserve">4.2 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4.3 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 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39"/>
    <w:bookmarkStart w:id="40" w:name="conclusion"/>
    <w:p>
      <w:pPr>
        <w:pStyle w:val="Heading3"/>
      </w:pPr>
      <w:r>
        <w:t xml:space="preserve">4.4 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jp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 Categories are based on the Florida Land Use Cover and Forms Classification System</w:t>
            </w:r>
            <w:r>
              <w:t xml:space="preserve"> </w:t>
            </w:r>
            <w:r>
              <w:t xml:space="preserve">(Florida Department of Transportation, 1999; Southwest Florida Water Management District, 2014; Kawula and Redner, 2018)</w:t>
            </w:r>
            <w:r>
              <w:t xml:space="preserve"> </w:t>
            </w:r>
            <w:r>
              <w:t xml:space="preserve">with relevant codes combined for presentation in the figure.</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5486400"/>
                  <wp:effectExtent b="0" l="0" r="0" t="0"/>
                  <wp:docPr descr="" title="" id="48" name="Picture"/>
                  <a:graphic>
                    <a:graphicData uri="http://schemas.openxmlformats.org/drawingml/2006/picture">
                      <pic:pic>
                        <pic:nvPicPr>
                          <pic:cNvPr descr="figs/gisworkflow.jpg" id="49" name="Picture"/>
                          <pic:cNvPicPr>
                            <a:picLocks noChangeArrowheads="1" noChangeAspect="1"/>
                          </pic:cNvPicPr>
                        </pic:nvPicPr>
                        <pic:blipFill>
                          <a:blip r:embed="rId47"/>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5943600" cy="5940900"/>
                  <wp:effectExtent b="0" l="0" r="0" t="0"/>
                  <wp:docPr descr="" title="" id="52" name="Picture"/>
                  <a:graphic>
                    <a:graphicData uri="http://schemas.openxmlformats.org/drawingml/2006/picture">
                      <pic:pic>
                        <pic:nvPicPr>
                          <pic:cNvPr descr="figs/subtchgdatalluv.jpg" id="53" name="Picture"/>
                          <pic:cNvPicPr>
                            <a:picLocks noChangeArrowheads="1" noChangeAspect="1"/>
                          </pic:cNvPicPr>
                        </pic:nvPicPr>
                        <pic:blipFill>
                          <a:blip r:embed="rId51"/>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jp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50"/>
                  <wp:effectExtent b="0" l="0" r="0" t="0"/>
                  <wp:docPr descr="" title="" id="60" name="Picture"/>
                  <a:graphic>
                    <a:graphicData uri="http://schemas.openxmlformats.org/drawingml/2006/picture">
                      <pic:pic>
                        <pic:nvPicPr>
                          <pic:cNvPr descr="figs/oppmap.jpg" id="61" name="Picture"/>
                          <pic:cNvPicPr>
                            <a:picLocks noChangeArrowheads="1" noChangeAspect="1"/>
                          </pic:cNvPicPr>
                        </pic:nvPicPr>
                        <pic:blipFill>
                          <a:blip r:embed="rId59"/>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50"/>
                  <wp:effectExtent b="0" l="0" r="0" t="0"/>
                  <wp:docPr descr="" title="" id="64" name="Picture"/>
                  <a:graphic>
                    <a:graphicData uri="http://schemas.openxmlformats.org/drawingml/2006/picture">
                      <pic:pic>
                        <pic:nvPicPr>
                          <pic:cNvPr descr="figs/restmap.jpg" id="65" name="Picture"/>
                          <pic:cNvPicPr>
                            <a:picLocks noChangeArrowheads="1" noChangeAspect="1"/>
                          </pic:cNvPicPr>
                        </pic:nvPicPr>
                        <pic:blipFill>
                          <a:blip r:embed="rId63"/>
                          <a:stretch>
                            <a:fillRect/>
                          </a:stretch>
                        </pic:blipFill>
                        <pic:spPr bwMode="auto">
                          <a:xfrm>
                            <a:off x="0" y="0"/>
                            <a:ext cx="5943600" cy="3714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Change over time in hectares for intertidal and supratidal landcover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Landcover Category</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trHeight w:val="360" w:hRule="auto"/>
        </w:trPr>
        body 1
        <w:tc>
          <w:tcPr>
            <w:tcBorders>
              <w:bottom w:val="single" w:sz="8"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90" w:name="references"/>
    <w:p>
      <w:pPr>
        <w:pStyle w:val="Heading2"/>
      </w:pPr>
      <w:r>
        <w:t xml:space="preserve">References</w:t>
      </w:r>
    </w:p>
    <w:bookmarkStart w:id="189"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6"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6"/>
    <w:bookmarkStart w:id="98"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7">
        <w:r>
          <w:rPr>
            <w:rStyle w:val="Hyperlink"/>
          </w:rPr>
          <w:t xml:space="preserve">https://doi.org/10.1007/s12237-020-00733-0</w:t>
        </w:r>
      </w:hyperlink>
      <w:r>
        <w:t xml:space="preserve">.</w:t>
      </w:r>
    </w:p>
    <w:bookmarkEnd w:id="98"/>
    <w:bookmarkStart w:id="100"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9">
        <w:r>
          <w:rPr>
            <w:rStyle w:val="Hyperlink"/>
          </w:rPr>
          <w:t xml:space="preserve">https://doi.org/10.1007/s12237-008-9111-2</w:t>
        </w:r>
      </w:hyperlink>
      <w:r>
        <w:t xml:space="preserve">.</w:t>
      </w:r>
    </w:p>
    <w:bookmarkEnd w:id="100"/>
    <w:bookmarkStart w:id="102"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1">
        <w:r>
          <w:rPr>
            <w:rStyle w:val="Hyperlink"/>
          </w:rPr>
          <w:t xml:space="preserve">https://doi.org/10.1080/08920750802395558</w:t>
        </w:r>
      </w:hyperlink>
      <w:r>
        <w:t xml:space="preserve">.</w:t>
      </w:r>
    </w:p>
    <w:bookmarkEnd w:id="102"/>
    <w:bookmarkStart w:id="104"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3">
        <w:r>
          <w:rPr>
            <w:rStyle w:val="Hyperlink"/>
          </w:rPr>
          <w:t xml:space="preserve">https://doi.org/10.1201/9780138750308</w:t>
        </w:r>
      </w:hyperlink>
      <w:r>
        <w:t xml:space="preserve">.</w:t>
      </w:r>
    </w:p>
    <w:bookmarkEnd w:id="104"/>
    <w:bookmarkStart w:id="106" w:name="ref-Elliott07"/>
    <w:p>
      <w:pPr>
        <w:pStyle w:val="Bibliography"/>
      </w:pPr>
      <w:r>
        <w:t xml:space="preserve">Elliott, M., Burdon, D., Hemingway, K. L., and Apitz, S. E. (2007). Estuarine, coastal and marine ecosystem restoration: Confusing management and science–a revision of concepts.</w:t>
      </w:r>
      <w:r>
        <w:t xml:space="preserve"> </w:t>
      </w:r>
      <w:r>
        <w:rPr>
          <w:iCs/>
          <w:i/>
        </w:rPr>
        <w:t xml:space="preserve">Estuarine, Coastal and Shelf Science</w:t>
      </w:r>
      <w:r>
        <w:t xml:space="preserve"> </w:t>
      </w:r>
      <w:r>
        <w:t xml:space="preserve">74, 349–366. doi:</w:t>
      </w:r>
      <w:r>
        <w:t xml:space="preserve"> </w:t>
      </w:r>
      <w:hyperlink r:id="rId105">
        <w:r>
          <w:rPr>
            <w:rStyle w:val="Hyperlink"/>
          </w:rPr>
          <w:t xml:space="preserve">10.1016/j.ecss.2007.05.034</w:t>
        </w:r>
      </w:hyperlink>
      <w:r>
        <w:t xml:space="preserve">.</w:t>
      </w:r>
    </w:p>
    <w:bookmarkEnd w:id="106"/>
    <w:bookmarkStart w:id="107" w:name="ref-EPA96"/>
    <w:p>
      <w:pPr>
        <w:pStyle w:val="Bibliography"/>
      </w:pPr>
      <w:r>
        <w:t xml:space="preserve">Environmental Protection Agency (1996). Watershed approach framework. Office of Water (4501F).</w:t>
      </w:r>
    </w:p>
    <w:bookmarkEnd w:id="107"/>
    <w:bookmarkStart w:id="108"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8"/>
    <w:bookmarkStart w:id="109"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9"/>
    <w:bookmarkStart w:id="111" w:name="ref-FNAI20"/>
    <w:p>
      <w:pPr>
        <w:pStyle w:val="Bibliography"/>
      </w:pPr>
      <w:r>
        <w:t xml:space="preserve">Florida Natural Areas Inventory (2020). Florida</w:t>
      </w:r>
      <w:r>
        <w:t xml:space="preserve"> </w:t>
      </w:r>
      <w:r>
        <w:t xml:space="preserve">C</w:t>
      </w:r>
      <w:r>
        <w:t xml:space="preserve">onservation</w:t>
      </w:r>
      <w:r>
        <w:t xml:space="preserve"> </w:t>
      </w:r>
      <w:r>
        <w:t xml:space="preserve">L</w:t>
      </w:r>
      <w:r>
        <w:t xml:space="preserve">ands (</w:t>
      </w:r>
      <w:r>
        <w:t xml:space="preserve">FLMA</w:t>
      </w:r>
      <w:r>
        <w:t xml:space="preserve">)</w:t>
      </w:r>
      <w:r>
        <w:t xml:space="preserve"> </w:t>
      </w:r>
      <w:r>
        <w:t xml:space="preserve">GIS</w:t>
      </w:r>
      <w:r>
        <w:t xml:space="preserve"> </w:t>
      </w:r>
      <w:r>
        <w:t xml:space="preserve">D</w:t>
      </w:r>
      <w:r>
        <w:t xml:space="preserve">ataset,</w:t>
      </w:r>
      <w:r>
        <w:t xml:space="preserve"> </w:t>
      </w:r>
      <w:r>
        <w:t xml:space="preserve">M</w:t>
      </w:r>
      <w:r>
        <w:t xml:space="preserve">arch 2020. Available at:</w:t>
      </w:r>
      <w:r>
        <w:t xml:space="preserve"> </w:t>
      </w:r>
      <w:hyperlink r:id="rId110">
        <w:r>
          <w:rPr>
            <w:rStyle w:val="Hyperlink"/>
          </w:rPr>
          <w:t xml:space="preserve">https://www.fnai.org/publications/gis-data</w:t>
        </w:r>
      </w:hyperlink>
      <w:r>
        <w:t xml:space="preserve">.</w:t>
      </w:r>
    </w:p>
    <w:bookmarkEnd w:id="111"/>
    <w:bookmarkStart w:id="113"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2">
        <w:r>
          <w:rPr>
            <w:rStyle w:val="Hyperlink"/>
          </w:rPr>
          <w:t xml:space="preserve">10.1016/j.ecss.2014.10.003</w:t>
        </w:r>
      </w:hyperlink>
      <w:r>
        <w:t xml:space="preserve">.</w:t>
      </w:r>
    </w:p>
    <w:bookmarkEnd w:id="113"/>
    <w:bookmarkStart w:id="114"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4"/>
    <w:bookmarkStart w:id="115"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5"/>
    <w:bookmarkStart w:id="116"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6"/>
    <w:bookmarkStart w:id="118"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7">
        <w:r>
          <w:rPr>
            <w:rStyle w:val="Hyperlink"/>
          </w:rPr>
          <w:t xml:space="preserve">https://doi.org/10.1046/j.1526-100x.2000.80037.x</w:t>
        </w:r>
      </w:hyperlink>
      <w:r>
        <w:t xml:space="preserve">.</w:t>
      </w:r>
    </w:p>
    <w:bookmarkEnd w:id="118"/>
    <w:bookmarkStart w:id="119"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9"/>
    <w:bookmarkStart w:id="121"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0">
        <w:r>
          <w:rPr>
            <w:rStyle w:val="Hyperlink"/>
          </w:rPr>
          <w:t xml:space="preserve">https://doi.org/10.2307/1352488</w:t>
        </w:r>
      </w:hyperlink>
      <w:r>
        <w:t xml:space="preserve">.</w:t>
      </w:r>
    </w:p>
    <w:bookmarkEnd w:id="121"/>
    <w:bookmarkStart w:id="122"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2"/>
    <w:bookmarkStart w:id="123"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3"/>
    <w:bookmarkStart w:id="124"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4"/>
    <w:bookmarkStart w:id="125"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5"/>
    <w:bookmarkStart w:id="126" w:name="ref-Kawula18"/>
    <w:p>
      <w:pPr>
        <w:pStyle w:val="Bibliography"/>
      </w:pPr>
      <w:r>
        <w:t xml:space="preserve">Kawula, R., and Redner, J. (2018).</w:t>
      </w:r>
      <w:r>
        <w:t xml:space="preserve"> </w:t>
      </w:r>
      <w:r>
        <w:t xml:space="preserve">F</w:t>
      </w:r>
      <w:r>
        <w:t xml:space="preserve">lorida</w:t>
      </w:r>
      <w:r>
        <w:t xml:space="preserve"> </w:t>
      </w:r>
      <w:r>
        <w:t xml:space="preserve">L</w:t>
      </w:r>
      <w:r>
        <w:t xml:space="preserve">and</w:t>
      </w:r>
      <w:r>
        <w:t xml:space="preserve"> </w:t>
      </w:r>
      <w:r>
        <w:t xml:space="preserve">C</w:t>
      </w:r>
      <w:r>
        <w:t xml:space="preserve">over</w:t>
      </w:r>
      <w:r>
        <w:t xml:space="preserve"> </w:t>
      </w:r>
      <w:r>
        <w:t xml:space="preserve">C</w:t>
      </w:r>
      <w:r>
        <w:t xml:space="preserve">lassification</w:t>
      </w:r>
      <w:r>
        <w:t xml:space="preserve"> </w:t>
      </w:r>
      <w:r>
        <w:t xml:space="preserve">S</w:t>
      </w:r>
      <w:r>
        <w:t xml:space="preserve">ystem. Center for Spatial Analysis, Fish; Widlife Research Institute, Florida Fish; Wildlife Conservation Commission, Tallahassee, Florida.</w:t>
      </w:r>
    </w:p>
    <w:bookmarkEnd w:id="126"/>
    <w:bookmarkStart w:id="127"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7"/>
    <w:bookmarkStart w:id="128"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8"/>
    <w:bookmarkStart w:id="130"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9">
        <w:r>
          <w:rPr>
            <w:rStyle w:val="Hyperlink"/>
          </w:rPr>
          <w:t xml:space="preserve">10.1111/jpy.12883</w:t>
        </w:r>
      </w:hyperlink>
      <w:r>
        <w:t xml:space="preserve">.</w:t>
      </w:r>
    </w:p>
    <w:bookmarkEnd w:id="130"/>
    <w:bookmarkStart w:id="132"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31">
        <w:r>
          <w:rPr>
            <w:rStyle w:val="Hyperlink"/>
          </w:rPr>
          <w:t xml:space="preserve">10.1038/s41559-017-0160</w:t>
        </w:r>
      </w:hyperlink>
      <w:r>
        <w:t xml:space="preserve">.</w:t>
      </w:r>
    </w:p>
    <w:bookmarkEnd w:id="132"/>
    <w:bookmarkStart w:id="134"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3">
        <w:r>
          <w:rPr>
            <w:rStyle w:val="Hyperlink"/>
          </w:rPr>
          <w:t xml:space="preserve">https://doi.org/10.1016/j.ecoser.2018.09.005</w:t>
        </w:r>
      </w:hyperlink>
      <w:r>
        <w:t xml:space="preserve">.</w:t>
      </w:r>
    </w:p>
    <w:bookmarkEnd w:id="134"/>
    <w:bookmarkStart w:id="135"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5"/>
    <w:bookmarkStart w:id="137"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6">
        <w:r>
          <w:rPr>
            <w:rStyle w:val="Hyperlink"/>
          </w:rPr>
          <w:t xml:space="preserve">10.1177/1078087405282183</w:t>
        </w:r>
      </w:hyperlink>
      <w:r>
        <w:t xml:space="preserve">.</w:t>
      </w:r>
    </w:p>
    <w:bookmarkEnd w:id="137"/>
    <w:bookmarkStart w:id="138"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8"/>
    <w:bookmarkStart w:id="13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9"/>
    <w:bookmarkStart w:id="140"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40"/>
    <w:bookmarkStart w:id="142"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41">
        <w:r>
          <w:rPr>
            <w:rStyle w:val="Hyperlink"/>
          </w:rPr>
          <w:t xml:space="preserve">10.1111/gcb.16111</w:t>
        </w:r>
      </w:hyperlink>
      <w:r>
        <w:t xml:space="preserve">.</w:t>
      </w:r>
    </w:p>
    <w:bookmarkEnd w:id="142"/>
    <w:bookmarkStart w:id="144"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3">
        <w:r>
          <w:rPr>
            <w:rStyle w:val="Hyperlink"/>
          </w:rPr>
          <w:t xml:space="preserve">https://doi.org/10.1007/s10021-012-9551-1</w:t>
        </w:r>
      </w:hyperlink>
      <w:r>
        <w:t xml:space="preserve">.</w:t>
      </w:r>
    </w:p>
    <w:bookmarkEnd w:id="144"/>
    <w:bookmarkStart w:id="146"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5">
        <w:r>
          <w:rPr>
            <w:rStyle w:val="Hyperlink"/>
          </w:rPr>
          <w:t xml:space="preserve">https://doi.org/10.1007/s12237-008-9129-5</w:t>
        </w:r>
      </w:hyperlink>
      <w:r>
        <w:t xml:space="preserve">.</w:t>
      </w:r>
    </w:p>
    <w:bookmarkEnd w:id="146"/>
    <w:bookmarkStart w:id="148"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7">
        <w:r>
          <w:rPr>
            <w:rStyle w:val="Hyperlink"/>
          </w:rPr>
          <w:t xml:space="preserve">10.32614/RJ-2018-009</w:t>
        </w:r>
      </w:hyperlink>
      <w:r>
        <w:t xml:space="preserve">.</w:t>
      </w:r>
    </w:p>
    <w:bookmarkEnd w:id="148"/>
    <w:bookmarkStart w:id="150"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9">
        <w:r>
          <w:rPr>
            <w:rStyle w:val="Hyperlink"/>
          </w:rPr>
          <w:t xml:space="preserve">https://www.R-project.org/</w:t>
        </w:r>
      </w:hyperlink>
      <w:r>
        <w:t xml:space="preserve">.</w:t>
      </w:r>
    </w:p>
    <w:bookmarkEnd w:id="150"/>
    <w:bookmarkStart w:id="152"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1">
        <w:r>
          <w:rPr>
            <w:rStyle w:val="Hyperlink"/>
          </w:rPr>
          <w:t xml:space="preserve">https://doi.org/10.1007/s12237-012-9503-1</w:t>
        </w:r>
      </w:hyperlink>
      <w:r>
        <w:t xml:space="preserve">.</w:t>
      </w:r>
    </w:p>
    <w:bookmarkEnd w:id="152"/>
    <w:bookmarkStart w:id="153"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3"/>
    <w:bookmarkStart w:id="154"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4"/>
    <w:bookmarkStart w:id="155"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5"/>
    <w:bookmarkStart w:id="156"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6"/>
    <w:bookmarkStart w:id="158"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57">
        <w:r>
          <w:rPr>
            <w:rStyle w:val="Hyperlink"/>
          </w:rPr>
          <w:t xml:space="preserve">https://drive.google.com/file/d/1Hp0l_qtbxp1JxKJoGatdyuANSzQrpL0I/view?usp=drivesdk</w:t>
        </w:r>
      </w:hyperlink>
      <w:r>
        <w:t xml:space="preserve">.</w:t>
      </w:r>
    </w:p>
    <w:bookmarkEnd w:id="158"/>
    <w:bookmarkStart w:id="160"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9">
        <w:r>
          <w:rPr>
            <w:rStyle w:val="Hyperlink"/>
          </w:rPr>
          <w:t xml:space="preserve">https://doi.org/10.1007/s12237-013-9662-8</w:t>
        </w:r>
      </w:hyperlink>
      <w:r>
        <w:t xml:space="preserve">.</w:t>
      </w:r>
    </w:p>
    <w:bookmarkEnd w:id="160"/>
    <w:bookmarkStart w:id="162"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61">
        <w:r>
          <w:rPr>
            <w:rStyle w:val="Hyperlink"/>
          </w:rPr>
          <w:t xml:space="preserve">10.1007/s13157-019-01137-y</w:t>
        </w:r>
      </w:hyperlink>
      <w:r>
        <w:t xml:space="preserve">.</w:t>
      </w:r>
    </w:p>
    <w:bookmarkEnd w:id="162"/>
    <w:bookmarkStart w:id="163"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3"/>
    <w:bookmarkStart w:id="164"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4"/>
    <w:bookmarkStart w:id="166"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5">
        <w:r>
          <w:rPr>
            <w:rStyle w:val="Hyperlink"/>
          </w:rPr>
          <w:t xml:space="preserve">https://doi.org/10.1002/eap.1722</w:t>
        </w:r>
      </w:hyperlink>
      <w:r>
        <w:t xml:space="preserve">.</w:t>
      </w:r>
    </w:p>
    <w:bookmarkEnd w:id="166"/>
    <w:bookmarkStart w:id="167" w:name="ref-SWFWMD14"/>
    <w:p>
      <w:pPr>
        <w:pStyle w:val="Bibliography"/>
      </w:pPr>
      <w:r>
        <w:t xml:space="preserve">Southwest Florida Water Management District (2014). Photo interpretation key for land use classification.</w:t>
      </w:r>
    </w:p>
    <w:bookmarkEnd w:id="167"/>
    <w:bookmarkStart w:id="169" w:name="ref-SWFWMD18"/>
    <w:p>
      <w:pPr>
        <w:pStyle w:val="Bibliography"/>
      </w:pPr>
      <w:r>
        <w:t xml:space="preserve">Southwest Florida Water Management District (2018). Land use land cover data. c1990-2017. Available at:</w:t>
      </w:r>
      <w:r>
        <w:t xml:space="preserve"> </w:t>
      </w:r>
      <w:hyperlink r:id="rId168">
        <w:r>
          <w:rPr>
            <w:rStyle w:val="Hyperlink"/>
          </w:rPr>
          <w:t xml:space="preserve">https://data-swfwmd.opendata.arcgis.com/</w:t>
        </w:r>
      </w:hyperlink>
      <w:r>
        <w:t xml:space="preserve">.</w:t>
      </w:r>
    </w:p>
    <w:bookmarkEnd w:id="169"/>
    <w:bookmarkStart w:id="171" w:name="ref-SWFWMD19"/>
    <w:p>
      <w:pPr>
        <w:pStyle w:val="Bibliography"/>
      </w:pPr>
      <w:r>
        <w:t xml:space="preserve">Southwest Florida Water Management District (2019). Seagrass in 2018. Available at:</w:t>
      </w:r>
      <w:r>
        <w:t xml:space="preserve"> </w:t>
      </w:r>
      <w:hyperlink r:id="rId170">
        <w:r>
          <w:rPr>
            <w:rStyle w:val="Hyperlink"/>
          </w:rPr>
          <w:t xml:space="preserve">https://data-swfwmd.opendata.arcgis.com/datasets/seagrass-in-2018</w:t>
        </w:r>
      </w:hyperlink>
      <w:r>
        <w:t xml:space="preserve">.</w:t>
      </w:r>
    </w:p>
    <w:bookmarkEnd w:id="171"/>
    <w:bookmarkStart w:id="172"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2"/>
    <w:bookmarkStart w:id="174"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3">
        <w:r>
          <w:rPr>
            <w:rStyle w:val="Hyperlink"/>
          </w:rPr>
          <w:t xml:space="preserve">https://doi.org/10.1016/j.geoderma.2013.10.007</w:t>
        </w:r>
      </w:hyperlink>
      <w:r>
        <w:t xml:space="preserve">.</w:t>
      </w:r>
    </w:p>
    <w:bookmarkEnd w:id="174"/>
    <w:bookmarkStart w:id="17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5">
        <w:r>
          <w:rPr>
            <w:rStyle w:val="Hyperlink"/>
          </w:rPr>
          <w:t xml:space="preserve">https://doi.org/10.1088/1748-9326/4/4/044008</w:t>
        </w:r>
      </w:hyperlink>
      <w:r>
        <w:t xml:space="preserve">.</w:t>
      </w:r>
    </w:p>
    <w:bookmarkEnd w:id="176"/>
    <w:bookmarkStart w:id="17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7">
        <w:r>
          <w:rPr>
            <w:rStyle w:val="Hyperlink"/>
          </w:rPr>
          <w:t xml:space="preserve">https://doi.org/10.1016/j.marpolbul.2020.111247</w:t>
        </w:r>
      </w:hyperlink>
      <w:r>
        <w:t xml:space="preserve">.</w:t>
      </w:r>
    </w:p>
    <w:bookmarkEnd w:id="178"/>
    <w:bookmarkStart w:id="18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9">
        <w:r>
          <w:rPr>
            <w:rStyle w:val="Hyperlink"/>
          </w:rPr>
          <w:t xml:space="preserve">https://doi.org/10.1016/j.rse.2011.06.027</w:t>
        </w:r>
      </w:hyperlink>
      <w:r>
        <w:t xml:space="preserve">.</w:t>
      </w:r>
    </w:p>
    <w:bookmarkEnd w:id="180"/>
    <w:bookmarkStart w:id="18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1">
        <w:r>
          <w:rPr>
            <w:rStyle w:val="Hyperlink"/>
          </w:rPr>
          <w:t xml:space="preserve">https://doi.org/10.1007/s12237-021-00974-7</w:t>
        </w:r>
      </w:hyperlink>
      <w:r>
        <w:t xml:space="preserve">.</w:t>
      </w:r>
    </w:p>
    <w:bookmarkEnd w:id="182"/>
    <w:bookmarkStart w:id="184" w:name="ref-White17"/>
    <w:p>
      <w:pPr>
        <w:pStyle w:val="Bibliography"/>
      </w:pPr>
      <w:r>
        <w:t xml:space="preserve">White, E., and Kaplan, D.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 doi:</w:t>
      </w:r>
      <w:r>
        <w:t xml:space="preserve"> </w:t>
      </w:r>
      <w:hyperlink r:id="rId183">
        <w:r>
          <w:rPr>
            <w:rStyle w:val="Hyperlink"/>
          </w:rPr>
          <w:t xml:space="preserve">10.1002/ehs2.1258</w:t>
        </w:r>
      </w:hyperlink>
      <w:r>
        <w:t xml:space="preserve">.</w:t>
      </w:r>
    </w:p>
    <w:bookmarkEnd w:id="184"/>
    <w:bookmarkStart w:id="186"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5">
        <w:r>
          <w:rPr>
            <w:rStyle w:val="Hyperlink"/>
          </w:rPr>
          <w:t xml:space="preserve">10.21105/joss.01686</w:t>
        </w:r>
      </w:hyperlink>
      <w:r>
        <w:t xml:space="preserve">.</w:t>
      </w:r>
    </w:p>
    <w:bookmarkEnd w:id="186"/>
    <w:bookmarkStart w:id="188"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7">
        <w:r>
          <w:rPr>
            <w:rStyle w:val="Hyperlink"/>
          </w:rPr>
          <w:t xml:space="preserve">https://doi.org/10.1007/s12237-014-9926-y</w:t>
        </w:r>
      </w:hyperlink>
      <w:r>
        <w:t xml:space="preserve">.</w:t>
      </w:r>
    </w:p>
    <w:bookmarkEnd w:id="188"/>
    <w:bookmarkEnd w:id="189"/>
    <w:bookmarkEnd w:id="19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jpg" /><Relationship Type="http://schemas.openxmlformats.org/officeDocument/2006/relationships/image" Id="rId47" Target="media/rId47.jpg" /><Relationship Type="http://schemas.openxmlformats.org/officeDocument/2006/relationships/image" Id="rId43" Target="media/rId43.jp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51" Target="media/rId51.jpg" /><Relationship Type="http://schemas.openxmlformats.org/officeDocument/2006/relationships/hyperlink" Id="rId69" Target="https://CRAN.R-project.org/package=networkD3" TargetMode="External" /><Relationship Type="http://schemas.openxmlformats.org/officeDocument/2006/relationships/hyperlink" Id="rId168" Target="https://data-swfwmd.opendata.arcgis.com/" TargetMode="External" /><Relationship Type="http://schemas.openxmlformats.org/officeDocument/2006/relationships/hyperlink" Id="rId170" Target="https://data-swfwmd.opendata.arcgis.com/datasets/seagrass-in-2018" TargetMode="External" /><Relationship Type="http://schemas.openxmlformats.org/officeDocument/2006/relationships/hyperlink" Id="rId165" Target="https://doi.org/10.1002/eap.1722" TargetMode="External" /><Relationship Type="http://schemas.openxmlformats.org/officeDocument/2006/relationships/hyperlink" Id="rId183" Target="https://doi.org/10.1002/ehs2.1258" TargetMode="External" /><Relationship Type="http://schemas.openxmlformats.org/officeDocument/2006/relationships/hyperlink" Id="rId94" Target="https://doi.org/10.1007/978-1-4020-5095-4" TargetMode="External" /><Relationship Type="http://schemas.openxmlformats.org/officeDocument/2006/relationships/hyperlink" Id="rId143"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5" Target="https://doi.org/10.1007/s12237-008-9129-5" TargetMode="External" /><Relationship Type="http://schemas.openxmlformats.org/officeDocument/2006/relationships/hyperlink" Id="rId151" Target="https://doi.org/10.1007/s12237-012-9503-1" TargetMode="External" /><Relationship Type="http://schemas.openxmlformats.org/officeDocument/2006/relationships/hyperlink" Id="rId159" Target="https://doi.org/10.1007/s12237-013-9662-8" TargetMode="External" /><Relationship Type="http://schemas.openxmlformats.org/officeDocument/2006/relationships/hyperlink" Id="rId187"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61" Target="https://doi.org/10.1007/s13157-019-01137-y" TargetMode="External" /><Relationship Type="http://schemas.openxmlformats.org/officeDocument/2006/relationships/hyperlink" Id="rId88" Target="https://doi.org/10.1016/j.ecoser.2018.09.004" TargetMode="External" /><Relationship Type="http://schemas.openxmlformats.org/officeDocument/2006/relationships/hyperlink" Id="rId133"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105" Target="https://doi.org/10.1016/j.ecss.2007.05.034" TargetMode="External" /><Relationship Type="http://schemas.openxmlformats.org/officeDocument/2006/relationships/hyperlink" Id="rId92" Target="https://doi.org/10.1016/j.ecss.2011.10.003" TargetMode="External" /><Relationship Type="http://schemas.openxmlformats.org/officeDocument/2006/relationships/hyperlink" Id="rId112" Target="https://doi.org/10.1016/j.ecss.2014.10.003" TargetMode="External" /><Relationship Type="http://schemas.openxmlformats.org/officeDocument/2006/relationships/hyperlink" Id="rId173"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17"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41" Target="https://doi.org/10.1111/gcb.16111" TargetMode="External" /><Relationship Type="http://schemas.openxmlformats.org/officeDocument/2006/relationships/hyperlink" Id="rId129" Target="https://doi.org/10.1111/jpy.12883" TargetMode="External" /><Relationship Type="http://schemas.openxmlformats.org/officeDocument/2006/relationships/hyperlink" Id="rId136"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5" Target="https://doi.org/10.21105/joss.01686" TargetMode="External" /><Relationship Type="http://schemas.openxmlformats.org/officeDocument/2006/relationships/hyperlink" Id="rId120" Target="https://doi.org/10.2307/1352488" TargetMode="External" /><Relationship Type="http://schemas.openxmlformats.org/officeDocument/2006/relationships/hyperlink" Id="rId147"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7"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29" Target="https://github.com/tbep-tech/hmpu-workflow" TargetMode="External" /><Relationship Type="http://schemas.openxmlformats.org/officeDocument/2006/relationships/hyperlink" Id="rId149" Target="https://www.R-project.org/" TargetMode="External" /><Relationship Type="http://schemas.openxmlformats.org/officeDocument/2006/relationships/hyperlink" Id="rId110"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68" Target="https://data-swfwmd.opendata.arcgis.com/" TargetMode="External" /><Relationship Type="http://schemas.openxmlformats.org/officeDocument/2006/relationships/hyperlink" Id="rId170" Target="https://data-swfwmd.opendata.arcgis.com/datasets/seagrass-in-2018" TargetMode="External" /><Relationship Type="http://schemas.openxmlformats.org/officeDocument/2006/relationships/hyperlink" Id="rId165" Target="https://doi.org/10.1002/eap.1722" TargetMode="External" /><Relationship Type="http://schemas.openxmlformats.org/officeDocument/2006/relationships/hyperlink" Id="rId183" Target="https://doi.org/10.1002/ehs2.1258" TargetMode="External" /><Relationship Type="http://schemas.openxmlformats.org/officeDocument/2006/relationships/hyperlink" Id="rId94" Target="https://doi.org/10.1007/978-1-4020-5095-4" TargetMode="External" /><Relationship Type="http://schemas.openxmlformats.org/officeDocument/2006/relationships/hyperlink" Id="rId143"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5" Target="https://doi.org/10.1007/s12237-008-9129-5" TargetMode="External" /><Relationship Type="http://schemas.openxmlformats.org/officeDocument/2006/relationships/hyperlink" Id="rId151" Target="https://doi.org/10.1007/s12237-012-9503-1" TargetMode="External" /><Relationship Type="http://schemas.openxmlformats.org/officeDocument/2006/relationships/hyperlink" Id="rId159" Target="https://doi.org/10.1007/s12237-013-9662-8" TargetMode="External" /><Relationship Type="http://schemas.openxmlformats.org/officeDocument/2006/relationships/hyperlink" Id="rId187"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61" Target="https://doi.org/10.1007/s13157-019-01137-y" TargetMode="External" /><Relationship Type="http://schemas.openxmlformats.org/officeDocument/2006/relationships/hyperlink" Id="rId88" Target="https://doi.org/10.1016/j.ecoser.2018.09.004" TargetMode="External" /><Relationship Type="http://schemas.openxmlformats.org/officeDocument/2006/relationships/hyperlink" Id="rId133"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105" Target="https://doi.org/10.1016/j.ecss.2007.05.034" TargetMode="External" /><Relationship Type="http://schemas.openxmlformats.org/officeDocument/2006/relationships/hyperlink" Id="rId92" Target="https://doi.org/10.1016/j.ecss.2011.10.003" TargetMode="External" /><Relationship Type="http://schemas.openxmlformats.org/officeDocument/2006/relationships/hyperlink" Id="rId112" Target="https://doi.org/10.1016/j.ecss.2014.10.003" TargetMode="External" /><Relationship Type="http://schemas.openxmlformats.org/officeDocument/2006/relationships/hyperlink" Id="rId173"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31" Target="https://doi.org/10.1038/s41559-017-0160" TargetMode="External" /><Relationship Type="http://schemas.openxmlformats.org/officeDocument/2006/relationships/hyperlink" Id="rId117"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41" Target="https://doi.org/10.1111/gcb.16111" TargetMode="External" /><Relationship Type="http://schemas.openxmlformats.org/officeDocument/2006/relationships/hyperlink" Id="rId129" Target="https://doi.org/10.1111/jpy.12883" TargetMode="External" /><Relationship Type="http://schemas.openxmlformats.org/officeDocument/2006/relationships/hyperlink" Id="rId136"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5" Target="https://doi.org/10.21105/joss.01686" TargetMode="External" /><Relationship Type="http://schemas.openxmlformats.org/officeDocument/2006/relationships/hyperlink" Id="rId120" Target="https://doi.org/10.2307/1352488" TargetMode="External" /><Relationship Type="http://schemas.openxmlformats.org/officeDocument/2006/relationships/hyperlink" Id="rId147"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7"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29" Target="https://github.com/tbep-tech/hmpu-workflow" TargetMode="External" /><Relationship Type="http://schemas.openxmlformats.org/officeDocument/2006/relationships/hyperlink" Id="rId149" Target="https://www.R-project.org/" TargetMode="External" /><Relationship Type="http://schemas.openxmlformats.org/officeDocument/2006/relationships/hyperlink" Id="rId110" Target="https://www.fnai.org/publications/gis-data"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2022-12-30T19:25:36Z</dcterms:created>
  <dcterms:modified xsi:type="dcterms:W3CDTF">2022-12-30T19:25:36Z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Tampa Bay watershed habitat restoration planning</vt:lpwstr>
  </property>
  <property fmtid="{D5CDD505-2E9C-101B-9397-08002B2CF9AE}" pid="14" name="toc-title">
    <vt:lpwstr>Table of contents</vt:lpwstr>
  </property>
</Properties>
</file>