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46.png" ContentType="image/png"/>
  <Override PartName="/word/media/rId42.png" ContentType="image/png"/>
  <Override PartName="/word/media/rId58.png" ContentType="image/png"/>
  <Override PartName="/word/media/rId62.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spatially explicit with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impact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The coastal squeeze of development and climate change diminishes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This paper describes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is an area of intense urban development and is expected to be impacted by sea-level rise based on current estimates. Since 1946, the St. Petersburg tidal gauge (NOAA gauge 872650) has documented a nearly 20 cm increase in mean tidal height to present day. Projections to the year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as a guide for understanding a feasible level of effort for future projects that could be conducted by restoration practitioners. The first two steps were used to identify short-term (2030) targets and long-term (2050) goals for coverage (hectares) of native habitats. Finally, remaining opportunities for restoration were spatially identified by combining current coverages with existing or proposed protected areas and areas anticipated to be impacted by sea-level rise. As such, the approach identifies goals and targets and provides spatially explicit information that identifies where restoration practitioners should pursue projects to meet these goals and targets.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bi-annual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expected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reservation native and reservation restorable areas, and 2) existing and proposed native and restorable areas. Collectively, each of these unique products are considered the opportunity areas in the Tampa Bay watershed. The reservation native and reservation restorable areas are native and restorable habitats, respectively, that occur in the 5-foot contour or coastal stratum. This area extends from the local Mean Lower Low Water (MLLW) elevation to an elevation 5 feet above Mean Sea Level and is highly vulnerable to sea-level rise</w:t>
      </w:r>
      <w:r>
        <w:t xml:space="preserve"> </w:t>
      </w:r>
      <w:r>
        <w:t xml:space="preserve">(Burke et al., 2019)</w:t>
      </w:r>
      <w:r>
        <w:t xml:space="preserve">. Native habitats in this stratum were identified as those to be reserved, whereas restorable habitats were identified as those where tidal wetlands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and inventorying conservation and drainage easements data. This workflow created the existing conservation and proposed conservation layers in</w:t>
      </w:r>
      <w:r>
        <w:t xml:space="preserve"> </w:t>
      </w:r>
      <w:hyperlink w:anchor="fig-gisworkflow">
        <w:r>
          <w:rPr>
            <w:rStyle w:val="Hyperlink"/>
          </w:rPr>
          <w:t xml:space="preserve">Figure 2</w:t>
        </w:r>
      </w:hyperlink>
      <w:r>
        <w:t xml:space="preserve"> </w:t>
      </w:r>
      <w:r>
        <w:t xml:space="preserve">. Intersecting the native and restorable lands in these areas produced four unique opportunity areas: existing conservation native, proposed conservation native, existing conservation restorable, and proposed conservation native.</w:t>
      </w:r>
    </w:p>
    <w:p>
      <w:pPr>
        <w:pStyle w:val="BodyText"/>
      </w:pPr>
      <w:r>
        <w:t xml:space="preserve">All opportunity areas identified as restorable included reservation restorable (in the coastal stratum), existing conservation restorable, and proposed conservation restorable. To identify discrete habitat types that could be the goal of future restoration projects, restorable lands in the coastal stratum and on existing conservation areas (reservation restorable and existing conservation restorable) were further grouped into their restoration potential.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 The restoration potential was defined using soil types, described as follows.</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reservation native, and reservation restorable. The second was a map that identified the restorable lands (either existing or reservation) based on their restoration potential as coastal uplands, freshwater wetlands, native uplands, or tidal wetlands.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were available for seagrasses, tidal flats, and oyster bars (Table 1). Oyster bars were estimated at 67 ha in 2018 (Table 1), showing a 29% increase since mapping began in 2014. This increase may represent improved ground-truthing and photointerpretation of oyster bars from aerial photography. Tidal flats have generally increased from 1988 to the mid-2000s, followed by a decrease to present. The current estimate for tidal flats is 6,569 hectares, showing a 24% decline compared to the 1988 estimate of 8,700 hectares. Seagrasses have increased by 75% since 1988 to a current estimate of 6,986 ha. The change analysis comparing 1988 to 2018 for subtidal habitats (</w:t>
      </w:r>
      <w:hyperlink w:anchor="fig-subtchgdatalluv">
        <w:r>
          <w:rPr>
            <w:rStyle w:val="Hyperlink"/>
          </w:rPr>
          <w:t xml:space="preserve">Figure 3</w:t>
        </w:r>
      </w:hyperlink>
      <w:r>
        <w:t xml:space="preserve">) confirmed trends in Table 1 and showed that the seagrass increases were primarily associated with the colonization of non-vegetated areas of tidal flats, as well as unclassified areas of open water. Current estimates for subtidal habitats without historical trend information included 171 ha for natural hard bottom and 67 hectares for artificial reefs.</w:t>
      </w:r>
    </w:p>
    <w:p>
      <w:pPr>
        <w:pStyle w:val="BodyText"/>
      </w:pPr>
      <w:r>
        <w:t xml:space="preserve">Total intertidal habitat (mangroves, salt barrens, and salt marshes) showed a 12% increase of 835 ha from 1990 to 2017, with a current estimate of 8,340 ha (Table 2). Mangroves increased by 15% to 6,276 ha, salt barrens increased by 7% to 203 ha, and salt marshes increased by 3% to 1,861 ha. Despite a net increase in salt marsh habitat, the change analysis showed that 153 ha were replaced by mangrove habitat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2). Developed lands showed a 44% increase to 217,047 ha from 1990 to 2017, with a notable 30% decrease to 1,446 ha for coastal uplands, a 38% decrease to 57,836 ha for native uplands, and an 18% decrease to 189,512 ha for restorable lands. Non-forested freshwater wetlands showed a 24% increase to 27,358 ha, while forested freshwater wetlands decreased by 5% to 61,667 ha. The change analysis (</w:t>
      </w:r>
      <w:hyperlink w:anchor="fig-chgdatalluv">
        <w:r>
          <w:rPr>
            <w:rStyle w:val="Hyperlink"/>
          </w:rPr>
          <w:t xml:space="preserve">Figure 4</w:t>
        </w:r>
      </w:hyperlink>
      <w:r>
        <w:t xml:space="preserve">) showed that a majority of land conversion to developed came from restorable lands (21,292 ha) and native uplands (7,184 ha), with smaller proportions converted from forested freshwater wetlands (1,407 ha) and coastal uplands (193 ha). Habitats converted to restorable primarily included native uplands (8,304 ha), forested freshwater wetlands (1,700 ha), and developed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with a total length of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Summary of opportunity areas and restoration potential</w:t>
      </w:r>
    </w:p>
    <w:p>
      <w:pPr>
        <w:pStyle w:val="FirstParagraph"/>
      </w:pPr>
      <w:r>
        <w:t xml:space="preserve">Summaries of the current extent of each habitat type are shown in Table 3 as representations of the opportunity areas and restoration potential. The extent of each habitat in existing conservation lands and proposed conservation lands is shown. Summaries of the restoration potential under existing and proposed conservation lands is also shown. The majority of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an areal estimate of where practitioners could target future restoration projects (</w:t>
      </w:r>
      <w:hyperlink w:anchor="fig-oppmap">
        <w:r>
          <w:rPr>
            <w:rStyle w:val="Hyperlink"/>
          </w:rPr>
          <w:t xml:space="preserve">Figure 5</w:t>
        </w:r>
      </w:hyperlink>
      <w:r>
        <w:t xml:space="preserve">). Native lands currently protected, proposed for protection, or in the coastal stratum (existing conservation native, proposed conservation native, reservation native) totaled 119,854 ha (20.4% of the watershed above MLLW). Similarly, restorable lands currently protected, proposed for protection, or in the coastal stratum (existing conservation restorable, proposed conservation restorable, reservation restorable) totalled 83,894 ha (14.3% of the watershed). Understandably, most of the native and restorable lands occurred in undeveloped areas in the north and southwest. Existing conservation lands (existing conservation native, existing conservation restorable) totalled 79,395 ha (13.5% of the watershed) and proposed conservation lands (proposed conservation native, proposed conservation restorable) totalled 117,855 ha (20.1% of the watershed). Reservation areas in the coastal stratum (reservation native, reservation restorable) totalled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were identified as potentially restorable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4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current extents are sufficient (e.g., mangrove forests), were assigned targets and goals similar to the current extent, i.e., these habitats should be protected and restoration is not recommended. Implicit in the targets and the goals is recurring re-assessment over time to evaluate progress and adjust expectations as appropriate.</w:t>
      </w:r>
    </w:p>
    <w:bookmarkEnd w:id="35"/>
    <w:bookmarkEnd w:id="36"/>
    <w:bookmarkStart w:id="41" w:name="discussion"/>
    <w:p>
      <w:pPr>
        <w:pStyle w:val="Heading2"/>
      </w:pPr>
      <w:r>
        <w:t xml:space="preserve">Discussion</w:t>
      </w:r>
    </w:p>
    <w:p>
      <w:pPr>
        <w:pStyle w:val="FirstParagraph"/>
      </w:pPr>
      <w:r>
        <w:t xml:space="preserve">Priorities for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providing a systematic workflow to identify targets and goals that is informed by current extent, past trends, and realistic effort from past projects. Further, locations are identified where these targets and goals could be achieved based on existing opportunities for restorable habitats, including areas anticipated to be impacted by coastal stressors (i.e., sea level rise and land development). This approach departs from previous restoration paradigms by identifying what is possible rather than attempting to recreate historical baselines. Methods are also provided using open source tools</w:t>
      </w:r>
      <w:r>
        <w:t xml:space="preserve"> </w:t>
      </w:r>
      <w:r>
        <w:t xml:space="preserve">(Beck et al., 2022)</w:t>
      </w:r>
      <w:r>
        <w:t xml:space="preserve"> </w:t>
      </w:r>
      <w:r>
        <w:t xml:space="preserve">that 1) allow for the most current datasets to be synthesized to update progress on achieving targets and goals, and 2) can be used in other locations with similar needs for identifying restoration priorities.</w:t>
      </w:r>
    </w:p>
    <w:bookmarkStart w:id="37" w:name="habitat-trends"/>
    <w:p>
      <w:pPr>
        <w:pStyle w:val="Heading3"/>
      </w:pPr>
      <w:r>
        <w:t xml:space="preserve">Habitat trends</w:t>
      </w:r>
    </w:p>
    <w:p>
      <w:pPr>
        <w:pStyle w:val="FirstParagraph"/>
      </w:pPr>
      <w:r>
        <w:t xml:space="preserve">Identifying appropriate targets and goals would not have been possible without a detailed assessment of current extent and past trends of native habitats in Tampa Bay and its watershed. The most notable trends included 1) the increase of seagrasses by 75%, 2) the increase of emergent tidal wetlands (12%) and freshwater wetlands (24%), and 3) the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Sherwood et al., 2017)</w:t>
      </w:r>
      <w:r>
        <w:t xml:space="preserve"> </w:t>
      </w:r>
      <w:r>
        <w:t xml:space="preserve">. The nutrient reductions, primarily from point-source controls and advanced wastewater treatment, contributed to improvements in water quality and light environments that were favorable for seagrass growth. However, the most recent coverage estimate in 2020 showed a seagrass loss of 18% since the peak in 2016, falling below the target defined herein. These data were unavailable at the time the habitat restoration workflow was initially developed and trends informed by the new restoration paradigm have prompted bay managers to assess barriers in achieving the seagrass restoration goal. In particular, much of the seagrass losses have occurred in Old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w:t>
      </w:r>
      <w:r>
        <w:t xml:space="preserve">. Ongoing research to understand mechanisms for mitigating these blooms will be critical for restoring seagrass in Tampa Bay.</w:t>
      </w:r>
    </w:p>
    <w:p>
      <w:pPr>
        <w:pStyle w:val="BodyText"/>
      </w:pPr>
      <w:r>
        <w:t xml:space="preserve">Emergent tidal and freshwater wetlands in Tampa Bay have also experienced dramatic changes over the last three decades. Dual pressures from sea-level rise and climate change have impacted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w:t>
      </w:r>
      <w:r>
        <w:t xml:space="preserve">. As such, the identified targets and goals for mangroves indicate protection of these habitats, without the need for additional restoration. However, mangroves will continue to expand in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the effectiveness of state and federal wetland regulatory programs, and 2) the cumulative gains from publicly-funded habitat restoration projects. A similar approach could be used for salt marshes or salt barrens.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lands to developed (</w:t>
      </w:r>
      <w:hyperlink w:anchor="fig-chgdatalluv">
        <w:r>
          <w:rPr>
            <w:rStyle w:val="Hyperlink"/>
          </w:rPr>
          <w:t xml:space="preserve">Figure 4</w:t>
        </w:r>
      </w:hyperlink>
      <w:r>
        <w:t xml:space="preserve">) presents additional challenges for restoration of native uplands. Amendments to existing planning, zoning, and land development policies will be needed to address these issues. While federal and state regulations related to listed species management provide some protection to rare habitats, such as scrub jay (</w:t>
      </w:r>
      <w:r>
        <w:rPr>
          <w:iCs/>
          <w:i/>
        </w:rPr>
        <w:t xml:space="preserve">Aphelocoma coerulescens</w:t>
      </w:r>
      <w:r>
        <w:t xml:space="preserve">) habitat, common and historically abundant native habitats are largely unprotected (e.g., pine flatwoods). Reductions in native uplands will likely continue unless local governments improve regulatory protections, such as strengthening language within comprehensive plans and development ordinances.</w:t>
      </w:r>
    </w:p>
    <w:bookmarkEnd w:id="37"/>
    <w:bookmarkStart w:id="38" w:name="achieving-restoration-targets-and-goals"/>
    <w:p>
      <w:pPr>
        <w:pStyle w:val="Heading3"/>
      </w:pPr>
      <w:r>
        <w:t xml:space="preserve">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Tampa Bay watershed. Other restoration targets (e.g., salt marshes) will not be feasible without additional public acquisition or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and volunteer initiatives for habitat restoration.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identified herein.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created herein. Examples include the construction of living shorelines in place of hardened seawalls, placement of submerged habitat modules (e.g., artificial oyster reef) along urban shorelines,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w:t>
      </w:r>
    </w:p>
    <w:p>
      <w:pPr>
        <w:pStyle w:val="BodyText"/>
      </w:pPr>
      <w:r>
        <w:t xml:space="preserve">Creative approaches may be required in areas impacted by sea-level rise if land acquisition is not possible. These approaches are necessary to accommodate future landward migration of tidal wetlands or the protection of coastal uplands, while also preventing or minimizing development activities that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 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landward habitat migration.</w:t>
      </w:r>
    </w:p>
    <w:p>
      <w:pPr>
        <w:pStyle w:val="BodyText"/>
      </w:pPr>
      <w:r>
        <w:t xml:space="preserve">Finally, wetland impacts and associated compensatory mitigation projects authorized under wetland regulatory programs could serve as possible restoration mechanisms. Mitigation activities have historically been conducted independent of watershed-level planning and monitoring processes. This disconnect has contributed to fragmented implementation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spatially-explicit datasets specific to the Tampa Bay watershed. Long-term datasets describing land use and cover in the watershed and the extent of in-bay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targets in goals for these habitats will require regular updates to these datasets that are not part of routine land use and cover maps.</w:t>
      </w:r>
    </w:p>
    <w:p>
      <w:pPr>
        <w:pStyle w:val="BodyText"/>
      </w:pPr>
      <w:r>
        <w:t xml:space="preserve">An additional assumption of the workflow, particularly for tracking progress, is that projects reported by partners will ultimately manifest in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acreage restored for a given habitat as reported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 reporting.</w:t>
      </w:r>
    </w:p>
    <w:bookmarkEnd w:id="39"/>
    <w:bookmarkStart w:id="40" w:name="conclusion"/>
    <w:p>
      <w:pPr>
        <w:pStyle w:val="Heading3"/>
      </w:pPr>
      <w:r>
        <w:t xml:space="preserve">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area is not unique in its challenges for protecting native habitats and the approach is readily transferable to other locations where restoration priorities are needed in response to pervasive coastal stressors.</w:t>
      </w:r>
    </w:p>
    <w:bookmarkEnd w:id="40"/>
    <w:bookmarkEnd w:id="41"/>
    <w:bookmarkStart w:id="6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5" w:name="fig-lulcmap"/>
          <w:p>
            <w:pPr>
              <w:pStyle w:val="Figure"/>
              <w:jc w:val="center"/>
            </w:pPr>
            <w:r>
              <w:drawing>
                <wp:inline>
                  <wp:extent cx="5943600" cy="4245428"/>
                  <wp:effectExtent b="0" l="0" r="0" t="0"/>
                  <wp:docPr descr="" title="" id="43" name="Picture"/>
                  <a:graphic>
                    <a:graphicData uri="http://schemas.openxmlformats.org/drawingml/2006/picture">
                      <pic:pic>
                        <pic:nvPicPr>
                          <pic:cNvPr descr="figs/lulcmap.png" id="44" name="Picture"/>
                          <pic:cNvPicPr>
                            <a:picLocks noChangeArrowheads="1" noChangeAspect="1"/>
                          </pic:cNvPicPr>
                        </pic:nvPicPr>
                        <pic:blipFill>
                          <a:blip r:embed="rId4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and land cover for the Tampa Bay watershed, Florida, USA. The watershed includes the natural hydrologic boundary with minor modifications to include partners working with the Tampa Bay Estuary Program.</w:t>
            </w:r>
          </w:p>
          <w:bookmarkEnd w:id="45"/>
        </w:tc>
      </w:tr>
    </w:tbl>
    <w:p/>
    <w:tbl>
      <w:tblPr>
        <w:tblStyle w:val="Table"/>
        <w:tblW w:type="pct" w:w="5000"/>
        <w:tblLook w:firstRow="0" w:lastRow="0" w:firstColumn="0" w:lastColumn="0" w:noHBand="0" w:noVBand="0" w:val="0000"/>
      </w:tblPr>
      <w:tblGrid>
        <w:gridCol w:w="7920"/>
      </w:tblGrid>
      <w:tr>
        <w:tc>
          <w:tcPr/>
          <w:bookmarkStart w:id="49" w:name="fig-gisworkflow"/>
          <w:p>
            <w:pPr>
              <w:pStyle w:val="Figure"/>
              <w:jc w:val="center"/>
            </w:pPr>
            <w:r>
              <w:drawing>
                <wp:inline>
                  <wp:extent cx="5943600" cy="6394092"/>
                  <wp:effectExtent b="0" l="0" r="0" t="0"/>
                  <wp:docPr descr="" title="" id="47" name="Picture"/>
                  <a:graphic>
                    <a:graphicData uri="http://schemas.openxmlformats.org/drawingml/2006/picture">
                      <pic:pic>
                        <pic:nvPicPr>
                          <pic:cNvPr descr="figs/gisworkflow.png" id="48" name="Picture"/>
                          <pic:cNvPicPr>
                            <a:picLocks noChangeArrowheads="1" noChangeAspect="1"/>
                          </pic:cNvPicPr>
                        </pic:nvPicPr>
                        <pic:blipFill>
                          <a:blip r:embed="rId46"/>
                          <a:stretch>
                            <a:fillRect/>
                          </a:stretch>
                        </pic:blipFill>
                        <pic:spPr bwMode="auto">
                          <a:xfrm>
                            <a:off x="0" y="0"/>
                            <a:ext cx="5943600" cy="63940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49"/>
        </w:tc>
      </w:tr>
    </w:tbl>
    <w:p/>
    <w:tbl>
      <w:tblPr>
        <w:tblStyle w:val="Table"/>
        <w:tblW w:type="pct" w:w="5000"/>
        <w:tblLook w:firstRow="0" w:lastRow="0" w:firstColumn="0" w:lastColumn="0" w:noHBand="0" w:noVBand="0" w:val="0000"/>
      </w:tblPr>
      <w:tblGrid>
        <w:gridCol w:w="7920"/>
      </w:tblGrid>
      <w:tr>
        <w:tc>
          <w:tcPr/>
          <w:bookmarkStart w:id="53" w:name="fig-subtchgdatalluv"/>
          <w:p>
            <w:pPr>
              <w:pStyle w:val="Figure"/>
              <w:jc w:val="center"/>
            </w:pPr>
            <w:r>
              <w:drawing>
                <wp:inline>
                  <wp:extent cx="4663745" cy="6755550"/>
                  <wp:effectExtent b="0" l="0" r="0" t="0"/>
                  <wp:docPr descr="" title="" id="51" name="Picture"/>
                  <a:graphic>
                    <a:graphicData uri="http://schemas.openxmlformats.org/drawingml/2006/picture">
                      <pic:pic>
                        <pic:nvPicPr>
                          <pic:cNvPr descr="figs/subtchgdatalluv.png" id="52" name="Picture"/>
                          <pic:cNvPicPr>
                            <a:picLocks noChangeArrowheads="1" noChangeAspect="1"/>
                          </pic:cNvPicPr>
                        </pic:nvPicPr>
                        <pic:blipFill>
                          <a:blip r:embed="rId50"/>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3"/>
        </w:tc>
      </w:tr>
    </w:tbl>
    <w:p/>
    <w:tbl>
      <w:tblPr>
        <w:tblStyle w:val="Table"/>
        <w:tblW w:type="pct" w:w="5000"/>
        <w:tblLook w:firstRow="0" w:lastRow="0" w:firstColumn="0" w:lastColumn="0" w:noHBand="0" w:noVBand="0" w:val="0000"/>
      </w:tblPr>
      <w:tblGrid>
        <w:gridCol w:w="7920"/>
      </w:tblGrid>
      <w:tr>
        <w:tc>
          <w:tcPr/>
          <w:bookmarkStart w:id="57" w:name="fig-chgdatalluv"/>
          <w:p>
            <w:pPr>
              <w:pStyle w:val="Figure"/>
              <w:jc w:val="center"/>
            </w:pPr>
            <w:r>
              <w:drawing>
                <wp:inline>
                  <wp:extent cx="5943600" cy="5940900"/>
                  <wp:effectExtent b="0" l="0" r="0" t="0"/>
                  <wp:docPr descr="" title="" id="55" name="Picture"/>
                  <a:graphic>
                    <a:graphicData uri="http://schemas.openxmlformats.org/drawingml/2006/picture">
                      <pic:pic>
                        <pic:nvPicPr>
                          <pic:cNvPr descr="figs/chgdatalluv.png" id="56" name="Picture"/>
                          <pic:cNvPicPr>
                            <a:picLocks noChangeArrowheads="1" noChangeAspect="1"/>
                          </pic:cNvPicPr>
                        </pic:nvPicPr>
                        <pic:blipFill>
                          <a:blip r:embed="rId54"/>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7"/>
        </w:tc>
      </w:tr>
    </w:tbl>
    <w:p/>
    <w:tbl>
      <w:tblPr>
        <w:tblStyle w:val="Table"/>
        <w:tblW w:type="pct" w:w="5000"/>
        <w:tblLook w:firstRow="0" w:lastRow="0" w:firstColumn="0" w:lastColumn="0" w:noHBand="0" w:noVBand="0" w:val="0000"/>
      </w:tblPr>
      <w:tblGrid>
        <w:gridCol w:w="7920"/>
      </w:tblGrid>
      <w:tr>
        <w:tc>
          <w:tcPr/>
          <w:bookmarkStart w:id="61" w:name="fig-oppmap"/>
          <w:p>
            <w:pPr>
              <w:pStyle w:val="Figure"/>
              <w:jc w:val="center"/>
            </w:pPr>
            <w:r>
              <w:drawing>
                <wp:inline>
                  <wp:extent cx="5943600" cy="3714749"/>
                  <wp:effectExtent b="0" l="0" r="0" t="0"/>
                  <wp:docPr descr="" title="" id="59" name="Picture"/>
                  <a:graphic>
                    <a:graphicData uri="http://schemas.openxmlformats.org/drawingml/2006/picture">
                      <pic:pic>
                        <pic:nvPicPr>
                          <pic:cNvPr descr="figs/oppmap.png" id="60" name="Picture"/>
                          <pic:cNvPicPr>
                            <a:picLocks noChangeArrowheads="1" noChangeAspect="1"/>
                          </pic:cNvPicPr>
                        </pic:nvPicPr>
                        <pic:blipFill>
                          <a:blip r:embed="rId58"/>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conservation and reservation in the Tampa Bay watershed. Green indicates existing conservation, blue indicates proposed conservation, and pink indicates reservations opportunities. Each category is also grouped into native and restorable habitats. The outline is the Tampa Bay watershed.</w:t>
            </w:r>
          </w:p>
          <w:bookmarkEnd w:id="61"/>
        </w:tc>
      </w:tr>
    </w:tbl>
    <w:p/>
    <w:tbl>
      <w:tblPr>
        <w:tblStyle w:val="Table"/>
        <w:tblW w:type="pct" w:w="5000"/>
        <w:tblLook w:firstRow="0" w:lastRow="0" w:firstColumn="0" w:lastColumn="0" w:noHBand="0" w:noVBand="0" w:val="0000"/>
      </w:tblPr>
      <w:tblGrid>
        <w:gridCol w:w="7920"/>
      </w:tblGrid>
      <w:tr>
        <w:tc>
          <w:tcPr/>
          <w:bookmarkStart w:id="65" w:name="fig-restmap"/>
          <w:p>
            <w:pPr>
              <w:pStyle w:val="Figure"/>
              <w:jc w:val="center"/>
            </w:pPr>
            <w:r>
              <w:drawing>
                <wp:inline>
                  <wp:extent cx="5943600" cy="3714749"/>
                  <wp:effectExtent b="0" l="0" r="0" t="0"/>
                  <wp:docPr descr="" title="" id="63" name="Picture"/>
                  <a:graphic>
                    <a:graphicData uri="http://schemas.openxmlformats.org/drawingml/2006/picture">
                      <pic:pic>
                        <pic:nvPicPr>
                          <pic:cNvPr descr="figs/restmap.png" id="64" name="Picture"/>
                          <pic:cNvPicPr>
                            <a:picLocks noChangeArrowheads="1" noChangeAspect="1"/>
                          </pic:cNvPicPr>
                        </pic:nvPicPr>
                        <pic:blipFill>
                          <a:blip r:embed="rId62"/>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 The outline is the Tampa Bay watershed.</w:t>
            </w:r>
          </w:p>
          <w:bookmarkEnd w:id="65"/>
        </w:tc>
      </w:tr>
    </w:tbl>
    <w:p>
      <w:r>
        <w:br w:type="page"/>
      </w:r>
    </w:p>
    <w:bookmarkEnd w:id="66"/>
    <w:bookmarkStart w:id="67" w:name="tables"/>
    <w:p>
      <w:pPr>
        <w:pStyle w:val="Heading2"/>
      </w:pPr>
      <w:r>
        <w:t xml:space="preserve">Tables</w:t>
      </w:r>
    </w:p>
    <w:p>
      <w:pPr>
        <w:pStyle w:val=""/>
      </w:pPr>
      <w:r>
        <w:rPr>
          <w:rFonts/>
          <w:b w:val="true"/>
        </w:rPr>
        <w:t xml:space="preserve">Table</w:t>
      </w:r>
      <w:bookmarkStart w:id="17c99f7e-2524-40b5-8789-6a76c5d72075"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7c99f7e-2524-40b5-8789-6a76c5d72075"/>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c18902f9-6ec1-4991-aa35-8ed099b8f807"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18902f9-6ec1-4991-aa35-8ed099b8f807"/>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12204962-8875-44ab-a543-6e354c62fe32"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2204962-8875-44ab-a543-6e354c62fe32"/>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w:pPr>
        <w:pStyle w:val=""/>
      </w:pPr>
      <w:r>
        <w:rPr>
          <w:rFonts/>
          <w:b w:val="true"/>
        </w:rPr>
        <w:t xml:space="preserve">Table</w:t>
      </w:r>
      <w:bookmarkStart w:id="ab26c47a-6853-43f1-89d5-41124be5c29e"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b26c47a-6853-43f1-89d5-41124be5c29e"/>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7"/>
    <w:bookmarkStart w:id="175" w:name="references"/>
    <w:p>
      <w:pPr>
        <w:pStyle w:val="Heading2"/>
      </w:pPr>
      <w:r>
        <w:t xml:space="preserve">References</w:t>
      </w:r>
    </w:p>
    <w:bookmarkStart w:id="174" w:name="refs"/>
    <w:bookmarkStart w:id="69"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8">
        <w:r>
          <w:rPr>
            <w:rStyle w:val="Hyperlink"/>
          </w:rPr>
          <w:t xml:space="preserve">https://CRAN.R-project.org/package=networkD3</w:t>
        </w:r>
      </w:hyperlink>
      <w:r>
        <w:t xml:space="preserve">.</w:t>
      </w:r>
    </w:p>
    <w:bookmarkEnd w:id="69"/>
    <w:bookmarkStart w:id="70"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0"/>
    <w:bookmarkStart w:id="72"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1">
        <w:r>
          <w:rPr>
            <w:rStyle w:val="Hyperlink"/>
          </w:rPr>
          <w:t xml:space="preserve">https://doi.org/10.1016/j.ecoser.2020.101179</w:t>
        </w:r>
      </w:hyperlink>
      <w:r>
        <w:t xml:space="preserve">.</w:t>
      </w:r>
    </w:p>
    <w:bookmarkEnd w:id="72"/>
    <w:bookmarkStart w:id="74"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3">
        <w:r>
          <w:rPr>
            <w:rStyle w:val="Hyperlink"/>
          </w:rPr>
          <w:t xml:space="preserve">10.5281/zenodo.7032909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8"/>
    <w:bookmarkStart w:id="80"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79">
        <w:r>
          <w:rPr>
            <w:rStyle w:val="Hyperlink"/>
          </w:rPr>
          <w:t xml:space="preserve">https://drive.google.com/file/d/1c_KTSJ4TgVX9IugnyDadr2Hc0gjAuQg2/view?usp=drivesdk</w:t>
        </w:r>
      </w:hyperlink>
      <w:r>
        <w:t xml:space="preserve">.</w:t>
      </w:r>
    </w:p>
    <w:bookmarkEnd w:id="80"/>
    <w:bookmarkStart w:id="82"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1">
        <w:r>
          <w:rPr>
            <w:rStyle w:val="Hyperlink"/>
          </w:rPr>
          <w:t xml:space="preserve">https://doi.org/10.1371/journal.pone.0132651</w:t>
        </w:r>
      </w:hyperlink>
      <w:r>
        <w:t xml:space="preserve">.</w:t>
      </w:r>
    </w:p>
    <w:bookmarkEnd w:id="82"/>
    <w:bookmarkStart w:id="84"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3">
        <w:r>
          <w:rPr>
            <w:rStyle w:val="Hyperlink"/>
          </w:rPr>
          <w:t xml:space="preserve">https://doi.org/10.1073/pnas.1902181116</w:t>
        </w:r>
      </w:hyperlink>
      <w:r>
        <w:t xml:space="preserve">.</w:t>
      </w:r>
    </w:p>
    <w:bookmarkEnd w:id="84"/>
    <w:bookmarkStart w:id="86"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5">
        <w:r>
          <w:rPr>
            <w:rStyle w:val="Hyperlink"/>
          </w:rPr>
          <w:t xml:space="preserve">https://doi.org/10.1073/pnas.1315800111</w:t>
        </w:r>
      </w:hyperlink>
      <w:r>
        <w:t xml:space="preserve">.</w:t>
      </w:r>
    </w:p>
    <w:bookmarkEnd w:id="86"/>
    <w:bookmarkStart w:id="88"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7">
        <w:r>
          <w:rPr>
            <w:rStyle w:val="Hyperlink"/>
          </w:rPr>
          <w:t xml:space="preserve">https://doi.org/10.1016/j.ecoser.2018.09.004</w:t>
        </w:r>
      </w:hyperlink>
      <w:r>
        <w:t xml:space="preserve">.</w:t>
      </w:r>
    </w:p>
    <w:bookmarkEnd w:id="88"/>
    <w:bookmarkStart w:id="89"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89"/>
    <w:bookmarkStart w:id="90"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0"/>
    <w:bookmarkStart w:id="92"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1">
        <w:r>
          <w:rPr>
            <w:rStyle w:val="Hyperlink"/>
          </w:rPr>
          <w:t xml:space="preserve">https://doi.org/10.1016/j.ecss.2011.10.003</w:t>
        </w:r>
      </w:hyperlink>
      <w:r>
        <w:t xml:space="preserve">.</w:t>
      </w:r>
    </w:p>
    <w:bookmarkEnd w:id="92"/>
    <w:bookmarkStart w:id="94"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3">
        <w:r>
          <w:rPr>
            <w:rStyle w:val="Hyperlink"/>
          </w:rPr>
          <w:t xml:space="preserve">https://doi.org/10.1007/978-1-4020-5095-4</w:t>
        </w:r>
      </w:hyperlink>
      <w:r>
        <w:t xml:space="preserve">.</w:t>
      </w:r>
    </w:p>
    <w:bookmarkEnd w:id="94"/>
    <w:bookmarkStart w:id="96"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5">
        <w:r>
          <w:rPr>
            <w:rStyle w:val="Hyperlink"/>
          </w:rPr>
          <w:t xml:space="preserve">https://doi.org/10.1007/s12237-020-00733-0</w:t>
        </w:r>
      </w:hyperlink>
      <w:r>
        <w:t xml:space="preserve">.</w:t>
      </w:r>
    </w:p>
    <w:bookmarkEnd w:id="96"/>
    <w:bookmarkStart w:id="98"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7">
        <w:r>
          <w:rPr>
            <w:rStyle w:val="Hyperlink"/>
          </w:rPr>
          <w:t xml:space="preserve">https://doi.org/10.1007/s12237-008-9111-2</w:t>
        </w:r>
      </w:hyperlink>
      <w:r>
        <w:t xml:space="preserve">.</w:t>
      </w:r>
    </w:p>
    <w:bookmarkEnd w:id="98"/>
    <w:bookmarkStart w:id="100"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99">
        <w:r>
          <w:rPr>
            <w:rStyle w:val="Hyperlink"/>
          </w:rPr>
          <w:t xml:space="preserve">https://doi.org/10.1080/08920750802395558</w:t>
        </w:r>
      </w:hyperlink>
      <w:r>
        <w:t xml:space="preserve">.</w:t>
      </w:r>
    </w:p>
    <w:bookmarkEnd w:id="100"/>
    <w:bookmarkStart w:id="102"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1">
        <w:r>
          <w:rPr>
            <w:rStyle w:val="Hyperlink"/>
          </w:rPr>
          <w:t xml:space="preserve">https://doi.org/10.1201/9780138750308</w:t>
        </w:r>
      </w:hyperlink>
      <w:r>
        <w:t xml:space="preserve">.</w:t>
      </w:r>
    </w:p>
    <w:bookmarkEnd w:id="102"/>
    <w:bookmarkStart w:id="103" w:name="ref-EPA96"/>
    <w:p>
      <w:pPr>
        <w:pStyle w:val="Bibliography"/>
      </w:pPr>
      <w:r>
        <w:t xml:space="preserve">Environmental Protection Agency (1996). Watershed approach framework. Office of Water (4501F).</w:t>
      </w:r>
    </w:p>
    <w:bookmarkEnd w:id="103"/>
    <w:bookmarkStart w:id="105"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4">
        <w:r>
          <w:rPr>
            <w:rStyle w:val="Hyperlink"/>
          </w:rPr>
          <w:t xml:space="preserve">https://dx.doi.org/10.3133/ds969</w:t>
        </w:r>
      </w:hyperlink>
      <w:r>
        <w:t xml:space="preserve">.</w:t>
      </w:r>
    </w:p>
    <w:bookmarkEnd w:id="105"/>
    <w:bookmarkStart w:id="106"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6"/>
    <w:bookmarkStart w:id="107"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7"/>
    <w:bookmarkStart w:id="108" w:name="ref-Greening14"/>
    <w:p>
      <w:pPr>
        <w:pStyle w:val="Bibliography"/>
      </w:pPr>
      <w:r>
        <w:t xml:space="preserve">Greening, H., Janicki, A., Sherwood, E., Pribble, R., and Johansson, J. O. R.</w:t>
      </w:r>
    </w:p>
    <w:bookmarkEnd w:id="108"/>
    <w:bookmarkStart w:id="109"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09"/>
    <w:bookmarkStart w:id="110"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0"/>
    <w:bookmarkStart w:id="111"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1"/>
    <w:bookmarkStart w:id="113"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2">
        <w:r>
          <w:rPr>
            <w:rStyle w:val="Hyperlink"/>
          </w:rPr>
          <w:t xml:space="preserve">https://doi.org/10.1046/j.1526-100x.2000.80037.x</w:t>
        </w:r>
      </w:hyperlink>
      <w:r>
        <w:t xml:space="preserve">.</w:t>
      </w:r>
    </w:p>
    <w:bookmarkEnd w:id="113"/>
    <w:bookmarkStart w:id="114"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4"/>
    <w:bookmarkStart w:id="116"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5">
        <w:r>
          <w:rPr>
            <w:rStyle w:val="Hyperlink"/>
          </w:rPr>
          <w:t xml:space="preserve">https://doi.org/10.2307/1352488</w:t>
        </w:r>
      </w:hyperlink>
      <w:r>
        <w:t xml:space="preserve">.</w:t>
      </w:r>
    </w:p>
    <w:bookmarkEnd w:id="116"/>
    <w:bookmarkStart w:id="117"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17"/>
    <w:bookmarkStart w:id="118"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18"/>
    <w:bookmarkStart w:id="119"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19"/>
    <w:bookmarkStart w:id="120"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0"/>
    <w:bookmarkStart w:id="122"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1">
        <w:r>
          <w:rPr>
            <w:rStyle w:val="Hyperlink"/>
          </w:rPr>
          <w:t xml:space="preserve">10.1111/jpy.12883</w:t>
        </w:r>
      </w:hyperlink>
      <w:r>
        <w:t xml:space="preserve">.</w:t>
      </w:r>
    </w:p>
    <w:bookmarkEnd w:id="122"/>
    <w:bookmarkStart w:id="124"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3">
        <w:r>
          <w:rPr>
            <w:rStyle w:val="Hyperlink"/>
          </w:rPr>
          <w:t xml:space="preserve">10.1038/s41559-017-0160</w:t>
        </w:r>
      </w:hyperlink>
      <w:r>
        <w:t xml:space="preserve">.</w:t>
      </w:r>
    </w:p>
    <w:bookmarkEnd w:id="124"/>
    <w:bookmarkStart w:id="126"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25">
        <w:r>
          <w:rPr>
            <w:rStyle w:val="Hyperlink"/>
          </w:rPr>
          <w:t xml:space="preserve">https://doi.org/10.1016/j.ecoser.2018.09.005</w:t>
        </w:r>
      </w:hyperlink>
      <w:r>
        <w:t xml:space="preserve">.</w:t>
      </w:r>
    </w:p>
    <w:bookmarkEnd w:id="126"/>
    <w:bookmarkStart w:id="127"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27"/>
    <w:bookmarkStart w:id="128"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28"/>
    <w:bookmarkStart w:id="12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29"/>
    <w:bookmarkStart w:id="130"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0"/>
    <w:bookmarkStart w:id="132"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31">
        <w:r>
          <w:rPr>
            <w:rStyle w:val="Hyperlink"/>
          </w:rPr>
          <w:t xml:space="preserve">https://doi.org/10.1007/s10021-012-9551-1</w:t>
        </w:r>
      </w:hyperlink>
      <w:r>
        <w:t xml:space="preserve">.</w:t>
      </w:r>
    </w:p>
    <w:bookmarkEnd w:id="132"/>
    <w:bookmarkStart w:id="134"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33">
        <w:r>
          <w:rPr>
            <w:rStyle w:val="Hyperlink"/>
          </w:rPr>
          <w:t xml:space="preserve">https://doi.org/10.1007/s12237-008-9129-5</w:t>
        </w:r>
      </w:hyperlink>
      <w:r>
        <w:t xml:space="preserve">.</w:t>
      </w:r>
    </w:p>
    <w:bookmarkEnd w:id="134"/>
    <w:bookmarkStart w:id="136"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35">
        <w:r>
          <w:rPr>
            <w:rStyle w:val="Hyperlink"/>
          </w:rPr>
          <w:t xml:space="preserve">10.32614/RJ-2018-009</w:t>
        </w:r>
      </w:hyperlink>
      <w:r>
        <w:t xml:space="preserve">.</w:t>
      </w:r>
    </w:p>
    <w:bookmarkEnd w:id="136"/>
    <w:bookmarkStart w:id="138"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37">
        <w:r>
          <w:rPr>
            <w:rStyle w:val="Hyperlink"/>
          </w:rPr>
          <w:t xml:space="preserve">https://www.R-project.org/</w:t>
        </w:r>
      </w:hyperlink>
      <w:r>
        <w:t xml:space="preserve">.</w:t>
      </w:r>
    </w:p>
    <w:bookmarkEnd w:id="138"/>
    <w:bookmarkStart w:id="14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39">
        <w:r>
          <w:rPr>
            <w:rStyle w:val="Hyperlink"/>
          </w:rPr>
          <w:t xml:space="preserve">https://doi.org/10.1007/s12237-012-9503-1</w:t>
        </w:r>
      </w:hyperlink>
      <w:r>
        <w:t xml:space="preserve">.</w:t>
      </w:r>
    </w:p>
    <w:bookmarkEnd w:id="140"/>
    <w:bookmarkStart w:id="141"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41"/>
    <w:bookmarkStart w:id="142"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42"/>
    <w:bookmarkStart w:id="143"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43"/>
    <w:bookmarkStart w:id="144"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44"/>
    <w:bookmarkStart w:id="146"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45">
        <w:r>
          <w:rPr>
            <w:rStyle w:val="Hyperlink"/>
          </w:rPr>
          <w:t xml:space="preserve">https://doi.org/10.1007/s12237-013-9662-8</w:t>
        </w:r>
      </w:hyperlink>
      <w:r>
        <w:t xml:space="preserve">.</w:t>
      </w:r>
    </w:p>
    <w:bookmarkEnd w:id="146"/>
    <w:bookmarkStart w:id="147"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47"/>
    <w:bookmarkStart w:id="148"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48"/>
    <w:bookmarkStart w:id="149"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49"/>
    <w:bookmarkStart w:id="151"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50">
        <w:r>
          <w:rPr>
            <w:rStyle w:val="Hyperlink"/>
          </w:rPr>
          <w:t xml:space="preserve">https://doi.org/10.1002/eap.1722</w:t>
        </w:r>
      </w:hyperlink>
      <w:r>
        <w:t xml:space="preserve">.</w:t>
      </w:r>
    </w:p>
    <w:bookmarkEnd w:id="151"/>
    <w:bookmarkStart w:id="152" w:name="ref-SWFWMD14"/>
    <w:p>
      <w:pPr>
        <w:pStyle w:val="Bibliography"/>
      </w:pPr>
      <w:r>
        <w:t xml:space="preserve">Southwest Florida Water Management District (2014). Photo interpretation key for land use classification.</w:t>
      </w:r>
    </w:p>
    <w:bookmarkEnd w:id="152"/>
    <w:bookmarkStart w:id="154" w:name="ref-SWFWMD18"/>
    <w:p>
      <w:pPr>
        <w:pStyle w:val="Bibliography"/>
      </w:pPr>
      <w:r>
        <w:t xml:space="preserve">Southwest Florida Water Management District (2018). Land use land cover data. c1990-2017. Available at:</w:t>
      </w:r>
      <w:r>
        <w:t xml:space="preserve"> </w:t>
      </w:r>
      <w:hyperlink r:id="rId153">
        <w:r>
          <w:rPr>
            <w:rStyle w:val="Hyperlink"/>
          </w:rPr>
          <w:t xml:space="preserve">https://data-swfwmd.opendata.arcgis.com/</w:t>
        </w:r>
      </w:hyperlink>
      <w:r>
        <w:t xml:space="preserve">.</w:t>
      </w:r>
    </w:p>
    <w:bookmarkEnd w:id="154"/>
    <w:bookmarkStart w:id="156" w:name="ref-SWFWMD19"/>
    <w:p>
      <w:pPr>
        <w:pStyle w:val="Bibliography"/>
      </w:pPr>
      <w:r>
        <w:t xml:space="preserve">Southwest Florida Water Management District (2019). Seagrass in 2018. Available at:</w:t>
      </w:r>
      <w:r>
        <w:t xml:space="preserve"> </w:t>
      </w:r>
      <w:hyperlink r:id="rId155">
        <w:r>
          <w:rPr>
            <w:rStyle w:val="Hyperlink"/>
          </w:rPr>
          <w:t xml:space="preserve">https://data-swfwmd.opendata.arcgis.com/datasets/seagrass-in-2018</w:t>
        </w:r>
      </w:hyperlink>
      <w:r>
        <w:t xml:space="preserve">.</w:t>
      </w:r>
    </w:p>
    <w:bookmarkEnd w:id="156"/>
    <w:bookmarkStart w:id="157"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57"/>
    <w:bookmarkStart w:id="159"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58">
        <w:r>
          <w:rPr>
            <w:rStyle w:val="Hyperlink"/>
          </w:rPr>
          <w:t xml:space="preserve">https://doi.org/10.1016/j.geoderma.2013.10.007</w:t>
        </w:r>
      </w:hyperlink>
      <w:r>
        <w:t xml:space="preserve">.</w:t>
      </w:r>
    </w:p>
    <w:bookmarkEnd w:id="159"/>
    <w:bookmarkStart w:id="161"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60">
        <w:r>
          <w:rPr>
            <w:rStyle w:val="Hyperlink"/>
          </w:rPr>
          <w:t xml:space="preserve">https://doi.org/10.1016/S0169-2046(97)00041-8</w:t>
        </w:r>
      </w:hyperlink>
      <w:r>
        <w:t xml:space="preserve">.</w:t>
      </w:r>
    </w:p>
    <w:bookmarkEnd w:id="161"/>
    <w:bookmarkStart w:id="163"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62">
        <w:r>
          <w:rPr>
            <w:rStyle w:val="Hyperlink"/>
          </w:rPr>
          <w:t xml:space="preserve">https://doi.org/10.1088/1748-9326/4/4/044008</w:t>
        </w:r>
      </w:hyperlink>
      <w:r>
        <w:t xml:space="preserve">.</w:t>
      </w:r>
    </w:p>
    <w:bookmarkEnd w:id="163"/>
    <w:bookmarkStart w:id="165"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64">
        <w:r>
          <w:rPr>
            <w:rStyle w:val="Hyperlink"/>
          </w:rPr>
          <w:t xml:space="preserve">https://doi.org/10.1016/j.marpolbul.2020.111247</w:t>
        </w:r>
      </w:hyperlink>
      <w:r>
        <w:t xml:space="preserve">.</w:t>
      </w:r>
    </w:p>
    <w:bookmarkEnd w:id="165"/>
    <w:bookmarkStart w:id="167"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66">
        <w:r>
          <w:rPr>
            <w:rStyle w:val="Hyperlink"/>
          </w:rPr>
          <w:t xml:space="preserve">https://doi.org/10.1016/j.rse.2011.06.027</w:t>
        </w:r>
      </w:hyperlink>
      <w:r>
        <w:t xml:space="preserve">.</w:t>
      </w:r>
    </w:p>
    <w:bookmarkEnd w:id="167"/>
    <w:bookmarkStart w:id="169"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68">
        <w:r>
          <w:rPr>
            <w:rStyle w:val="Hyperlink"/>
          </w:rPr>
          <w:t xml:space="preserve">https://doi.org/10.1007/s12237-021-00974-7</w:t>
        </w:r>
      </w:hyperlink>
      <w:r>
        <w:t xml:space="preserve">.</w:t>
      </w:r>
    </w:p>
    <w:bookmarkEnd w:id="169"/>
    <w:bookmarkStart w:id="171"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70">
        <w:r>
          <w:rPr>
            <w:rStyle w:val="Hyperlink"/>
          </w:rPr>
          <w:t xml:space="preserve">10.21105/joss.01686</w:t>
        </w:r>
      </w:hyperlink>
      <w:r>
        <w:t xml:space="preserve">.</w:t>
      </w:r>
    </w:p>
    <w:bookmarkEnd w:id="171"/>
    <w:bookmarkStart w:id="173"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72">
        <w:r>
          <w:rPr>
            <w:rStyle w:val="Hyperlink"/>
          </w:rPr>
          <w:t xml:space="preserve">https://doi.org/10.1007/s12237-014-9926-y</w:t>
        </w:r>
      </w:hyperlink>
      <w:r>
        <w:t xml:space="preserve">.</w:t>
      </w:r>
    </w:p>
    <w:bookmarkEnd w:id="173"/>
    <w:bookmarkEnd w:id="174"/>
    <w:bookmarkEnd w:id="17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50" Target="media/rId50.png" /><Relationship Type="http://schemas.openxmlformats.org/officeDocument/2006/relationships/hyperlink" Id="rId68" Target="https://CRAN.R-project.org/package=networkD3" TargetMode="External" /><Relationship Type="http://schemas.openxmlformats.org/officeDocument/2006/relationships/hyperlink" Id="rId153" Target="https://data-swfwmd.opendata.arcgis.com/" TargetMode="External" /><Relationship Type="http://schemas.openxmlformats.org/officeDocument/2006/relationships/hyperlink" Id="rId155" Target="https://data-swfwmd.opendata.arcgis.com/datasets/seagrass-in-2018" TargetMode="External" /><Relationship Type="http://schemas.openxmlformats.org/officeDocument/2006/relationships/hyperlink" Id="rId150" Target="https://doi.org/10.1002/eap.1722" TargetMode="External" /><Relationship Type="http://schemas.openxmlformats.org/officeDocument/2006/relationships/hyperlink" Id="rId93" Target="https://doi.org/10.1007/978-1-4020-5095-4" TargetMode="External" /><Relationship Type="http://schemas.openxmlformats.org/officeDocument/2006/relationships/hyperlink" Id="rId131"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97" Target="https://doi.org/10.1007/s12237-008-9111-2" TargetMode="External" /><Relationship Type="http://schemas.openxmlformats.org/officeDocument/2006/relationships/hyperlink" Id="rId133" Target="https://doi.org/10.1007/s12237-008-9129-5" TargetMode="External" /><Relationship Type="http://schemas.openxmlformats.org/officeDocument/2006/relationships/hyperlink" Id="rId139" Target="https://doi.org/10.1007/s12237-012-9503-1" TargetMode="External" /><Relationship Type="http://schemas.openxmlformats.org/officeDocument/2006/relationships/hyperlink" Id="rId145" Target="https://doi.org/10.1007/s12237-013-9662-8" TargetMode="External" /><Relationship Type="http://schemas.openxmlformats.org/officeDocument/2006/relationships/hyperlink" Id="rId172" Target="https://doi.org/10.1007/s12237-014-9926-y" TargetMode="External" /><Relationship Type="http://schemas.openxmlformats.org/officeDocument/2006/relationships/hyperlink" Id="rId95" Target="https://doi.org/10.1007/s12237-020-00733-0" TargetMode="External" /><Relationship Type="http://schemas.openxmlformats.org/officeDocument/2006/relationships/hyperlink" Id="rId168" Target="https://doi.org/10.1007/s12237-021-00974-7" TargetMode="External" /><Relationship Type="http://schemas.openxmlformats.org/officeDocument/2006/relationships/hyperlink" Id="rId160" Target="https://doi.org/10.1016/S0169-2046(97)00041-8" TargetMode="External" /><Relationship Type="http://schemas.openxmlformats.org/officeDocument/2006/relationships/hyperlink" Id="rId87" Target="https://doi.org/10.1016/j.ecoser.2018.09.004" TargetMode="External" /><Relationship Type="http://schemas.openxmlformats.org/officeDocument/2006/relationships/hyperlink" Id="rId125"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1" Target="https://doi.org/10.1016/j.ecss.2011.10.003" TargetMode="External" /><Relationship Type="http://schemas.openxmlformats.org/officeDocument/2006/relationships/hyperlink" Id="rId158" Target="https://doi.org/10.1016/j.geoderma.2013.10.007" TargetMode="External" /><Relationship Type="http://schemas.openxmlformats.org/officeDocument/2006/relationships/hyperlink" Id="rId164" Target="https://doi.org/10.1016/j.marpolbul.2020.111247" TargetMode="External" /><Relationship Type="http://schemas.openxmlformats.org/officeDocument/2006/relationships/hyperlink" Id="rId166" Target="https://doi.org/10.1016/j.rse.2011.06.027" TargetMode="External" /><Relationship Type="http://schemas.openxmlformats.org/officeDocument/2006/relationships/hyperlink" Id="rId123" Target="https://doi.org/10.1038/s41559-017-0160" TargetMode="External" /><Relationship Type="http://schemas.openxmlformats.org/officeDocument/2006/relationships/hyperlink" Id="rId112" Target="https://doi.org/10.1046/j.1526-100x.2000.80037.x" TargetMode="External" /><Relationship Type="http://schemas.openxmlformats.org/officeDocument/2006/relationships/hyperlink" Id="rId85" Target="https://doi.org/10.1073/pnas.1315800111" TargetMode="External" /><Relationship Type="http://schemas.openxmlformats.org/officeDocument/2006/relationships/hyperlink" Id="rId83" Target="https://doi.org/10.1073/pnas.1902181116" TargetMode="External" /><Relationship Type="http://schemas.openxmlformats.org/officeDocument/2006/relationships/hyperlink" Id="rId99" Target="https://doi.org/10.1080/08920750802395558" TargetMode="External" /><Relationship Type="http://schemas.openxmlformats.org/officeDocument/2006/relationships/hyperlink" Id="rId162" Target="https://doi.org/10.1088/1748-9326/4/4/044008" TargetMode="External" /><Relationship Type="http://schemas.openxmlformats.org/officeDocument/2006/relationships/hyperlink" Id="rId121" Target="https://doi.org/10.1111/jpy.12883" TargetMode="External" /><Relationship Type="http://schemas.openxmlformats.org/officeDocument/2006/relationships/hyperlink" Id="rId101" Target="https://doi.org/10.1201/9780138750308" TargetMode="External" /><Relationship Type="http://schemas.openxmlformats.org/officeDocument/2006/relationships/hyperlink" Id="rId81" Target="https://doi.org/10.1371/journal.pone.0132651" TargetMode="External" /><Relationship Type="http://schemas.openxmlformats.org/officeDocument/2006/relationships/hyperlink" Id="rId170" Target="https://doi.org/10.21105/joss.01686" TargetMode="External" /><Relationship Type="http://schemas.openxmlformats.org/officeDocument/2006/relationships/hyperlink" Id="rId115" Target="https://doi.org/10.2307/1352488" TargetMode="External" /><Relationship Type="http://schemas.openxmlformats.org/officeDocument/2006/relationships/hyperlink" Id="rId135"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79" Target="https://drive.google.com/file/d/1c_KTSJ4TgVX9IugnyDadr2Hc0gjAuQg2/view?usp=drivesdk" TargetMode="External" /><Relationship Type="http://schemas.openxmlformats.org/officeDocument/2006/relationships/hyperlink" Id="rId104"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37"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networkD3" TargetMode="External" /><Relationship Type="http://schemas.openxmlformats.org/officeDocument/2006/relationships/hyperlink" Id="rId153" Target="https://data-swfwmd.opendata.arcgis.com/" TargetMode="External" /><Relationship Type="http://schemas.openxmlformats.org/officeDocument/2006/relationships/hyperlink" Id="rId155" Target="https://data-swfwmd.opendata.arcgis.com/datasets/seagrass-in-2018" TargetMode="External" /><Relationship Type="http://schemas.openxmlformats.org/officeDocument/2006/relationships/hyperlink" Id="rId150" Target="https://doi.org/10.1002/eap.1722" TargetMode="External" /><Relationship Type="http://schemas.openxmlformats.org/officeDocument/2006/relationships/hyperlink" Id="rId93" Target="https://doi.org/10.1007/978-1-4020-5095-4" TargetMode="External" /><Relationship Type="http://schemas.openxmlformats.org/officeDocument/2006/relationships/hyperlink" Id="rId131"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97" Target="https://doi.org/10.1007/s12237-008-9111-2" TargetMode="External" /><Relationship Type="http://schemas.openxmlformats.org/officeDocument/2006/relationships/hyperlink" Id="rId133" Target="https://doi.org/10.1007/s12237-008-9129-5" TargetMode="External" /><Relationship Type="http://schemas.openxmlformats.org/officeDocument/2006/relationships/hyperlink" Id="rId139" Target="https://doi.org/10.1007/s12237-012-9503-1" TargetMode="External" /><Relationship Type="http://schemas.openxmlformats.org/officeDocument/2006/relationships/hyperlink" Id="rId145" Target="https://doi.org/10.1007/s12237-013-9662-8" TargetMode="External" /><Relationship Type="http://schemas.openxmlformats.org/officeDocument/2006/relationships/hyperlink" Id="rId172" Target="https://doi.org/10.1007/s12237-014-9926-y" TargetMode="External" /><Relationship Type="http://schemas.openxmlformats.org/officeDocument/2006/relationships/hyperlink" Id="rId95" Target="https://doi.org/10.1007/s12237-020-00733-0" TargetMode="External" /><Relationship Type="http://schemas.openxmlformats.org/officeDocument/2006/relationships/hyperlink" Id="rId168" Target="https://doi.org/10.1007/s12237-021-00974-7" TargetMode="External" /><Relationship Type="http://schemas.openxmlformats.org/officeDocument/2006/relationships/hyperlink" Id="rId160" Target="https://doi.org/10.1016/S0169-2046(97)00041-8" TargetMode="External" /><Relationship Type="http://schemas.openxmlformats.org/officeDocument/2006/relationships/hyperlink" Id="rId87" Target="https://doi.org/10.1016/j.ecoser.2018.09.004" TargetMode="External" /><Relationship Type="http://schemas.openxmlformats.org/officeDocument/2006/relationships/hyperlink" Id="rId125" Target="https://doi.org/10.1016/j.ecoser.2018.09.005" TargetMode="External" /><Relationship Type="http://schemas.openxmlformats.org/officeDocument/2006/relationships/hyperlink" Id="rId71" Target="https://doi.org/10.1016/j.ecoser.2020.101179" TargetMode="External" /><Relationship Type="http://schemas.openxmlformats.org/officeDocument/2006/relationships/hyperlink" Id="rId91" Target="https://doi.org/10.1016/j.ecss.2011.10.003" TargetMode="External" /><Relationship Type="http://schemas.openxmlformats.org/officeDocument/2006/relationships/hyperlink" Id="rId158" Target="https://doi.org/10.1016/j.geoderma.2013.10.007" TargetMode="External" /><Relationship Type="http://schemas.openxmlformats.org/officeDocument/2006/relationships/hyperlink" Id="rId164" Target="https://doi.org/10.1016/j.marpolbul.2020.111247" TargetMode="External" /><Relationship Type="http://schemas.openxmlformats.org/officeDocument/2006/relationships/hyperlink" Id="rId166" Target="https://doi.org/10.1016/j.rse.2011.06.027" TargetMode="External" /><Relationship Type="http://schemas.openxmlformats.org/officeDocument/2006/relationships/hyperlink" Id="rId123" Target="https://doi.org/10.1038/s41559-017-0160" TargetMode="External" /><Relationship Type="http://schemas.openxmlformats.org/officeDocument/2006/relationships/hyperlink" Id="rId112" Target="https://doi.org/10.1046/j.1526-100x.2000.80037.x" TargetMode="External" /><Relationship Type="http://schemas.openxmlformats.org/officeDocument/2006/relationships/hyperlink" Id="rId85" Target="https://doi.org/10.1073/pnas.1315800111" TargetMode="External" /><Relationship Type="http://schemas.openxmlformats.org/officeDocument/2006/relationships/hyperlink" Id="rId83" Target="https://doi.org/10.1073/pnas.1902181116" TargetMode="External" /><Relationship Type="http://schemas.openxmlformats.org/officeDocument/2006/relationships/hyperlink" Id="rId99" Target="https://doi.org/10.1080/08920750802395558" TargetMode="External" /><Relationship Type="http://schemas.openxmlformats.org/officeDocument/2006/relationships/hyperlink" Id="rId162" Target="https://doi.org/10.1088/1748-9326/4/4/044008" TargetMode="External" /><Relationship Type="http://schemas.openxmlformats.org/officeDocument/2006/relationships/hyperlink" Id="rId121" Target="https://doi.org/10.1111/jpy.12883" TargetMode="External" /><Relationship Type="http://schemas.openxmlformats.org/officeDocument/2006/relationships/hyperlink" Id="rId101" Target="https://doi.org/10.1201/9780138750308" TargetMode="External" /><Relationship Type="http://schemas.openxmlformats.org/officeDocument/2006/relationships/hyperlink" Id="rId81" Target="https://doi.org/10.1371/journal.pone.0132651" TargetMode="External" /><Relationship Type="http://schemas.openxmlformats.org/officeDocument/2006/relationships/hyperlink" Id="rId170" Target="https://doi.org/10.21105/joss.01686" TargetMode="External" /><Relationship Type="http://schemas.openxmlformats.org/officeDocument/2006/relationships/hyperlink" Id="rId115" Target="https://doi.org/10.2307/1352488" TargetMode="External" /><Relationship Type="http://schemas.openxmlformats.org/officeDocument/2006/relationships/hyperlink" Id="rId135" Target="https://doi.org/10.32614/RJ-2018-009" TargetMode="External" /><Relationship Type="http://schemas.openxmlformats.org/officeDocument/2006/relationships/hyperlink" Id="rId73" Target="https://doi.org/10.5281/zenodo.7032909" TargetMode="External" /><Relationship Type="http://schemas.openxmlformats.org/officeDocument/2006/relationships/hyperlink" Id="rId79" Target="https://drive.google.com/file/d/1c_KTSJ4TgVX9IugnyDadr2Hc0gjAuQg2/view?usp=drivesdk" TargetMode="External" /><Relationship Type="http://schemas.openxmlformats.org/officeDocument/2006/relationships/hyperlink" Id="rId104"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37"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Raulerson1, Maya C Burke1, Justin Saarinen2, Christine Sciarrino2, Edward T Sherwood1, and David A Tomasko3</dc:creator>
  <cp:keywords/>
  <dcterms:created xsi:type="dcterms:W3CDTF">2022-09-08T20:14:31Z</dcterms:created>
  <dcterms:modified xsi:type="dcterms:W3CDTF">2022-09-08T20:14:31Z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