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49.png" ContentType="image/png"/>
  <Override PartName="/word/media/rId45.png" ContentType="image/png"/>
  <Override PartName="/word/media/rId61.png" ContentType="image/png"/>
  <Override PartName="/word/media/rId65.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0"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Addressing the full suite of habitats in a watershed is critical for large-scale restoration planning efforts</w:t>
      </w:r>
      <w:r>
        <w:t xml:space="preserve"> </w:t>
      </w:r>
      <w:r>
        <w:t xml:space="preserve">(Palmer, 2009; Lamb, 2018)</w:t>
      </w:r>
      <w:r>
        <w:rPr>
          <w:bCs/>
          <w:b/>
        </w:rPr>
        <w:t xml:space="preserve">.</w:t>
      </w:r>
      <w:r>
        <w:t xml:space="preserve"> </w:t>
      </w: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reaminder of the watershed).</w:t>
      </w:r>
    </w:p>
    <w:p>
      <w:pPr>
        <w:pStyle w:val="BodyText"/>
      </w:pPr>
      <w:r>
        <w:t xml:space="preserve">Subtidal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were classified as emergent tidal wetlands.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identifed by integrating multiple datasets available for the region. Habitat status and historical trends were first quantified using land use/land cover and subtidal datasets to understand relative changes that have occurred over time. Historic habitat restoration efforts conducted in the Tampa Bay watershed were synthesized as a guide for understanding a feasible level of effort for future projects that could be conducted by restoration practitioners. Finally, remaining opportunities for restoration that integrated results from the first two analyses were identified based on current status of habitat coverage in the watershed. This included combining current coverages with existing protected areas and considering their location within the three strata (sub-, inter-, supratidal) and areas anticipated to be impacted by sea-level rise and development near coastal areas. The final results included spatially-explicit maps that identified opportunity areas and restoration potential for remaining native habitats in the watershed. Short-term (2030) goals and long-term (2050) targets for coverage (hectares) of native habitats were informed by current status, past trends, and historical restoration efforts in the region.</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begin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from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p>
    <w:bookmarkEnd w:id="26"/>
    <w:bookmarkStart w:id="28" w:name="restoration-database"/>
    <w:p>
      <w:pPr>
        <w:pStyle w:val="Heading3"/>
      </w:pPr>
      <w:r>
        <w:t xml:space="preserve">Restoration database</w:t>
      </w:r>
    </w:p>
    <w:p>
      <w:pPr>
        <w:pStyle w:val="FirstParagraph"/>
      </w:pPr>
      <w:r>
        <w:t xml:space="preserve">Past restoration projects were quantified for each of the major habitat types to inform expectations for setting short-term goals and long-term targets.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lead partner, size (area or length), and latitude and longitude. Data gaps were supplemented by archival research, site visits, contacting the responsible entities, and expert knowledge form local professionals. Living shoreline projects, including seawall enhancements and oyster reef modules, were inventoried separately.</w:t>
      </w:r>
    </w:p>
    <w:bookmarkEnd w:id="28"/>
    <w:bookmarkStart w:id="29" w:name="X3ee14f540c6971491d0c5ce5ddb0f35ab125cab"/>
    <w:p>
      <w:pPr>
        <w:pStyle w:val="Heading3"/>
      </w:pPr>
      <w:r>
        <w:t xml:space="preserve">Creating and combining opportunity layers</w:t>
      </w:r>
    </w:p>
    <w:p>
      <w:pPr>
        <w:pStyle w:val="FirstParagraph"/>
      </w:pPr>
      <w:r>
        <w:t xml:space="preserve">Spatially-explicit estimates of the remaining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binning existing datasets into relevant categories and overlaying multiple datasets to identify restoration opportunities. Opportunity areas were defined as locations where habitat protection and restoration activities are possible, and where they should best be focused to attain defined targets. The definition and mapping of opportunity areas is necessary to quantify the restoration potential for a particular habitat type, which is a measure of what is actually possible under current and future projected conditions, related both to land use change and sea-level rise.</w:t>
      </w:r>
    </w:p>
    <w:p>
      <w:pPr>
        <w:pStyle w:val="BodyText"/>
      </w:pPr>
      <w:r>
        <w:t xml:space="preserve">The Land Use Land Cover 2017 dataset from SWFWMD was used as the baseline for binning existing coverages into the relevant habitat types in the intertidal and subtidal strata.</w:t>
      </w:r>
    </w:p>
    <w:p>
      <w:pPr>
        <w:pStyle w:val="BodyText"/>
      </w:pPr>
      <w:r>
        <w:t xml:space="preserve">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29"/>
    <w:bookmarkEnd w:id="30"/>
    <w:bookmarkStart w:id="39" w:name="results"/>
    <w:p>
      <w:pPr>
        <w:pStyle w:val="Heading2"/>
      </w:pPr>
      <w:r>
        <w:t xml:space="preserve">Results</w:t>
      </w:r>
    </w:p>
    <w:bookmarkStart w:id="35" w:name="habitat-status-and-trends-1"/>
    <w:p>
      <w:pPr>
        <w:pStyle w:val="Heading3"/>
      </w:pPr>
      <w:r>
        <w:t xml:space="preserve">Habitat status and trends</w:t>
      </w:r>
    </w:p>
    <w:bookmarkStart w:id="31" w:name="subtidal-habitats"/>
    <w:p>
      <w:pPr>
        <w:pStyle w:val="Heading4"/>
      </w:pPr>
      <w:r>
        <w:t xml:space="preserve">Subtidal habitats</w:t>
      </w:r>
    </w:p>
    <w:p>
      <w:pPr>
        <w:pStyle w:val="FirstParagraph"/>
      </w:pPr>
      <w:hyperlink w:anchor="fig-subtchgdatalluv">
        <w:r>
          <w:rPr>
            <w:rStyle w:val="Hyperlink"/>
          </w:rPr>
          <w:t xml:space="preserve">Figure 3</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1"/>
    <w:bookmarkStart w:id="33" w:name="intertidal-habitats"/>
    <w:p>
      <w:pPr>
        <w:pStyle w:val="Heading4"/>
      </w:pPr>
      <w:r>
        <w:t xml:space="preserve">Intertidal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2">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3"/>
    <w:bookmarkStart w:id="34" w:name="supratidal-habitats"/>
    <w:p>
      <w:pPr>
        <w:pStyle w:val="Heading4"/>
      </w:pPr>
      <w:r>
        <w:t xml:space="preserve">Supratidal habitats</w:t>
      </w:r>
    </w:p>
    <w:p>
      <w:pPr>
        <w:pStyle w:val="FirstParagraph"/>
      </w:pPr>
      <w:hyperlink w:anchor="fig-chgdatalluv">
        <w:r>
          <w:rPr>
            <w:rStyle w:val="Hyperlink"/>
          </w:rPr>
          <w:t xml:space="preserve">Figure 4</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4"/>
    <w:bookmarkEnd w:id="35"/>
    <w:bookmarkStart w:id="36"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6"/>
    <w:bookmarkStart w:id="37" w:name="habitat-restoration-opportunities"/>
    <w:p>
      <w:pPr>
        <w:pStyle w:val="Heading3"/>
      </w:pPr>
      <w:r>
        <w:t xml:space="preserve">Habitat restoration opportunities</w:t>
      </w:r>
    </w:p>
    <w:p>
      <w:pPr>
        <w:pStyle w:val="FirstParagraph"/>
      </w:pPr>
      <w:hyperlink w:anchor="fig-oppmap">
        <w:r>
          <w:rPr>
            <w:rStyle w:val="Hyperlink"/>
          </w:rPr>
          <w:t xml:space="preserve">Figure 5</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6</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7"/>
    <w:bookmarkStart w:id="38"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8"/>
    <w:bookmarkEnd w:id="39"/>
    <w:bookmarkStart w:id="44"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0"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0"/>
    <w:bookmarkStart w:id="41"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1"/>
    <w:bookmarkStart w:id="42"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2"/>
    <w:bookmarkStart w:id="43"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3"/>
    <w:bookmarkEnd w:id="44"/>
    <w:bookmarkStart w:id="69"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8" w:name="fig-lulcmap"/>
          <w:p>
            <w:pPr>
              <w:pStyle w:val="Figure"/>
              <w:jc w:val="center"/>
            </w:pPr>
            <w:r>
              <w:drawing>
                <wp:inline>
                  <wp:extent cx="5943600" cy="4245428"/>
                  <wp:effectExtent b="0" l="0" r="0" t="0"/>
                  <wp:docPr descr="" title="" id="46" name="Picture"/>
                  <a:graphic>
                    <a:graphicData uri="http://schemas.openxmlformats.org/drawingml/2006/picture">
                      <pic:pic>
                        <pic:nvPicPr>
                          <pic:cNvPr descr="figs/lulcmap.png" id="47" name="Picture"/>
                          <pic:cNvPicPr>
                            <a:picLocks noChangeArrowheads="1" noChangeAspect="1"/>
                          </pic:cNvPicPr>
                        </pic:nvPicPr>
                        <pic:blipFill>
                          <a:blip r:embed="rId4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w:t>
            </w:r>
          </w:p>
          <w:bookmarkEnd w:id="48"/>
        </w:tc>
      </w:tr>
    </w:tbl>
    <w:p/>
    <w:tbl>
      <w:tblPr>
        <w:tblStyle w:val="Table"/>
        <w:tblW w:type="pct" w:w="5000"/>
        <w:tblLook w:firstRow="0" w:lastRow="0" w:firstColumn="0" w:lastColumn="0" w:noHBand="0" w:noVBand="0" w:val="0000"/>
      </w:tblPr>
      <w:tblGrid>
        <w:gridCol w:w="7920"/>
      </w:tblGrid>
      <w:tr>
        <w:tc>
          <w:tcPr/>
          <w:bookmarkStart w:id="52" w:name="fig-gisworkflow"/>
          <w:p>
            <w:pPr>
              <w:pStyle w:val="Figure"/>
              <w:jc w:val="center"/>
            </w:pPr>
            <w:r>
              <w:drawing>
                <wp:inline>
                  <wp:extent cx="5943600" cy="6840747"/>
                  <wp:effectExtent b="0" l="0" r="0" t="0"/>
                  <wp:docPr descr="" title="" id="50" name="Picture"/>
                  <a:graphic>
                    <a:graphicData uri="http://schemas.openxmlformats.org/drawingml/2006/picture">
                      <pic:pic>
                        <pic:nvPicPr>
                          <pic:cNvPr descr="figs/gisworkflow.png" id="51" name="Picture"/>
                          <pic:cNvPicPr>
                            <a:picLocks noChangeArrowheads="1" noChangeAspect="1"/>
                          </pic:cNvPicPr>
                        </pic:nvPicPr>
                        <pic:blipFill>
                          <a:blip r:embed="rId49"/>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2"/>
        </w:tc>
      </w:tr>
    </w:tbl>
    <w:p/>
    <w:tbl>
      <w:tblPr>
        <w:tblStyle w:val="Table"/>
        <w:tblW w:type="pct" w:w="5000"/>
        <w:tblLook w:firstRow="0" w:lastRow="0" w:firstColumn="0" w:lastColumn="0" w:noHBand="0" w:noVBand="0" w:val="0000"/>
      </w:tblPr>
      <w:tblGrid>
        <w:gridCol w:w="7920"/>
      </w:tblGrid>
      <w:tr>
        <w:tc>
          <w:tcPr/>
          <w:bookmarkStart w:id="56" w:name="fig-subtchgdatalluv"/>
          <w:p>
            <w:pPr>
              <w:pStyle w:val="Figure"/>
              <w:jc w:val="center"/>
            </w:pPr>
            <w:r>
              <w:drawing>
                <wp:inline>
                  <wp:extent cx="4663745" cy="6755550"/>
                  <wp:effectExtent b="0" l="0" r="0" t="0"/>
                  <wp:docPr descr="" title="" id="54" name="Picture"/>
                  <a:graphic>
                    <a:graphicData uri="http://schemas.openxmlformats.org/drawingml/2006/picture">
                      <pic:pic>
                        <pic:nvPicPr>
                          <pic:cNvPr descr="figs/subtchgdatalluv.png" id="55" name="Picture"/>
                          <pic:cNvPicPr>
                            <a:picLocks noChangeArrowheads="1" noChangeAspect="1"/>
                          </pic:cNvPicPr>
                        </pic:nvPicPr>
                        <pic:blipFill>
                          <a:blip r:embed="rId53"/>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6"/>
        </w:tc>
      </w:tr>
    </w:tbl>
    <w:p/>
    <w:tbl>
      <w:tblPr>
        <w:tblStyle w:val="Table"/>
        <w:tblW w:type="pct" w:w="5000"/>
        <w:tblLook w:firstRow="0" w:lastRow="0" w:firstColumn="0" w:lastColumn="0" w:noHBand="0" w:noVBand="0" w:val="0000"/>
      </w:tblPr>
      <w:tblGrid>
        <w:gridCol w:w="7920"/>
      </w:tblGrid>
      <w:tr>
        <w:tc>
          <w:tcPr/>
          <w:bookmarkStart w:id="60" w:name="fig-chgdatalluv"/>
          <w:p>
            <w:pPr>
              <w:pStyle w:val="Figure"/>
              <w:jc w:val="center"/>
            </w:pPr>
            <w:r>
              <w:drawing>
                <wp:inline>
                  <wp:extent cx="5943600" cy="5940900"/>
                  <wp:effectExtent b="0" l="0" r="0" t="0"/>
                  <wp:docPr descr="" title="" id="58" name="Picture"/>
                  <a:graphic>
                    <a:graphicData uri="http://schemas.openxmlformats.org/drawingml/2006/picture">
                      <pic:pic>
                        <pic:nvPicPr>
                          <pic:cNvPr descr="figs/chgdatalluv.png" id="59" name="Picture"/>
                          <pic:cNvPicPr>
                            <a:picLocks noChangeArrowheads="1" noChangeAspect="1"/>
                          </pic:cNvPicPr>
                        </pic:nvPicPr>
                        <pic:blipFill>
                          <a:blip r:embed="rId57"/>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60"/>
        </w:tc>
      </w:tr>
    </w:tbl>
    <w:p/>
    <w:tbl>
      <w:tblPr>
        <w:tblStyle w:val="Table"/>
        <w:tblW w:type="pct" w:w="5000"/>
        <w:tblLook w:firstRow="0" w:lastRow="0" w:firstColumn="0" w:lastColumn="0" w:noHBand="0" w:noVBand="0" w:val="0000"/>
      </w:tblPr>
      <w:tblGrid>
        <w:gridCol w:w="7920"/>
      </w:tblGrid>
      <w:tr>
        <w:tc>
          <w:tcPr/>
          <w:bookmarkStart w:id="64" w:name="fig-oppmap"/>
          <w:p>
            <w:pPr>
              <w:pStyle w:val="Figure"/>
              <w:jc w:val="center"/>
            </w:pPr>
            <w:r>
              <w:drawing>
                <wp:inline>
                  <wp:extent cx="5943600" cy="3714749"/>
                  <wp:effectExtent b="0" l="0" r="0" t="0"/>
                  <wp:docPr descr="" title="" id="62" name="Picture"/>
                  <a:graphic>
                    <a:graphicData uri="http://schemas.openxmlformats.org/drawingml/2006/picture">
                      <pic:pic>
                        <pic:nvPicPr>
                          <pic:cNvPr descr="figs/oppmap.png" id="63" name="Picture"/>
                          <pic:cNvPicPr>
                            <a:picLocks noChangeArrowheads="1" noChangeAspect="1"/>
                          </pic:cNvPicPr>
                        </pic:nvPicPr>
                        <pic:blipFill>
                          <a:blip r:embed="rId6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4"/>
        </w:tc>
      </w:tr>
    </w:tbl>
    <w:p/>
    <w:tbl>
      <w:tblPr>
        <w:tblStyle w:val="Table"/>
        <w:tblW w:type="pct" w:w="5000"/>
        <w:tblLook w:firstRow="0" w:lastRow="0" w:firstColumn="0" w:lastColumn="0" w:noHBand="0" w:noVBand="0" w:val="0000"/>
      </w:tblPr>
      <w:tblGrid>
        <w:gridCol w:w="7920"/>
      </w:tblGrid>
      <w:tr>
        <w:tc>
          <w:tcPr/>
          <w:bookmarkStart w:id="68" w:name="fig-restmap"/>
          <w:p>
            <w:pPr>
              <w:pStyle w:val="Figure"/>
              <w:jc w:val="center"/>
            </w:pPr>
            <w:r>
              <w:drawing>
                <wp:inline>
                  <wp:extent cx="5943600" cy="3714749"/>
                  <wp:effectExtent b="0" l="0" r="0" t="0"/>
                  <wp:docPr descr="" title="" id="66" name="Picture"/>
                  <a:graphic>
                    <a:graphicData uri="http://schemas.openxmlformats.org/drawingml/2006/picture">
                      <pic:pic>
                        <pic:nvPicPr>
                          <pic:cNvPr descr="figs/restmap.png" id="67" name="Picture"/>
                          <pic:cNvPicPr>
                            <a:picLocks noChangeArrowheads="1" noChangeAspect="1"/>
                          </pic:cNvPicPr>
                        </pic:nvPicPr>
                        <pic:blipFill>
                          <a:blip r:embed="rId65"/>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8"/>
        </w:tc>
      </w:tr>
    </w:tbl>
    <w:p>
      <w:r>
        <w:br w:type="page"/>
      </w:r>
    </w:p>
    <w:bookmarkEnd w:id="69"/>
    <w:bookmarkStart w:id="70" w:name="tables"/>
    <w:p>
      <w:pPr>
        <w:pStyle w:val="Heading2"/>
      </w:pPr>
      <w:r>
        <w:t xml:space="preserve">Tables</w:t>
      </w:r>
    </w:p>
    <w:p>
      <w:pPr>
        <w:pStyle w:val=""/>
      </w:pPr>
      <w:r>
        <w:rPr>
          <w:rFonts/>
          <w:b w:val="true"/>
        </w:rPr>
        <w:t xml:space="preserve">Table</w:t>
      </w:r>
      <w:bookmarkStart w:id="39cda3bd-360c-4c87-b99f-71c6367c7a9e"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9cda3bd-360c-4c87-b99f-71c6367c7a9e"/>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2b7b9d3b-699c-42ad-995c-91d8e2fc7d67"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b7b9d3b-699c-42ad-995c-91d8e2fc7d67"/>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42264fe5-9092-42f7-a380-1da25c77446d"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2264fe5-9092-42f7-a380-1da25c77446d"/>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7f1afebb-fff9-4285-be28-1eb1c52470ca"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f1afebb-fff9-4285-be28-1eb1c52470ca"/>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70"/>
    <w:bookmarkStart w:id="181" w:name="references"/>
    <w:p>
      <w:pPr>
        <w:pStyle w:val="Heading2"/>
      </w:pPr>
      <w:r>
        <w:t xml:space="preserve">References</w:t>
      </w:r>
    </w:p>
    <w:bookmarkStart w:id="180" w:name="refs"/>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4">
        <w:r>
          <w:rPr>
            <w:rStyle w:val="Hyperlink"/>
          </w:rPr>
          <w:t xml:space="preserve">https://doi.org/10.1007/s11273-017-9565-8</w:t>
        </w:r>
      </w:hyperlink>
      <w:r>
        <w:t xml:space="preserve">.</w:t>
      </w:r>
    </w:p>
    <w:bookmarkEnd w:id="75"/>
    <w:bookmarkStart w:id="76"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6"/>
    <w:bookmarkStart w:id="77"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7"/>
    <w:bookmarkStart w:id="78"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0">
        <w:r>
          <w:rPr>
            <w:rStyle w:val="Hyperlink"/>
          </w:rPr>
          <w:t xml:space="preserve">https://drive.google.com/file/d/11xohuoaHDxNHRqgXoOHdI37FpWvac_rn/view?usp=sharing</w:t>
        </w:r>
      </w:hyperlink>
      <w:r>
        <w:t xml:space="preserve">.</w:t>
      </w:r>
    </w:p>
    <w:bookmarkEnd w:id="81"/>
    <w:bookmarkStart w:id="83"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2">
        <w:r>
          <w:rPr>
            <w:rStyle w:val="Hyperlink"/>
          </w:rPr>
          <w:t xml:space="preserve">https://drive.google.com/file/d/1c_KTSJ4TgVX9IugnyDadr2Hc0gjAuQg2/view?usp=drivesdk</w:t>
        </w:r>
      </w:hyperlink>
      <w:r>
        <w:t xml:space="preserve">.</w:t>
      </w:r>
    </w:p>
    <w:bookmarkEnd w:id="83"/>
    <w:bookmarkStart w:id="85"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4">
        <w:r>
          <w:rPr>
            <w:rStyle w:val="Hyperlink"/>
          </w:rPr>
          <w:t xml:space="preserve">https://doi.org/10.1371/journal.pone.0132651</w:t>
        </w:r>
      </w:hyperlink>
      <w:r>
        <w:t xml:space="preserve">.</w:t>
      </w:r>
    </w:p>
    <w:bookmarkEnd w:id="85"/>
    <w:bookmarkStart w:id="87"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6">
        <w:r>
          <w:rPr>
            <w:rStyle w:val="Hyperlink"/>
          </w:rPr>
          <w:t xml:space="preserve">https://doi.org/10.1073/pnas.1902181116</w:t>
        </w:r>
      </w:hyperlink>
      <w:r>
        <w:t xml:space="preserve">.</w:t>
      </w:r>
    </w:p>
    <w:bookmarkEnd w:id="87"/>
    <w:bookmarkStart w:id="89"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8">
        <w:r>
          <w:rPr>
            <w:rStyle w:val="Hyperlink"/>
          </w:rPr>
          <w:t xml:space="preserve">https://doi.org/10.1073/pnas.1315800111</w:t>
        </w:r>
      </w:hyperlink>
      <w:r>
        <w:t xml:space="preserve">.</w:t>
      </w:r>
    </w:p>
    <w:bookmarkEnd w:id="89"/>
    <w:bookmarkStart w:id="91"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0">
        <w:r>
          <w:rPr>
            <w:rStyle w:val="Hyperlink"/>
          </w:rPr>
          <w:t xml:space="preserve">https://doi.org/10.1016/j.ecoser.2018.09.004</w:t>
        </w:r>
      </w:hyperlink>
      <w:r>
        <w:t xml:space="preserve">.</w:t>
      </w:r>
    </w:p>
    <w:bookmarkEnd w:id="91"/>
    <w:bookmarkStart w:id="92"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2"/>
    <w:bookmarkStart w:id="93"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3"/>
    <w:bookmarkStart w:id="95"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4">
        <w:r>
          <w:rPr>
            <w:rStyle w:val="Hyperlink"/>
          </w:rPr>
          <w:t xml:space="preserve">https://doi.org/10.1016/j.ecss.2011.10.003</w:t>
        </w:r>
      </w:hyperlink>
      <w:r>
        <w:t xml:space="preserve">.</w:t>
      </w:r>
    </w:p>
    <w:bookmarkEnd w:id="95"/>
    <w:bookmarkStart w:id="97"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6">
        <w:r>
          <w:rPr>
            <w:rStyle w:val="Hyperlink"/>
          </w:rPr>
          <w:t xml:space="preserve">https://doi.org/10.1007/978-1-4020-5095-4</w:t>
        </w:r>
      </w:hyperlink>
      <w:r>
        <w:t xml:space="preserve">.</w:t>
      </w:r>
    </w:p>
    <w:bookmarkEnd w:id="97"/>
    <w:bookmarkStart w:id="99"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8">
        <w:r>
          <w:rPr>
            <w:rStyle w:val="Hyperlink"/>
          </w:rPr>
          <w:t xml:space="preserve">https://doi.org/10.1007/s12237-020-00733-0</w:t>
        </w:r>
      </w:hyperlink>
      <w:r>
        <w:t xml:space="preserve">.</w:t>
      </w:r>
    </w:p>
    <w:bookmarkEnd w:id="99"/>
    <w:bookmarkStart w:id="101"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0">
        <w:r>
          <w:rPr>
            <w:rStyle w:val="Hyperlink"/>
          </w:rPr>
          <w:t xml:space="preserve">https://doi.org/10.1007/s12237-008-9111-2</w:t>
        </w:r>
      </w:hyperlink>
      <w:r>
        <w:t xml:space="preserve">.</w:t>
      </w:r>
    </w:p>
    <w:bookmarkEnd w:id="101"/>
    <w:bookmarkStart w:id="103"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2">
        <w:r>
          <w:rPr>
            <w:rStyle w:val="Hyperlink"/>
          </w:rPr>
          <w:t xml:space="preserve">https://doi.org/10.1080/08920750802395558</w:t>
        </w:r>
      </w:hyperlink>
      <w:r>
        <w:t xml:space="preserve">.</w:t>
      </w:r>
    </w:p>
    <w:bookmarkEnd w:id="103"/>
    <w:bookmarkStart w:id="105"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4">
        <w:r>
          <w:rPr>
            <w:rStyle w:val="Hyperlink"/>
          </w:rPr>
          <w:t xml:space="preserve">https://doi.org/10.1201/9780138750308</w:t>
        </w:r>
      </w:hyperlink>
      <w:r>
        <w:t xml:space="preserve">.</w:t>
      </w:r>
    </w:p>
    <w:bookmarkEnd w:id="105"/>
    <w:bookmarkStart w:id="106"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6"/>
    <w:bookmarkStart w:id="107" w:name="ref-EPA96"/>
    <w:p>
      <w:pPr>
        <w:pStyle w:val="Bibliography"/>
      </w:pPr>
      <w:r>
        <w:t xml:space="preserve">Environmental Protection Agency (1996). Watershed approach framework. Office of Water (4501F).</w:t>
      </w:r>
    </w:p>
    <w:bookmarkEnd w:id="107"/>
    <w:bookmarkStart w:id="109"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8">
        <w:r>
          <w:rPr>
            <w:rStyle w:val="Hyperlink"/>
          </w:rPr>
          <w:t xml:space="preserve">https://dx.doi.org/10.3133/ds969</w:t>
        </w:r>
      </w:hyperlink>
      <w:r>
        <w:t xml:space="preserve">.</w:t>
      </w:r>
    </w:p>
    <w:bookmarkEnd w:id="109"/>
    <w:bookmarkStart w:id="110"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0"/>
    <w:bookmarkStart w:id="111"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1"/>
    <w:bookmarkStart w:id="113"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2">
        <w:r>
          <w:rPr>
            <w:rStyle w:val="Hyperlink"/>
          </w:rPr>
          <w:t xml:space="preserve">https://doi.org/10.1371/journal.pone.0132079</w:t>
        </w:r>
      </w:hyperlink>
      <w:r>
        <w:t xml:space="preserve">.</w:t>
      </w:r>
    </w:p>
    <w:bookmarkEnd w:id="113"/>
    <w:bookmarkStart w:id="114"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4"/>
    <w:bookmarkStart w:id="115"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5"/>
    <w:bookmarkStart w:id="116"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6"/>
    <w:bookmarkStart w:id="117"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7"/>
    <w:bookmarkStart w:id="118"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18"/>
    <w:bookmarkStart w:id="120"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9">
        <w:r>
          <w:rPr>
            <w:rStyle w:val="Hyperlink"/>
          </w:rPr>
          <w:t xml:space="preserve">https://doi.org/10.1046/j.1526-100x.2000.80037.x</w:t>
        </w:r>
      </w:hyperlink>
      <w:r>
        <w:t xml:space="preserve">.</w:t>
      </w:r>
    </w:p>
    <w:bookmarkEnd w:id="120"/>
    <w:bookmarkStart w:id="121"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1"/>
    <w:bookmarkStart w:id="123"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2">
        <w:r>
          <w:rPr>
            <w:rStyle w:val="Hyperlink"/>
          </w:rPr>
          <w:t xml:space="preserve">https://doi.org/10.2307/1352488</w:t>
        </w:r>
      </w:hyperlink>
      <w:r>
        <w:t xml:space="preserve">.</w:t>
      </w:r>
    </w:p>
    <w:bookmarkEnd w:id="123"/>
    <w:bookmarkStart w:id="124"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4"/>
    <w:bookmarkStart w:id="125"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5"/>
    <w:bookmarkStart w:id="126"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6"/>
    <w:bookmarkStart w:id="127"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7"/>
    <w:bookmarkStart w:id="128"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8"/>
    <w:bookmarkStart w:id="129"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29"/>
    <w:bookmarkStart w:id="130"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0"/>
    <w:bookmarkStart w:id="132"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1">
        <w:r>
          <w:rPr>
            <w:rStyle w:val="Hyperlink"/>
          </w:rPr>
          <w:t xml:space="preserve">10.1038/s41559-017-0160</w:t>
        </w:r>
      </w:hyperlink>
      <w:r>
        <w:t xml:space="preserve">.</w:t>
      </w:r>
    </w:p>
    <w:bookmarkEnd w:id="132"/>
    <w:bookmarkStart w:id="13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3">
        <w:r>
          <w:rPr>
            <w:rStyle w:val="Hyperlink"/>
          </w:rPr>
          <w:t xml:space="preserve">https://doi.org/10.1016/j.ecoser.2018.09.005</w:t>
        </w:r>
      </w:hyperlink>
      <w:r>
        <w:t xml:space="preserve">.</w:t>
      </w:r>
    </w:p>
    <w:bookmarkEnd w:id="134"/>
    <w:bookmarkStart w:id="13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5"/>
    <w:bookmarkStart w:id="13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6"/>
    <w:bookmarkStart w:id="13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37">
        <w:r>
          <w:rPr>
            <w:rStyle w:val="Hyperlink"/>
          </w:rPr>
          <w:t xml:space="preserve">https://doi.org/10.1111/j.1752-1688.2005.tb03712.x</w:t>
        </w:r>
      </w:hyperlink>
      <w:r>
        <w:t xml:space="preserve">.</w:t>
      </w:r>
    </w:p>
    <w:bookmarkEnd w:id="138"/>
    <w:bookmarkStart w:id="13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9"/>
    <w:bookmarkStart w:id="140"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0"/>
    <w:bookmarkStart w:id="142"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1">
        <w:r>
          <w:rPr>
            <w:rStyle w:val="Hyperlink"/>
          </w:rPr>
          <w:t xml:space="preserve">https://doi.org/10.1007/s10021-012-9551-1</w:t>
        </w:r>
      </w:hyperlink>
      <w:r>
        <w:t xml:space="preserve">.</w:t>
      </w:r>
    </w:p>
    <w:bookmarkEnd w:id="142"/>
    <w:bookmarkStart w:id="144"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3">
        <w:r>
          <w:rPr>
            <w:rStyle w:val="Hyperlink"/>
          </w:rPr>
          <w:t xml:space="preserve">https://doi.org/10.1007/s12237-008-9129-5</w:t>
        </w:r>
      </w:hyperlink>
      <w:r>
        <w:t xml:space="preserve">.</w:t>
      </w:r>
    </w:p>
    <w:bookmarkEnd w:id="144"/>
    <w:bookmarkStart w:id="146"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5">
        <w:r>
          <w:rPr>
            <w:rStyle w:val="Hyperlink"/>
          </w:rPr>
          <w:t xml:space="preserve">https://doi.org/10.1007/s12237-012-9503-1</w:t>
        </w:r>
      </w:hyperlink>
      <w:r>
        <w:t xml:space="preserve">.</w:t>
      </w:r>
    </w:p>
    <w:bookmarkEnd w:id="146"/>
    <w:bookmarkStart w:id="147"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7"/>
    <w:bookmarkStart w:id="148"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8"/>
    <w:bookmarkStart w:id="149"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9"/>
    <w:bookmarkStart w:id="150"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0"/>
    <w:bookmarkStart w:id="152"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1">
        <w:r>
          <w:rPr>
            <w:rStyle w:val="Hyperlink"/>
          </w:rPr>
          <w:t xml:space="preserve">https://doi.org/10.1007/s12237-013-9662-8</w:t>
        </w:r>
      </w:hyperlink>
      <w:r>
        <w:t xml:space="preserve">.</w:t>
      </w:r>
    </w:p>
    <w:bookmarkEnd w:id="152"/>
    <w:bookmarkStart w:id="15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3"/>
    <w:bookmarkStart w:id="15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54">
        <w:r>
          <w:rPr>
            <w:rStyle w:val="Hyperlink"/>
          </w:rPr>
          <w:t xml:space="preserve">https://doi.org/10.1007/s00267-013-0179-5</w:t>
        </w:r>
      </w:hyperlink>
      <w:r>
        <w:t xml:space="preserve">.</w:t>
      </w:r>
    </w:p>
    <w:bookmarkEnd w:id="155"/>
    <w:bookmarkStart w:id="15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56"/>
    <w:bookmarkStart w:id="15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7"/>
    <w:bookmarkStart w:id="15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8">
        <w:r>
          <w:rPr>
            <w:rStyle w:val="Hyperlink"/>
          </w:rPr>
          <w:t xml:space="preserve">https://doi.org/10.1002/eap.1722</w:t>
        </w:r>
      </w:hyperlink>
      <w:r>
        <w:t xml:space="preserve">.</w:t>
      </w:r>
    </w:p>
    <w:bookmarkEnd w:id="159"/>
    <w:bookmarkStart w:id="160" w:name="ref-SWFWMD14"/>
    <w:p>
      <w:pPr>
        <w:pStyle w:val="Bibliography"/>
      </w:pPr>
      <w:r>
        <w:t xml:space="preserve">Southwest Florida Water Management District (2014). Photo interpretation key for land use classification.</w:t>
      </w:r>
    </w:p>
    <w:bookmarkEnd w:id="160"/>
    <w:bookmarkStart w:id="162" w:name="ref-SWFWMD18"/>
    <w:p>
      <w:pPr>
        <w:pStyle w:val="Bibliography"/>
      </w:pPr>
      <w:r>
        <w:t xml:space="preserve">Southwest Florida Water Management District (2018). Land use land cover data. c1990-2017. Available at:</w:t>
      </w:r>
      <w:r>
        <w:t xml:space="preserve"> </w:t>
      </w:r>
      <w:hyperlink r:id="rId161">
        <w:r>
          <w:rPr>
            <w:rStyle w:val="Hyperlink"/>
          </w:rPr>
          <w:t xml:space="preserve">https://data-swfwmd.opendata.arcgis.com/</w:t>
        </w:r>
      </w:hyperlink>
      <w:r>
        <w:t xml:space="preserve">.</w:t>
      </w:r>
    </w:p>
    <w:bookmarkEnd w:id="162"/>
    <w:bookmarkStart w:id="164" w:name="ref-SWFWMD19"/>
    <w:p>
      <w:pPr>
        <w:pStyle w:val="Bibliography"/>
      </w:pPr>
      <w:r>
        <w:t xml:space="preserve">Southwest Florida Water Management District (2019). Seagrass in 2018. Available at:</w:t>
      </w:r>
      <w:r>
        <w:t xml:space="preserve"> </w:t>
      </w:r>
      <w:hyperlink r:id="rId163">
        <w:r>
          <w:rPr>
            <w:rStyle w:val="Hyperlink"/>
          </w:rPr>
          <w:t xml:space="preserve">https://data-swfwmd.opendata.arcgis.com/datasets/seagrass-in-2018</w:t>
        </w:r>
      </w:hyperlink>
      <w:r>
        <w:t xml:space="preserve">.</w:t>
      </w:r>
    </w:p>
    <w:bookmarkEnd w:id="164"/>
    <w:bookmarkStart w:id="165"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65"/>
    <w:bookmarkStart w:id="167"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66">
        <w:r>
          <w:rPr>
            <w:rStyle w:val="Hyperlink"/>
          </w:rPr>
          <w:t xml:space="preserve">https://doi.org/10.1016/j.geoderma.2013.10.007</w:t>
        </w:r>
      </w:hyperlink>
      <w:r>
        <w:t xml:space="preserve">.</w:t>
      </w:r>
    </w:p>
    <w:bookmarkEnd w:id="167"/>
    <w:bookmarkStart w:id="169"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8">
        <w:r>
          <w:rPr>
            <w:rStyle w:val="Hyperlink"/>
          </w:rPr>
          <w:t xml:space="preserve">https://doi.org/10.1016/S0169-2046(97)00041-8</w:t>
        </w:r>
      </w:hyperlink>
      <w:r>
        <w:t xml:space="preserve">.</w:t>
      </w:r>
    </w:p>
    <w:bookmarkEnd w:id="169"/>
    <w:bookmarkStart w:id="171"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0">
        <w:r>
          <w:rPr>
            <w:rStyle w:val="Hyperlink"/>
          </w:rPr>
          <w:t xml:space="preserve">https://doi.org/10.1088/1748-9326/4/4/044008</w:t>
        </w:r>
      </w:hyperlink>
      <w:r>
        <w:t xml:space="preserve">.</w:t>
      </w:r>
    </w:p>
    <w:bookmarkEnd w:id="171"/>
    <w:bookmarkStart w:id="173"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2">
        <w:r>
          <w:rPr>
            <w:rStyle w:val="Hyperlink"/>
          </w:rPr>
          <w:t xml:space="preserve">https://doi.org/10.1016/j.marpolbul.2020.111247</w:t>
        </w:r>
      </w:hyperlink>
      <w:r>
        <w:t xml:space="preserve">.</w:t>
      </w:r>
    </w:p>
    <w:bookmarkEnd w:id="173"/>
    <w:bookmarkStart w:id="175"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4">
        <w:r>
          <w:rPr>
            <w:rStyle w:val="Hyperlink"/>
          </w:rPr>
          <w:t xml:space="preserve">https://doi.org/10.1016/j.rse.2011.06.027</w:t>
        </w:r>
      </w:hyperlink>
      <w:r>
        <w:t xml:space="preserve">.</w:t>
      </w:r>
    </w:p>
    <w:bookmarkEnd w:id="175"/>
    <w:bookmarkStart w:id="177"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76">
        <w:r>
          <w:rPr>
            <w:rStyle w:val="Hyperlink"/>
          </w:rPr>
          <w:t xml:space="preserve">https://doi.org/10.1007/s12237-021-00974-7</w:t>
        </w:r>
      </w:hyperlink>
      <w:r>
        <w:t xml:space="preserve">.</w:t>
      </w:r>
    </w:p>
    <w:bookmarkEnd w:id="177"/>
    <w:bookmarkStart w:id="179"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8">
        <w:r>
          <w:rPr>
            <w:rStyle w:val="Hyperlink"/>
          </w:rPr>
          <w:t xml:space="preserve">https://doi.org/10.1007/s12237-014-9926-y</w:t>
        </w:r>
      </w:hyperlink>
      <w:r>
        <w:t xml:space="preserve">.</w:t>
      </w:r>
    </w:p>
    <w:bookmarkEnd w:id="179"/>
    <w:bookmarkEnd w:id="180"/>
    <w:bookmarkEnd w:id="181"/>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hyperlink" Id="rId161" Target="https://data-swfwmd.opendata.arcgis.com/" TargetMode="External" /><Relationship Type="http://schemas.openxmlformats.org/officeDocument/2006/relationships/hyperlink" Id="rId163" Target="https://data-swfwmd.opendata.arcgis.com/datasets/seagrass-in-2018" TargetMode="External" /><Relationship Type="http://schemas.openxmlformats.org/officeDocument/2006/relationships/hyperlink" Id="rId158" Target="https://doi.org/10.1002/eap.1722" TargetMode="External" /><Relationship Type="http://schemas.openxmlformats.org/officeDocument/2006/relationships/hyperlink" Id="rId96" Target="https://doi.org/10.1007/978-1-4020-5095-4" TargetMode="External" /><Relationship Type="http://schemas.openxmlformats.org/officeDocument/2006/relationships/hyperlink" Id="rId154" Target="https://doi.org/10.1007/s00267-013-0179-5" TargetMode="External" /><Relationship Type="http://schemas.openxmlformats.org/officeDocument/2006/relationships/hyperlink" Id="rId141" Target="https://doi.org/10.1007/s10021-012-9551-1" TargetMode="External" /><Relationship Type="http://schemas.openxmlformats.org/officeDocument/2006/relationships/hyperlink" Id="rId74"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1" Target="https://doi.org/10.1007/s12237-013-9662-8" TargetMode="External" /><Relationship Type="http://schemas.openxmlformats.org/officeDocument/2006/relationships/hyperlink" Id="rId178"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76" Target="https://doi.org/10.1007/s12237-021-00974-7" TargetMode="External" /><Relationship Type="http://schemas.openxmlformats.org/officeDocument/2006/relationships/hyperlink" Id="rId168" Target="https://doi.org/10.1016/S0169-2046(97)00041-8" TargetMode="External" /><Relationship Type="http://schemas.openxmlformats.org/officeDocument/2006/relationships/hyperlink" Id="rId90"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4" Target="https://doi.org/10.1016/j.ecss.2011.10.003" TargetMode="External" /><Relationship Type="http://schemas.openxmlformats.org/officeDocument/2006/relationships/hyperlink" Id="rId166" Target="https://doi.org/10.1016/j.geoderma.2013.10.007" TargetMode="External" /><Relationship Type="http://schemas.openxmlformats.org/officeDocument/2006/relationships/hyperlink" Id="rId172" Target="https://doi.org/10.1016/j.marpolbul.2020.111247" TargetMode="External" /><Relationship Type="http://schemas.openxmlformats.org/officeDocument/2006/relationships/hyperlink" Id="rId174"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9" Target="https://doi.org/10.1046/j.1526-100x.2000.80037.x" TargetMode="External" /><Relationship Type="http://schemas.openxmlformats.org/officeDocument/2006/relationships/hyperlink" Id="rId88" Target="https://doi.org/10.1073/pnas.1315800111" TargetMode="External" /><Relationship Type="http://schemas.openxmlformats.org/officeDocument/2006/relationships/hyperlink" Id="rId86"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0" Target="https://doi.org/10.1088/1748-9326/4/4/044008" TargetMode="External" /><Relationship Type="http://schemas.openxmlformats.org/officeDocument/2006/relationships/hyperlink" Id="rId137" Target="https://doi.org/10.1111/j.1752-1688.2005.tb03712.x" TargetMode="External" /><Relationship Type="http://schemas.openxmlformats.org/officeDocument/2006/relationships/hyperlink" Id="rId104" Target="https://doi.org/10.1201/9780138750308" TargetMode="External" /><Relationship Type="http://schemas.openxmlformats.org/officeDocument/2006/relationships/hyperlink" Id="rId112" Target="https://doi.org/10.1371/journal.pone.0132079" TargetMode="External" /><Relationship Type="http://schemas.openxmlformats.org/officeDocument/2006/relationships/hyperlink" Id="rId84" Target="https://doi.org/10.1371/journal.pone.0132651" TargetMode="External" /><Relationship Type="http://schemas.openxmlformats.org/officeDocument/2006/relationships/hyperlink" Id="rId122" Target="https://doi.org/10.2307/1352488" TargetMode="External" /><Relationship Type="http://schemas.openxmlformats.org/officeDocument/2006/relationships/hyperlink" Id="rId80" Target="https://drive.google.com/file/d/11xohuoaHDxNHRqgXoOHdI37FpWvac_rn/view?usp=sharing" TargetMode="External" /><Relationship Type="http://schemas.openxmlformats.org/officeDocument/2006/relationships/hyperlink" Id="rId82" Target="https://drive.google.com/file/d/1c_KTSJ4TgVX9IugnyDadr2Hc0gjAuQg2/view?usp=drivesdk" TargetMode="External" /><Relationship Type="http://schemas.openxmlformats.org/officeDocument/2006/relationships/hyperlink" Id="rId108"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61" Target="https://data-swfwmd.opendata.arcgis.com/" TargetMode="External" /><Relationship Type="http://schemas.openxmlformats.org/officeDocument/2006/relationships/hyperlink" Id="rId163" Target="https://data-swfwmd.opendata.arcgis.com/datasets/seagrass-in-2018" TargetMode="External" /><Relationship Type="http://schemas.openxmlformats.org/officeDocument/2006/relationships/hyperlink" Id="rId158" Target="https://doi.org/10.1002/eap.1722" TargetMode="External" /><Relationship Type="http://schemas.openxmlformats.org/officeDocument/2006/relationships/hyperlink" Id="rId96" Target="https://doi.org/10.1007/978-1-4020-5095-4" TargetMode="External" /><Relationship Type="http://schemas.openxmlformats.org/officeDocument/2006/relationships/hyperlink" Id="rId154" Target="https://doi.org/10.1007/s00267-013-0179-5" TargetMode="External" /><Relationship Type="http://schemas.openxmlformats.org/officeDocument/2006/relationships/hyperlink" Id="rId141" Target="https://doi.org/10.1007/s10021-012-9551-1" TargetMode="External" /><Relationship Type="http://schemas.openxmlformats.org/officeDocument/2006/relationships/hyperlink" Id="rId74" Target="https://doi.org/10.1007/s11273-017-9565-8" TargetMode="External" /><Relationship Type="http://schemas.openxmlformats.org/officeDocument/2006/relationships/hyperlink" Id="rId100"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5" Target="https://doi.org/10.1007/s12237-012-9503-1" TargetMode="External" /><Relationship Type="http://schemas.openxmlformats.org/officeDocument/2006/relationships/hyperlink" Id="rId151" Target="https://doi.org/10.1007/s12237-013-9662-8" TargetMode="External" /><Relationship Type="http://schemas.openxmlformats.org/officeDocument/2006/relationships/hyperlink" Id="rId178" Target="https://doi.org/10.1007/s12237-014-9926-y" TargetMode="External" /><Relationship Type="http://schemas.openxmlformats.org/officeDocument/2006/relationships/hyperlink" Id="rId98" Target="https://doi.org/10.1007/s12237-020-00733-0" TargetMode="External" /><Relationship Type="http://schemas.openxmlformats.org/officeDocument/2006/relationships/hyperlink" Id="rId176" Target="https://doi.org/10.1007/s12237-021-00974-7" TargetMode="External" /><Relationship Type="http://schemas.openxmlformats.org/officeDocument/2006/relationships/hyperlink" Id="rId168" Target="https://doi.org/10.1016/S0169-2046(97)00041-8" TargetMode="External" /><Relationship Type="http://schemas.openxmlformats.org/officeDocument/2006/relationships/hyperlink" Id="rId90"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4" Target="https://doi.org/10.1016/j.ecss.2011.10.003" TargetMode="External" /><Relationship Type="http://schemas.openxmlformats.org/officeDocument/2006/relationships/hyperlink" Id="rId166" Target="https://doi.org/10.1016/j.geoderma.2013.10.007" TargetMode="External" /><Relationship Type="http://schemas.openxmlformats.org/officeDocument/2006/relationships/hyperlink" Id="rId172" Target="https://doi.org/10.1016/j.marpolbul.2020.111247" TargetMode="External" /><Relationship Type="http://schemas.openxmlformats.org/officeDocument/2006/relationships/hyperlink" Id="rId174"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9" Target="https://doi.org/10.1046/j.1526-100x.2000.80037.x" TargetMode="External" /><Relationship Type="http://schemas.openxmlformats.org/officeDocument/2006/relationships/hyperlink" Id="rId88" Target="https://doi.org/10.1073/pnas.1315800111" TargetMode="External" /><Relationship Type="http://schemas.openxmlformats.org/officeDocument/2006/relationships/hyperlink" Id="rId86" Target="https://doi.org/10.1073/pnas.1902181116" TargetMode="External" /><Relationship Type="http://schemas.openxmlformats.org/officeDocument/2006/relationships/hyperlink" Id="rId102" Target="https://doi.org/10.1080/08920750802395558" TargetMode="External" /><Relationship Type="http://schemas.openxmlformats.org/officeDocument/2006/relationships/hyperlink" Id="rId170" Target="https://doi.org/10.1088/1748-9326/4/4/044008" TargetMode="External" /><Relationship Type="http://schemas.openxmlformats.org/officeDocument/2006/relationships/hyperlink" Id="rId137" Target="https://doi.org/10.1111/j.1752-1688.2005.tb03712.x" TargetMode="External" /><Relationship Type="http://schemas.openxmlformats.org/officeDocument/2006/relationships/hyperlink" Id="rId104" Target="https://doi.org/10.1201/9780138750308" TargetMode="External" /><Relationship Type="http://schemas.openxmlformats.org/officeDocument/2006/relationships/hyperlink" Id="rId112" Target="https://doi.org/10.1371/journal.pone.0132079" TargetMode="External" /><Relationship Type="http://schemas.openxmlformats.org/officeDocument/2006/relationships/hyperlink" Id="rId84" Target="https://doi.org/10.1371/journal.pone.0132651" TargetMode="External" /><Relationship Type="http://schemas.openxmlformats.org/officeDocument/2006/relationships/hyperlink" Id="rId122" Target="https://doi.org/10.2307/1352488" TargetMode="External" /><Relationship Type="http://schemas.openxmlformats.org/officeDocument/2006/relationships/hyperlink" Id="rId80" Target="https://drive.google.com/file/d/11xohuoaHDxNHRqgXoOHdI37FpWvac_rn/view?usp=sharing" TargetMode="External" /><Relationship Type="http://schemas.openxmlformats.org/officeDocument/2006/relationships/hyperlink" Id="rId82" Target="https://drive.google.com/file/d/1c_KTSJ4TgVX9IugnyDadr2Hc0gjAuQg2/view?usp=drivesdk" TargetMode="External" /><Relationship Type="http://schemas.openxmlformats.org/officeDocument/2006/relationships/hyperlink" Id="rId108" Target="https://dx.doi.org/10.3133/ds969" TargetMode="External" /><Relationship Type="http://schemas.openxmlformats.org/officeDocument/2006/relationships/hyperlink" Id="rId32" Target="https://tbep-tech.github.io/landuse/"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2022-08-26T21:31:18Z</dcterms:created>
  <dcterms:modified xsi:type="dcterms:W3CDTF">2022-08-26T21:31:18Z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