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49.png" ContentType="image/png"/>
  <Override PartName="/word/media/rId45.png" ContentType="image/png"/>
  <Override PartName="/word/media/rId61.png" ContentType="image/png"/>
  <Override PartName="/word/media/rId65.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0"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(open water area approximately 983 km</w:t>
      </w:r>
      <w:r>
        <w:rPr>
          <w:vertAlign w:val="superscript"/>
        </w:rPr>
        <w:t xml:space="preserve">2</w:t>
      </w:r>
      <w:r>
        <w:t xml:space="preserve">) on the west-central coast of Florida (</w:t>
      </w:r>
      <w:hyperlink w:anchor="fig-restmap">
        <w:r>
          <w:rPr>
            <w:rStyle w:val="Hyperlink"/>
          </w:rPr>
          <w:t xml:space="preserve">Figure 6</w:t>
        </w:r>
      </w:hyperlink>
      <w:r>
        <w:t xml:space="preserve">). Its watershed encompasses another 5,872 km</w:t>
      </w:r>
      <w:r>
        <w:rPr>
          <w:vertAlign w:val="superscript"/>
        </w:rPr>
        <w:t xml:space="preserve">2</w:t>
      </w:r>
      <w:r>
        <w:t xml:space="preserve">, for a total combined area of approximately 6,855 km</w:t>
      </w:r>
      <w:r>
        <w:rPr>
          <w:vertAlign w:val="superscript"/>
        </w:rPr>
        <w:t xml:space="preserve">2</w:t>
      </w:r>
      <w:r>
        <w:t xml:space="preserve">. It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(2019) population of 3.3 million people in the four counties that comprise most of the watershed</w:t>
      </w:r>
      <w:r>
        <w:t xml:space="preserve"> </w:t>
      </w:r>
      <w:r>
        <w:t xml:space="preserve">(Rayer and Wang, 2020)</w:t>
      </w:r>
      <w:r>
        <w:rPr>
          <w:iCs/>
          <w:i/>
        </w:rPr>
        <w:t xml:space="preserve">.</w:t>
      </w:r>
      <w:r>
        <w:t xml:space="preserve"> </w:t>
      </w:r>
      <w:r>
        <w:t xml:space="preserve">Numerous anthropogenic changes have been made to the natural systems within and surrounding Tampa Bay, including direct removal of habitat (e.g., dredge and fill of bay bottom),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Addressing the full suite of habitats in a watershed is critical for large-scale restoration planning efforts</w:t>
      </w:r>
      <w:r>
        <w:t xml:space="preserve"> </w:t>
      </w:r>
      <w:r>
        <w:t xml:space="preserve">(Palmer, 2009; Lamb, 2018)</w:t>
      </w:r>
      <w:r>
        <w:rPr>
          <w:bCs/>
          <w:b/>
        </w:rPr>
        <w:t xml:space="preserve">.</w:t>
      </w:r>
      <w:r>
        <w:t xml:space="preserve"> </w:t>
      </w:r>
      <w:r>
        <w:t xml:space="preserve">The major habitat types of Tampa Bay can be described and organized relative to tidal influence and location in the watershed. Subtidal habitats include those that are submerged all or most of the time; emergent tidal wetlands include those that are submerged during high tides but exposed during low tides; and supratidal habitats include those that occur above the high tide line.</w:t>
      </w:r>
    </w:p>
    <w:p>
      <w:pPr>
        <w:pStyle w:val="BodyText"/>
      </w:pPr>
      <w:r>
        <w:t xml:space="preserve">Habitats generally described as</w:t>
      </w:r>
      <w:r>
        <w:t xml:space="preserve"> </w:t>
      </w:r>
      <w:r>
        <w:t xml:space="preserve">‘</w:t>
      </w:r>
      <w:r>
        <w:t xml:space="preserve">subtidal</w:t>
      </w:r>
      <w:r>
        <w:t xml:space="preserve">’</w:t>
      </w:r>
      <w:r>
        <w:t xml:space="preserve"> </w:t>
      </w:r>
      <w:r>
        <w:t xml:space="preserve">include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are classified as emergent tidal wetlands. For the purposes of this planning effort,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As discussed below, uplands are sub-divided into coastal and non-coastal uplands, based on location relative to the 5-foot contour.</w:t>
      </w:r>
    </w:p>
    <w:bookmarkEnd w:id="24"/>
    <w:bookmarkStart w:id="25" w:name="approach"/>
    <w:p>
      <w:pPr>
        <w:pStyle w:val="Heading3"/>
      </w:pPr>
      <w:r>
        <w:t xml:space="preserve">Approach</w:t>
      </w:r>
    </w:p>
    <w:p>
      <w:pPr>
        <w:pStyle w:val="FirstParagraph"/>
      </w:pPr>
      <w:r>
        <w:t xml:space="preserve">Recommended targets were created stepwise with geospatial analyses: 1) quantifying habitat status and historical trends; 2) synthesizing historic habitat restoration efforts; and 3) identifying and defining remaining</w:t>
      </w:r>
      <w:r>
        <w:t xml:space="preserve"> </w:t>
      </w:r>
      <w:r>
        <w:t xml:space="preserve">‘</w:t>
      </w:r>
      <w:r>
        <w:t xml:space="preserve">opportunities</w:t>
      </w:r>
      <w:r>
        <w:t xml:space="preserve">’</w:t>
      </w:r>
      <w:r>
        <w:t xml:space="preserve"> </w:t>
      </w:r>
      <w:r>
        <w:t xml:space="preserve">for restoration that integrated results from the first two analyses. Final development of restoration targets and goals integrated strata and opportunity area information with an analysis of past restoration implementation to use previous completed projects as a guide to a feasible amount of restoration that could be conducted by partners. This approach will ensure that the estuarine-dependent species and faunal guilds throughout the watershed, as defined in the original approach, will continue to be supported.</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primary data derived from two routine spatial assessment programs conducted by the Southwest Florida Water Management District (SWFWMD) were utilized. However, to address data gaps for some habitats, results from special studies were integrated with the primary data sources. These included hard bottom</w:t>
      </w:r>
      <w:r>
        <w:t xml:space="preserve"> </w:t>
      </w:r>
      <w:r>
        <w:t xml:space="preserve">(Kaufman, 2017; CSA Ocean Sciences, 2019)</w:t>
      </w:r>
      <w:r>
        <w:t xml:space="preserve">, dredged holes</w:t>
      </w:r>
      <w:r>
        <w:t xml:space="preserve"> </w:t>
      </w:r>
      <w:r>
        <w:t xml:space="preserve">(Griffen and Greening, 2005; Raulerson et al., 2019)</w:t>
      </w:r>
      <w:r>
        <w:t xml:space="preserve"> </w:t>
      </w:r>
      <w:r>
        <w:t xml:space="preserve">and oyster habitat</w:t>
      </w:r>
      <w:r>
        <w:t xml:space="preserve"> </w:t>
      </w:r>
      <w:r>
        <w:t xml:space="preserve">(O’Keife et al., 2006)</w:t>
      </w:r>
      <w:r>
        <w:rPr>
          <w:iCs/>
          <w:i/>
        </w:rPr>
        <w:t xml:space="preserve">.</w:t>
      </w:r>
    </w:p>
    <w:p>
      <w:pPr>
        <w:pStyle w:val="BodyText"/>
      </w:pPr>
      <w:r>
        <w:t xml:space="preserve">The source data used to estimate the most current coverage of seagrasses, tidal flats, and oysters was the</w:t>
      </w:r>
      <w:r>
        <w:t xml:space="preserve"> </w:t>
      </w:r>
      <w:r>
        <w:rPr>
          <w:iCs/>
          <w:i/>
        </w:rPr>
        <w:t xml:space="preserve">Seagrass in 2018</w:t>
      </w:r>
      <w:r>
        <w:t xml:space="preserve"> </w:t>
      </w:r>
      <w:r>
        <w:t xml:space="preserve">geospatial database</w:t>
      </w:r>
      <w:r>
        <w:t xml:space="preserve"> </w:t>
      </w:r>
      <w:r>
        <w:t xml:space="preserve">(Southwest Florida Water Management District, 2019)</w:t>
      </w:r>
      <w:r>
        <w:t xml:space="preserve">. The bi-annual seagrass monitoring program was initiated in 1988 under SWFWMD’s Surface Water Improvement and Management program</w:t>
      </w:r>
      <w:r>
        <w:t xml:space="preserve"> </w:t>
      </w:r>
      <w:r>
        <w:t xml:space="preserve">(Sherwood et al., 2017; Tomasko et al., 2020)</w:t>
      </w:r>
      <w:r>
        <w:rPr>
          <w:iCs/>
          <w:i/>
        </w:rPr>
        <w:t xml:space="preserve">.</w:t>
      </w:r>
      <w:r>
        <w:t xml:space="preserve"> </w:t>
      </w:r>
      <w:r>
        <w:t xml:space="preserve">SWFWMD has estimated oyster bed coverage as part of this program since 2014.</w:t>
      </w:r>
    </w:p>
    <w:p>
      <w:pPr>
        <w:pStyle w:val="BodyText"/>
      </w:pPr>
      <w:r>
        <w:t xml:space="preserve">The source data used to estimate and map trends in development, emergent tidal wetlands, freshwater wetlands, and native upland habitats was the SWFWMD Land Use Land Cover (LULC) series geospatial database</w:t>
      </w:r>
      <w:r>
        <w:t xml:space="preserve"> </w:t>
      </w:r>
      <w:r>
        <w:t xml:space="preserve">(Southwest Florida Water Management District, 2018)</w:t>
      </w:r>
      <w:r>
        <w:t xml:space="preserve">. This comprehensive database classifies the land use and cover types (natural and developed) pursuant to the Florida Land Use Cover and Forms Classification System</w:t>
      </w:r>
      <w:r>
        <w:t xml:space="preserve"> </w:t>
      </w:r>
      <w:r>
        <w:t xml:space="preserve">(Florida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very difficult, it is possible to accurately distinguish forested wetlands from non-forested wetlands. Therefore, for this analysis, all applicable FLUCCS codes representing the suite of natural freshwater wetlands were combined within those two classifications. Similarly, within the target- and goal-setting exercise, uplands were combined in one classification. These classifications were reported for each mapping exercise conducted every 2-3 years from the start of the program 1990 through 2017, the most recent year with available data.</w:t>
      </w:r>
    </w:p>
    <w:p>
      <w:pPr>
        <w:pStyle w:val="BodyText"/>
      </w:pPr>
      <w:r>
        <w:t xml:space="preserve">To quantify the extent of tidal creeks, GIS data</w:t>
      </w:r>
      <w:r>
        <w:t xml:space="preserve"> </w:t>
      </w:r>
      <w:r>
        <w:t xml:space="preserve">(Janicki Environmental, Inc. and Mote Marine Laboratory, 2016, 2020)</w:t>
      </w:r>
      <w:r>
        <w:t xml:space="preserve"> </w:t>
      </w:r>
      <w:r>
        <w:t xml:space="preserve">was clipped to the Florida Department of Environmental Protection stream segments that were classified as estuarine.</w:t>
      </w:r>
    </w:p>
    <w:bookmarkEnd w:id="26"/>
    <w:bookmarkStart w:id="28" w:name="restoration-database"/>
    <w:p>
      <w:pPr>
        <w:pStyle w:val="Heading3"/>
      </w:pPr>
      <w:r>
        <w:t xml:space="preserve">Restoration database</w:t>
      </w:r>
    </w:p>
    <w:p>
      <w:pPr>
        <w:pStyle w:val="FirstParagraph"/>
      </w:pPr>
      <w:r>
        <w:t xml:space="preserve">We quantified past restoration efforts in each of the major habitat types to guide decisions on future targets and goals.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27">
        <w:r>
          <w:rPr>
            <w:rStyle w:val="Hyperlink"/>
          </w:rPr>
          <w:t xml:space="preserve">https://www.tampabay.wateratlas.usf.edu/</w:t>
        </w:r>
      </w:hyperlink>
      <w:r>
        <w:t xml:space="preserve">), Tampa Bay Watch, and the Technical Advisory Committee of the TBEP. Primary data collected included project name, year, description, lead partner, size (area or length), and latitude and longitude. Data gaps were supplemented by archival research, site visits, contacting the responsible entities, and documenting the knowledge of local professionals. Living shoreline projects, including seawall enhancements and oyster reef modules, were inventoried separately.</w:t>
      </w:r>
    </w:p>
    <w:bookmarkEnd w:id="28"/>
    <w:bookmarkStart w:id="29" w:name="X3ee14f540c6971491d0c5ce5ddb0f35ab125cab"/>
    <w:p>
      <w:pPr>
        <w:pStyle w:val="Heading3"/>
      </w:pPr>
      <w:r>
        <w:t xml:space="preserve">Creating and combining opportunity layers</w:t>
      </w:r>
    </w:p>
    <w:p>
      <w:pPr>
        <w:pStyle w:val="FirstParagraph"/>
      </w:pPr>
      <w:hyperlink w:anchor="fig-gisworkflow">
        <w:r>
          <w:rPr>
            <w:rStyle w:val="Hyperlink"/>
          </w:rPr>
          <w:t xml:space="preserve">Figure 2</w:t>
        </w:r>
      </w:hyperlink>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Opportunity areas, defined here as locations where habitat protection and restoration activities are possible, and where they should best be focused to attain defined targets, were also analyzed. The definition and mapping of opportunity areas is necessary to quantify the</w:t>
      </w:r>
      <w:r>
        <w:t xml:space="preserve"> </w:t>
      </w:r>
      <w:r>
        <w:t xml:space="preserve">“</w:t>
      </w:r>
      <w:r>
        <w:t xml:space="preserve">restoration potential</w:t>
      </w:r>
      <w:r>
        <w:t xml:space="preserve">”</w:t>
      </w:r>
      <w:r>
        <w:t xml:space="preserve"> </w:t>
      </w:r>
      <w:r>
        <w:t xml:space="preserve">for a particular habitat type, which is a measure of what is actually possible under current and future projected conditions. The most appropriate opportunity areas are generally not developed and located on existing public lands or areas identified for acquisition.</w:t>
      </w:r>
    </w:p>
    <w:p>
      <w:pPr>
        <w:pStyle w:val="BodyText"/>
      </w:pPr>
      <w:r>
        <w:t xml:space="preserve">The Land Use Land Cover 2017 geospatial database (Table 1) was used as the baseline for cataloguing existing and opportunity areas for intertidal and supratidal habitats in the Tampa Bay watershed. 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29"/>
    <w:bookmarkEnd w:id="30"/>
    <w:bookmarkStart w:id="39" w:name="results"/>
    <w:p>
      <w:pPr>
        <w:pStyle w:val="Heading2"/>
      </w:pPr>
      <w:r>
        <w:t xml:space="preserve">Results</w:t>
      </w:r>
    </w:p>
    <w:bookmarkStart w:id="35" w:name="habitat-status-and-trends-1"/>
    <w:p>
      <w:pPr>
        <w:pStyle w:val="Heading3"/>
      </w:pPr>
      <w:r>
        <w:t xml:space="preserve">Habitat status and trends</w:t>
      </w:r>
    </w:p>
    <w:bookmarkStart w:id="31" w:name="subtidal-habitats"/>
    <w:p>
      <w:pPr>
        <w:pStyle w:val="Heading4"/>
      </w:pPr>
      <w:r>
        <w:t xml:space="preserve">Subtidal habitats</w:t>
      </w:r>
    </w:p>
    <w:p>
      <w:pPr>
        <w:pStyle w:val="FirstParagraph"/>
      </w:pPr>
      <w:hyperlink w:anchor="fig-subtchgdatalluv">
        <w:r>
          <w:rPr>
            <w:rStyle w:val="Hyperlink"/>
          </w:rPr>
          <w:t xml:space="preserve">Figure 3</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1"/>
    <w:bookmarkStart w:id="33" w:name="intertidal-habitats"/>
    <w:p>
      <w:pPr>
        <w:pStyle w:val="Heading4"/>
      </w:pPr>
      <w:r>
        <w:t xml:space="preserve">Intertidal habitats</w:t>
      </w:r>
    </w:p>
    <w:p>
      <w:pPr>
        <w:pStyle w:val="FirstParagraph"/>
      </w:pPr>
      <w:hyperlink w:anchor="fig-chgdatalluv">
        <w:r>
          <w:rPr>
            <w:rStyle w:val="Hyperlink"/>
          </w:rPr>
          <w:t xml:space="preserve">Figure 4</w:t>
        </w:r>
      </w:hyperlink>
    </w:p>
    <w:p>
      <w:pPr>
        <w:pStyle w:val="BodyText"/>
      </w:pPr>
      <w:r>
        <w:t xml:space="preserve">Table 2</w:t>
      </w:r>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2">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3"/>
    <w:bookmarkStart w:id="34" w:name="supratidal-habitats"/>
    <w:p>
      <w:pPr>
        <w:pStyle w:val="Heading4"/>
      </w:pPr>
      <w:r>
        <w:t xml:space="preserve">Supratidal habitats</w:t>
      </w:r>
    </w:p>
    <w:p>
      <w:pPr>
        <w:pStyle w:val="FirstParagraph"/>
      </w:pPr>
      <w:hyperlink w:anchor="fig-chgdatalluv">
        <w:r>
          <w:rPr>
            <w:rStyle w:val="Hyperlink"/>
          </w:rPr>
          <w:t xml:space="preserve">Figure 4</w:t>
        </w:r>
      </w:hyperlink>
    </w:p>
    <w:p>
      <w:pPr>
        <w:pStyle w:val="BodyText"/>
      </w:pPr>
      <w:r>
        <w:t xml:space="preserve">Table 2</w:t>
      </w:r>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4"/>
    <w:bookmarkEnd w:id="35"/>
    <w:bookmarkStart w:id="36"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6"/>
    <w:bookmarkStart w:id="37" w:name="habitat-restoration-opportunities"/>
    <w:p>
      <w:pPr>
        <w:pStyle w:val="Heading3"/>
      </w:pPr>
      <w:r>
        <w:t xml:space="preserve">Habitat restoration opportunities</w:t>
      </w:r>
    </w:p>
    <w:p>
      <w:pPr>
        <w:pStyle w:val="FirstParagraph"/>
      </w:pPr>
      <w:hyperlink w:anchor="fig-oppmap">
        <w:r>
          <w:rPr>
            <w:rStyle w:val="Hyperlink"/>
          </w:rPr>
          <w:t xml:space="preserve">Figure 5</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6</w:t>
        </w:r>
      </w:hyperlink>
    </w:p>
    <w:p>
      <w:pPr>
        <w:pStyle w:val="BodyText"/>
      </w:pPr>
      <w:r>
        <w:t xml:space="preserve">Table 3</w:t>
      </w:r>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37"/>
    <w:bookmarkStart w:id="38" w:name="establishment-of-goals-and-targets"/>
    <w:p>
      <w:pPr>
        <w:pStyle w:val="Heading3"/>
      </w:pPr>
      <w:r>
        <w:t xml:space="preserve">Establishment of goals and targets</w:t>
      </w:r>
    </w:p>
    <w:p>
      <w:pPr>
        <w:pStyle w:val="FirstParagraph"/>
      </w:pPr>
      <w:r>
        <w:t xml:space="preserve">Table 4</w:t>
      </w:r>
    </w:p>
    <w:p>
      <w:pPr>
        <w:pStyle w:val="BodyText"/>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sea-level rise scenarios</w:t>
      </w:r>
      <w:r>
        <w:t xml:space="preserve"> </w:t>
      </w:r>
      <w:r>
        <w:t xml:space="preserve">(Sherwood and Greening, 2014; Geselbracht et al., 2015)</w:t>
      </w:r>
      <w:r>
        <w:t xml:space="preserve">.</w:t>
      </w:r>
    </w:p>
    <w:bookmarkEnd w:id="38"/>
    <w:bookmarkEnd w:id="39"/>
    <w:bookmarkStart w:id="44"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0"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0"/>
    <w:bookmarkStart w:id="41"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1"/>
    <w:bookmarkStart w:id="42"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2"/>
    <w:bookmarkStart w:id="43"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3"/>
    <w:bookmarkEnd w:id="44"/>
    <w:bookmarkStart w:id="69"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8" w:name="fig-lulcmap"/>
          <w:p>
            <w:pPr>
              <w:pStyle w:val="Figure"/>
              <w:jc w:val="center"/>
            </w:pPr>
            <w:r>
              <w:drawing>
                <wp:inline>
                  <wp:extent cx="5943600" cy="4245428"/>
                  <wp:effectExtent b="0" l="0" r="0" t="0"/>
                  <wp:docPr descr="" title="" id="46" name="Picture"/>
                  <a:graphic>
                    <a:graphicData uri="http://schemas.openxmlformats.org/drawingml/2006/picture">
                      <pic:pic>
                        <pic:nvPicPr>
                          <pic:cNvPr descr="figs/lulcmap.png" id="47" name="Picture"/>
                          <pic:cNvPicPr>
                            <a:picLocks noChangeArrowheads="1" noChangeAspect="1"/>
                          </pic:cNvPicPr>
                        </pic:nvPicPr>
                        <pic:blipFill>
                          <a:blip r:embed="rId4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w:t>
            </w:r>
          </w:p>
          <w:bookmarkEnd w:id="48"/>
        </w:tc>
      </w:tr>
    </w:tbl>
    <w:p/>
    <w:tbl>
      <w:tblPr>
        <w:tblStyle w:val="Table"/>
        <w:tblW w:type="pct" w:w="5000"/>
        <w:tblLook w:firstRow="0" w:lastRow="0" w:firstColumn="0" w:lastColumn="0" w:noHBand="0" w:noVBand="0" w:val="0000"/>
      </w:tblPr>
      <w:tblGrid>
        <w:gridCol w:w="7920"/>
      </w:tblGrid>
      <w:tr>
        <w:tc>
          <w:tcPr/>
          <w:bookmarkStart w:id="52" w:name="fig-gisworkflow"/>
          <w:p>
            <w:pPr>
              <w:pStyle w:val="Figure"/>
              <w:jc w:val="center"/>
            </w:pPr>
            <w:r>
              <w:drawing>
                <wp:inline>
                  <wp:extent cx="5943600" cy="6840747"/>
                  <wp:effectExtent b="0" l="0" r="0" t="0"/>
                  <wp:docPr descr="" title="" id="50" name="Picture"/>
                  <a:graphic>
                    <a:graphicData uri="http://schemas.openxmlformats.org/drawingml/2006/picture">
                      <pic:pic>
                        <pic:nvPicPr>
                          <pic:cNvPr descr="figs/gisworkflow.png" id="51" name="Picture"/>
                          <pic:cNvPicPr>
                            <a:picLocks noChangeArrowheads="1" noChangeAspect="1"/>
                          </pic:cNvPicPr>
                        </pic:nvPicPr>
                        <pic:blipFill>
                          <a:blip r:embed="rId49"/>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2"/>
        </w:tc>
      </w:tr>
    </w:tbl>
    <w:p/>
    <w:tbl>
      <w:tblPr>
        <w:tblStyle w:val="Table"/>
        <w:tblW w:type="pct" w:w="5000"/>
        <w:tblLook w:firstRow="0" w:lastRow="0" w:firstColumn="0" w:lastColumn="0" w:noHBand="0" w:noVBand="0" w:val="0000"/>
      </w:tblPr>
      <w:tblGrid>
        <w:gridCol w:w="7920"/>
      </w:tblGrid>
      <w:tr>
        <w:tc>
          <w:tcPr/>
          <w:bookmarkStart w:id="56" w:name="fig-subtchgdatalluv"/>
          <w:p>
            <w:pPr>
              <w:pStyle w:val="Figure"/>
              <w:jc w:val="center"/>
            </w:pPr>
            <w:r>
              <w:drawing>
                <wp:inline>
                  <wp:extent cx="4663745" cy="6755550"/>
                  <wp:effectExtent b="0" l="0" r="0" t="0"/>
                  <wp:docPr descr="" title="" id="54" name="Picture"/>
                  <a:graphic>
                    <a:graphicData uri="http://schemas.openxmlformats.org/drawingml/2006/picture">
                      <pic:pic>
                        <pic:nvPicPr>
                          <pic:cNvPr descr="figs/subtchgdatalluv.png" id="55" name="Picture"/>
                          <pic:cNvPicPr>
                            <a:picLocks noChangeArrowheads="1" noChangeAspect="1"/>
                          </pic:cNvPicPr>
                        </pic:nvPicPr>
                        <pic:blipFill>
                          <a:blip r:embed="rId53"/>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6"/>
        </w:tc>
      </w:tr>
    </w:tbl>
    <w:p/>
    <w:tbl>
      <w:tblPr>
        <w:tblStyle w:val="Table"/>
        <w:tblW w:type="pct" w:w="5000"/>
        <w:tblLook w:firstRow="0" w:lastRow="0" w:firstColumn="0" w:lastColumn="0" w:noHBand="0" w:noVBand="0" w:val="0000"/>
      </w:tblPr>
      <w:tblGrid>
        <w:gridCol w:w="7920"/>
      </w:tblGrid>
      <w:tr>
        <w:tc>
          <w:tcPr/>
          <w:bookmarkStart w:id="60" w:name="fig-chgdatalluv"/>
          <w:p>
            <w:pPr>
              <w:pStyle w:val="Figure"/>
              <w:jc w:val="center"/>
            </w:pPr>
            <w:r>
              <w:drawing>
                <wp:inline>
                  <wp:extent cx="5943600" cy="5940900"/>
                  <wp:effectExtent b="0" l="0" r="0" t="0"/>
                  <wp:docPr descr="" title="" id="58" name="Picture"/>
                  <a:graphic>
                    <a:graphicData uri="http://schemas.openxmlformats.org/drawingml/2006/picture">
                      <pic:pic>
                        <pic:nvPicPr>
                          <pic:cNvPr descr="figs/chgdatalluv.png" id="59" name="Picture"/>
                          <pic:cNvPicPr>
                            <a:picLocks noChangeArrowheads="1" noChangeAspect="1"/>
                          </pic:cNvPicPr>
                        </pic:nvPicPr>
                        <pic:blipFill>
                          <a:blip r:embed="rId57"/>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60"/>
        </w:tc>
      </w:tr>
    </w:tbl>
    <w:p/>
    <w:tbl>
      <w:tblPr>
        <w:tblStyle w:val="Table"/>
        <w:tblW w:type="pct" w:w="5000"/>
        <w:tblLook w:firstRow="0" w:lastRow="0" w:firstColumn="0" w:lastColumn="0" w:noHBand="0" w:noVBand="0" w:val="0000"/>
      </w:tblPr>
      <w:tblGrid>
        <w:gridCol w:w="7920"/>
      </w:tblGrid>
      <w:tr>
        <w:tc>
          <w:tcPr/>
          <w:bookmarkStart w:id="64" w:name="fig-oppmap"/>
          <w:p>
            <w:pPr>
              <w:pStyle w:val="Figure"/>
              <w:jc w:val="center"/>
            </w:pPr>
            <w:r>
              <w:drawing>
                <wp:inline>
                  <wp:extent cx="5943600" cy="3714749"/>
                  <wp:effectExtent b="0" l="0" r="0" t="0"/>
                  <wp:docPr descr="" title="" id="62" name="Picture"/>
                  <a:graphic>
                    <a:graphicData uri="http://schemas.openxmlformats.org/drawingml/2006/picture">
                      <pic:pic>
                        <pic:nvPicPr>
                          <pic:cNvPr descr="figs/oppmap.png" id="63" name="Picture"/>
                          <pic:cNvPicPr>
                            <a:picLocks noChangeArrowheads="1" noChangeAspect="1"/>
                          </pic:cNvPicPr>
                        </pic:nvPicPr>
                        <pic:blipFill>
                          <a:blip r:embed="rId6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4"/>
        </w:tc>
      </w:tr>
    </w:tbl>
    <w:p/>
    <w:tbl>
      <w:tblPr>
        <w:tblStyle w:val="Table"/>
        <w:tblW w:type="pct" w:w="5000"/>
        <w:tblLook w:firstRow="0" w:lastRow="0" w:firstColumn="0" w:lastColumn="0" w:noHBand="0" w:noVBand="0" w:val="0000"/>
      </w:tblPr>
      <w:tblGrid>
        <w:gridCol w:w="7920"/>
      </w:tblGrid>
      <w:tr>
        <w:tc>
          <w:tcPr/>
          <w:bookmarkStart w:id="68" w:name="fig-restmap"/>
          <w:p>
            <w:pPr>
              <w:pStyle w:val="Figure"/>
              <w:jc w:val="center"/>
            </w:pPr>
            <w:r>
              <w:drawing>
                <wp:inline>
                  <wp:extent cx="5943600" cy="3714749"/>
                  <wp:effectExtent b="0" l="0" r="0" t="0"/>
                  <wp:docPr descr="" title="" id="66" name="Picture"/>
                  <a:graphic>
                    <a:graphicData uri="http://schemas.openxmlformats.org/drawingml/2006/picture">
                      <pic:pic>
                        <pic:nvPicPr>
                          <pic:cNvPr descr="figs/restmap.png" id="67" name="Picture"/>
                          <pic:cNvPicPr>
                            <a:picLocks noChangeArrowheads="1" noChangeAspect="1"/>
                          </pic:cNvPicPr>
                        </pic:nvPicPr>
                        <pic:blipFill>
                          <a:blip r:embed="rId65"/>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8"/>
        </w:tc>
      </w:tr>
    </w:tbl>
    <w:p>
      <w:r>
        <w:br w:type="page"/>
      </w:r>
    </w:p>
    <w:bookmarkEnd w:id="69"/>
    <w:bookmarkStart w:id="70" w:name="tables"/>
    <w:p>
      <w:pPr>
        <w:pStyle w:val="Heading2"/>
      </w:pPr>
      <w:r>
        <w:t xml:space="preserve">Tables</w:t>
      </w:r>
    </w:p>
    <w:p>
      <w:pPr>
        <w:pStyle w:val=""/>
      </w:pPr>
      <w:r>
        <w:rPr>
          <w:rFonts/>
          <w:b w:val="true"/>
        </w:rPr>
        <w:t xml:space="preserve">Table</w:t>
      </w:r>
      <w:bookmarkStart w:id="8b90b202-64a2-41ac-b39c-6d3626aa7fee"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b90b202-64a2-41ac-b39c-6d3626aa7fee"/>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8804bccc-e222-4cd2-9c7d-d0351837dcfa"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804bccc-e222-4cd2-9c7d-d0351837dcfa"/>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84a90ad1-1e2e-4578-88d2-f0d105fff92e"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4a90ad1-1e2e-4578-88d2-f0d105fff92e"/>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ce225155-a1f9-4b4d-8add-38876e6fa9af"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e225155-a1f9-4b4d-8add-38876e6fa9af"/>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70"/>
    <w:bookmarkStart w:id="186" w:name="references"/>
    <w:p>
      <w:pPr>
        <w:pStyle w:val="Heading2"/>
      </w:pPr>
      <w:r>
        <w:t xml:space="preserve">References</w:t>
      </w:r>
    </w:p>
    <w:bookmarkStart w:id="185" w:name="refs"/>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4">
        <w:r>
          <w:rPr>
            <w:rStyle w:val="Hyperlink"/>
          </w:rPr>
          <w:t xml:space="preserve">https://doi.org/10.1007/s11273-017-9565-8</w:t>
        </w:r>
      </w:hyperlink>
      <w:r>
        <w:t xml:space="preserve">.</w:t>
      </w:r>
    </w:p>
    <w:bookmarkEnd w:id="75"/>
    <w:bookmarkStart w:id="76"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6"/>
    <w:bookmarkStart w:id="77"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7"/>
    <w:bookmarkStart w:id="78"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0">
        <w:r>
          <w:rPr>
            <w:rStyle w:val="Hyperlink"/>
          </w:rPr>
          <w:t xml:space="preserve">https://drive.google.com/file/d/11xohuoaHDxNHRqgXoOHdI37FpWvac_rn/view?usp=sharing</w:t>
        </w:r>
      </w:hyperlink>
      <w:r>
        <w:t xml:space="preserve">.</w:t>
      </w:r>
    </w:p>
    <w:bookmarkEnd w:id="81"/>
    <w:bookmarkStart w:id="83"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2">
        <w:r>
          <w:rPr>
            <w:rStyle w:val="Hyperlink"/>
          </w:rPr>
          <w:t xml:space="preserve">https://drive.google.com/file/d/1c_KTSJ4TgVX9IugnyDadr2Hc0gjAuQg2/view?usp=drivesdk</w:t>
        </w:r>
      </w:hyperlink>
      <w:r>
        <w:t xml:space="preserve">.</w:t>
      </w:r>
    </w:p>
    <w:bookmarkEnd w:id="83"/>
    <w:bookmarkStart w:id="85"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4">
        <w:r>
          <w:rPr>
            <w:rStyle w:val="Hyperlink"/>
          </w:rPr>
          <w:t xml:space="preserve">https://doi.org/10.1371/journal.pone.0132651</w:t>
        </w:r>
      </w:hyperlink>
      <w:r>
        <w:t xml:space="preserve">.</w:t>
      </w:r>
    </w:p>
    <w:bookmarkEnd w:id="85"/>
    <w:bookmarkStart w:id="87"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6">
        <w:r>
          <w:rPr>
            <w:rStyle w:val="Hyperlink"/>
          </w:rPr>
          <w:t xml:space="preserve">https://doi.org/10.1073/pnas.1902181116</w:t>
        </w:r>
      </w:hyperlink>
      <w:r>
        <w:t xml:space="preserve">.</w:t>
      </w:r>
    </w:p>
    <w:bookmarkEnd w:id="87"/>
    <w:bookmarkStart w:id="89"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8">
        <w:r>
          <w:rPr>
            <w:rStyle w:val="Hyperlink"/>
          </w:rPr>
          <w:t xml:space="preserve">https://doi.org/10.1073/pnas.1315800111</w:t>
        </w:r>
      </w:hyperlink>
      <w:r>
        <w:t xml:space="preserve">.</w:t>
      </w:r>
    </w:p>
    <w:bookmarkEnd w:id="89"/>
    <w:bookmarkStart w:id="91"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0">
        <w:r>
          <w:rPr>
            <w:rStyle w:val="Hyperlink"/>
          </w:rPr>
          <w:t xml:space="preserve">https://doi.org/10.1016/j.ecoser.2018.09.004</w:t>
        </w:r>
      </w:hyperlink>
      <w:r>
        <w:t xml:space="preserve">.</w:t>
      </w:r>
    </w:p>
    <w:bookmarkEnd w:id="91"/>
    <w:bookmarkStart w:id="92"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2"/>
    <w:bookmarkStart w:id="93"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3"/>
    <w:bookmarkStart w:id="95"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4">
        <w:r>
          <w:rPr>
            <w:rStyle w:val="Hyperlink"/>
          </w:rPr>
          <w:t xml:space="preserve">https://doi.org/10.1016/j.ecss.2011.10.003</w:t>
        </w:r>
      </w:hyperlink>
      <w:r>
        <w:t xml:space="preserve">.</w:t>
      </w:r>
    </w:p>
    <w:bookmarkEnd w:id="95"/>
    <w:bookmarkStart w:id="97"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6">
        <w:r>
          <w:rPr>
            <w:rStyle w:val="Hyperlink"/>
          </w:rPr>
          <w:t xml:space="preserve">https://doi.org/10.1007/978-1-4020-5095-4</w:t>
        </w:r>
      </w:hyperlink>
      <w:r>
        <w:t xml:space="preserve">.</w:t>
      </w:r>
    </w:p>
    <w:bookmarkEnd w:id="97"/>
    <w:bookmarkStart w:id="98"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8"/>
    <w:bookmarkStart w:id="100"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9">
        <w:r>
          <w:rPr>
            <w:rStyle w:val="Hyperlink"/>
          </w:rPr>
          <w:t xml:space="preserve">https://doi.org/10.1007/s12237-020-00733-0</w:t>
        </w:r>
      </w:hyperlink>
      <w:r>
        <w:t xml:space="preserve">.</w:t>
      </w:r>
    </w:p>
    <w:bookmarkEnd w:id="100"/>
    <w:bookmarkStart w:id="102"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1">
        <w:r>
          <w:rPr>
            <w:rStyle w:val="Hyperlink"/>
          </w:rPr>
          <w:t xml:space="preserve">https://doi.org/10.1007/s12237-008-9111-2</w:t>
        </w:r>
      </w:hyperlink>
      <w:r>
        <w:t xml:space="preserve">.</w:t>
      </w:r>
    </w:p>
    <w:bookmarkEnd w:id="102"/>
    <w:bookmarkStart w:id="104"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3">
        <w:r>
          <w:rPr>
            <w:rStyle w:val="Hyperlink"/>
          </w:rPr>
          <w:t xml:space="preserve">https://doi.org/10.1080/08920750802395558</w:t>
        </w:r>
      </w:hyperlink>
      <w:r>
        <w:t xml:space="preserve">.</w:t>
      </w:r>
    </w:p>
    <w:bookmarkEnd w:id="104"/>
    <w:bookmarkStart w:id="106"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5">
        <w:r>
          <w:rPr>
            <w:rStyle w:val="Hyperlink"/>
          </w:rPr>
          <w:t xml:space="preserve">https://doi.org/10.1201/9780138750308</w:t>
        </w:r>
      </w:hyperlink>
      <w:r>
        <w:t xml:space="preserve">.</w:t>
      </w:r>
    </w:p>
    <w:bookmarkEnd w:id="106"/>
    <w:bookmarkStart w:id="107"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7"/>
    <w:bookmarkStart w:id="108" w:name="ref-EPA96"/>
    <w:p>
      <w:pPr>
        <w:pStyle w:val="Bibliography"/>
      </w:pPr>
      <w:r>
        <w:t xml:space="preserve">Environmental Protection Agency (1996). Watershed approach framework. Office of Water (4501F).</w:t>
      </w:r>
    </w:p>
    <w:bookmarkEnd w:id="108"/>
    <w:bookmarkStart w:id="110"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9">
        <w:r>
          <w:rPr>
            <w:rStyle w:val="Hyperlink"/>
          </w:rPr>
          <w:t xml:space="preserve">https://dx.doi.org/10.3133/ds969</w:t>
        </w:r>
      </w:hyperlink>
      <w:r>
        <w:t xml:space="preserve">.</w:t>
      </w:r>
    </w:p>
    <w:bookmarkEnd w:id="110"/>
    <w:bookmarkStart w:id="111"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1"/>
    <w:bookmarkStart w:id="112"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2"/>
    <w:bookmarkStart w:id="114"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3">
        <w:r>
          <w:rPr>
            <w:rStyle w:val="Hyperlink"/>
          </w:rPr>
          <w:t xml:space="preserve">https://doi.org/10.1371/journal.pone.0132079</w:t>
        </w:r>
      </w:hyperlink>
      <w:r>
        <w:t xml:space="preserve">.</w:t>
      </w:r>
    </w:p>
    <w:bookmarkEnd w:id="114"/>
    <w:bookmarkStart w:id="115"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5"/>
    <w:bookmarkStart w:id="116" w:name="ref-Griffen05"/>
    <w:p>
      <w:pPr>
        <w:pStyle w:val="Bibliography"/>
      </w:pPr>
      <w:r>
        <w:t xml:space="preserve">Griffen, L., and Greening, H. (2005).</w:t>
      </w:r>
      <w:r>
        <w:t xml:space="preserve"> </w:t>
      </w:r>
      <w:r>
        <w:t xml:space="preserve">T</w:t>
      </w:r>
      <w:r>
        <w:t xml:space="preserve">ampa</w:t>
      </w:r>
      <w:r>
        <w:t xml:space="preserve"> </w:t>
      </w:r>
      <w:r>
        <w:t xml:space="preserve">B</w:t>
      </w:r>
      <w:r>
        <w:t xml:space="preserve">ay dredged hole habitat assessment project. Tampa Bay Estuary Program, St. Petersburg, Florida.</w:t>
      </w:r>
    </w:p>
    <w:bookmarkEnd w:id="116"/>
    <w:bookmarkStart w:id="117"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7"/>
    <w:bookmarkStart w:id="118"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8"/>
    <w:bookmarkStart w:id="119"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19"/>
    <w:bookmarkStart w:id="120"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0"/>
    <w:bookmarkStart w:id="122"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1">
        <w:r>
          <w:rPr>
            <w:rStyle w:val="Hyperlink"/>
          </w:rPr>
          <w:t xml:space="preserve">https://doi.org/10.1046/j.1526-100x.2000.80037.x</w:t>
        </w:r>
      </w:hyperlink>
      <w:r>
        <w:t xml:space="preserve">.</w:t>
      </w:r>
    </w:p>
    <w:bookmarkEnd w:id="122"/>
    <w:bookmarkStart w:id="123"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3"/>
    <w:bookmarkStart w:id="125"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4">
        <w:r>
          <w:rPr>
            <w:rStyle w:val="Hyperlink"/>
          </w:rPr>
          <w:t xml:space="preserve">https://doi.org/10.2307/1352488</w:t>
        </w:r>
      </w:hyperlink>
      <w:r>
        <w:t xml:space="preserve">.</w:t>
      </w:r>
    </w:p>
    <w:bookmarkEnd w:id="125"/>
    <w:bookmarkStart w:id="126"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6"/>
    <w:bookmarkStart w:id="127"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7"/>
    <w:bookmarkStart w:id="128"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8"/>
    <w:bookmarkStart w:id="129"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9"/>
    <w:bookmarkStart w:id="130"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30"/>
    <w:bookmarkStart w:id="131"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31"/>
    <w:bookmarkStart w:id="132"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32"/>
    <w:bookmarkStart w:id="133"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3"/>
    <w:bookmarkStart w:id="135"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4">
        <w:r>
          <w:rPr>
            <w:rStyle w:val="Hyperlink"/>
          </w:rPr>
          <w:t xml:space="preserve">10.1038/s41559-017-0160</w:t>
        </w:r>
      </w:hyperlink>
      <w:r>
        <w:t xml:space="preserve">.</w:t>
      </w:r>
    </w:p>
    <w:bookmarkEnd w:id="135"/>
    <w:bookmarkStart w:id="137"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6">
        <w:r>
          <w:rPr>
            <w:rStyle w:val="Hyperlink"/>
          </w:rPr>
          <w:t xml:space="preserve">https://doi.org/10.1016/j.ecoser.2018.09.005</w:t>
        </w:r>
      </w:hyperlink>
      <w:r>
        <w:t xml:space="preserve">.</w:t>
      </w:r>
    </w:p>
    <w:bookmarkEnd w:id="137"/>
    <w:bookmarkStart w:id="138"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8"/>
    <w:bookmarkStart w:id="139"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9"/>
    <w:bookmarkStart w:id="141"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40">
        <w:r>
          <w:rPr>
            <w:rStyle w:val="Hyperlink"/>
          </w:rPr>
          <w:t xml:space="preserve">https://doi.org/10.1111/j.1752-1688.2005.tb03712.x</w:t>
        </w:r>
      </w:hyperlink>
      <w:r>
        <w:t xml:space="preserve">.</w:t>
      </w:r>
    </w:p>
    <w:bookmarkEnd w:id="141"/>
    <w:bookmarkStart w:id="142"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2"/>
    <w:bookmarkStart w:id="143" w:name="ref-OKeife06"/>
    <w:p>
      <w:pPr>
        <w:pStyle w:val="Bibliography"/>
      </w:pPr>
      <w:r>
        <w:t xml:space="preserve">O’Keife, K. W., Arnold, D., and Reed, D. (2006).</w:t>
      </w:r>
      <w:r>
        <w:t xml:space="preserve"> </w:t>
      </w:r>
      <w:r>
        <w:t xml:space="preserve">T</w:t>
      </w:r>
      <w:r>
        <w:t xml:space="preserve">ampa</w:t>
      </w:r>
      <w:r>
        <w:t xml:space="preserve"> </w:t>
      </w:r>
      <w:r>
        <w:t xml:space="preserve">B</w:t>
      </w:r>
      <w:r>
        <w:t xml:space="preserve">ay oyster bar mapping and assessment: Final report to</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43"/>
    <w:bookmarkStart w:id="144"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4"/>
    <w:bookmarkStart w:id="146"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5">
        <w:r>
          <w:rPr>
            <w:rStyle w:val="Hyperlink"/>
          </w:rPr>
          <w:t xml:space="preserve">https://doi.org/10.1007/s10021-012-9551-1</w:t>
        </w:r>
      </w:hyperlink>
      <w:r>
        <w:t xml:space="preserve">.</w:t>
      </w:r>
    </w:p>
    <w:bookmarkEnd w:id="146"/>
    <w:bookmarkStart w:id="148"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7">
        <w:r>
          <w:rPr>
            <w:rStyle w:val="Hyperlink"/>
          </w:rPr>
          <w:t xml:space="preserve">https://doi.org/10.1007/s12237-008-9129-5</w:t>
        </w:r>
      </w:hyperlink>
      <w:r>
        <w:t xml:space="preserve">.</w:t>
      </w:r>
    </w:p>
    <w:bookmarkEnd w:id="148"/>
    <w:bookmarkStart w:id="15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9">
        <w:r>
          <w:rPr>
            <w:rStyle w:val="Hyperlink"/>
          </w:rPr>
          <w:t xml:space="preserve">https://doi.org/10.1007/s12237-012-9503-1</w:t>
        </w:r>
      </w:hyperlink>
      <w:r>
        <w:t xml:space="preserve">.</w:t>
      </w:r>
    </w:p>
    <w:bookmarkEnd w:id="150"/>
    <w:bookmarkStart w:id="151" w:name="ref-Raulerson19"/>
    <w:p>
      <w:pPr>
        <w:pStyle w:val="Bibliography"/>
      </w:pPr>
      <w:r>
        <w:t xml:space="preserve">Raulerson, G., Hershorin, A., Karlen, D., MacDonald, T., and Tyler-Jedlund, A. (2019).</w:t>
      </w:r>
      <w:r>
        <w:t xml:space="preserve"> </w:t>
      </w:r>
      <w:r>
        <w:t xml:space="preserve">T</w:t>
      </w:r>
      <w:r>
        <w:t xml:space="preserve">ampa</w:t>
      </w:r>
      <w:r>
        <w:t xml:space="preserve"> </w:t>
      </w:r>
      <w:r>
        <w:t xml:space="preserve">B</w:t>
      </w:r>
      <w:r>
        <w:t xml:space="preserve">ay dredged hole assessment and management recommendations: 2019 synthesis report, final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Tampa Bay Estuary Program, St. Petersburg, Florida.</w:t>
      </w:r>
    </w:p>
    <w:bookmarkEnd w:id="151"/>
    <w:bookmarkStart w:id="15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2"/>
    <w:bookmarkStart w:id="15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3"/>
    <w:bookmarkStart w:id="15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4"/>
    <w:bookmarkStart w:id="15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5"/>
    <w:bookmarkStart w:id="157"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6">
        <w:r>
          <w:rPr>
            <w:rStyle w:val="Hyperlink"/>
          </w:rPr>
          <w:t xml:space="preserve">https://doi.org/10.1007/s12237-013-9662-8</w:t>
        </w:r>
      </w:hyperlink>
      <w:r>
        <w:t xml:space="preserve">.</w:t>
      </w:r>
    </w:p>
    <w:bookmarkEnd w:id="157"/>
    <w:bookmarkStart w:id="158"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8"/>
    <w:bookmarkStart w:id="160"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59">
        <w:r>
          <w:rPr>
            <w:rStyle w:val="Hyperlink"/>
          </w:rPr>
          <w:t xml:space="preserve">https://doi.org/10.1007/s00267-013-0179-5</w:t>
        </w:r>
      </w:hyperlink>
      <w:r>
        <w:t xml:space="preserve">.</w:t>
      </w:r>
    </w:p>
    <w:bookmarkEnd w:id="160"/>
    <w:bookmarkStart w:id="16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1"/>
    <w:bookmarkStart w:id="16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2"/>
    <w:bookmarkStart w:id="16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3">
        <w:r>
          <w:rPr>
            <w:rStyle w:val="Hyperlink"/>
          </w:rPr>
          <w:t xml:space="preserve">https://doi.org/10.1002/eap.1722</w:t>
        </w:r>
      </w:hyperlink>
      <w:r>
        <w:t xml:space="preserve">.</w:t>
      </w:r>
    </w:p>
    <w:bookmarkEnd w:id="164"/>
    <w:bookmarkStart w:id="165" w:name="ref-SWFWMD14"/>
    <w:p>
      <w:pPr>
        <w:pStyle w:val="Bibliography"/>
      </w:pPr>
      <w:r>
        <w:t xml:space="preserve">Southwest Florida Water Management District (2014). Photo interpretation key for land use classification.</w:t>
      </w:r>
    </w:p>
    <w:bookmarkEnd w:id="165"/>
    <w:bookmarkStart w:id="167" w:name="ref-SWFWMD18"/>
    <w:p>
      <w:pPr>
        <w:pStyle w:val="Bibliography"/>
      </w:pPr>
      <w:r>
        <w:t xml:space="preserve">Southwest Florida Water Management District (2018). Land use land cover data. c1990-2017. Available at:</w:t>
      </w:r>
      <w:r>
        <w:t xml:space="preserve"> </w:t>
      </w:r>
      <w:hyperlink r:id="rId166">
        <w:r>
          <w:rPr>
            <w:rStyle w:val="Hyperlink"/>
          </w:rPr>
          <w:t xml:space="preserve">https://data-swfwmd.opendata.arcgis.com/</w:t>
        </w:r>
      </w:hyperlink>
      <w:r>
        <w:t xml:space="preserve">.</w:t>
      </w:r>
    </w:p>
    <w:bookmarkEnd w:id="167"/>
    <w:bookmarkStart w:id="169" w:name="ref-SWFWMD19"/>
    <w:p>
      <w:pPr>
        <w:pStyle w:val="Bibliography"/>
      </w:pPr>
      <w:r>
        <w:t xml:space="preserve">Southwest Florida Water Management District (2019). Seagrass in 2018. Available at:</w:t>
      </w:r>
      <w:r>
        <w:t xml:space="preserve"> </w:t>
      </w:r>
      <w:hyperlink r:id="rId168">
        <w:r>
          <w:rPr>
            <w:rStyle w:val="Hyperlink"/>
          </w:rPr>
          <w:t xml:space="preserve">https://data-swfwmd.opendata.arcgis.com/datasets/seagrass-in-2018</w:t>
        </w:r>
      </w:hyperlink>
      <w:r>
        <w:t xml:space="preserve">.</w:t>
      </w:r>
    </w:p>
    <w:bookmarkEnd w:id="169"/>
    <w:bookmarkStart w:id="17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0"/>
    <w:bookmarkStart w:id="17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1">
        <w:r>
          <w:rPr>
            <w:rStyle w:val="Hyperlink"/>
          </w:rPr>
          <w:t xml:space="preserve">https://doi.org/10.1016/j.geoderma.2013.10.007</w:t>
        </w:r>
      </w:hyperlink>
      <w:r>
        <w:t xml:space="preserve">.</w:t>
      </w:r>
    </w:p>
    <w:bookmarkEnd w:id="172"/>
    <w:bookmarkStart w:id="17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3">
        <w:r>
          <w:rPr>
            <w:rStyle w:val="Hyperlink"/>
          </w:rPr>
          <w:t xml:space="preserve">https://doi.org/10.1016/S0169-2046(97)00041-8</w:t>
        </w:r>
      </w:hyperlink>
      <w:r>
        <w:t xml:space="preserve">.</w:t>
      </w:r>
    </w:p>
    <w:bookmarkEnd w:id="174"/>
    <w:bookmarkStart w:id="17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5">
        <w:r>
          <w:rPr>
            <w:rStyle w:val="Hyperlink"/>
          </w:rPr>
          <w:t xml:space="preserve">https://doi.org/10.1088/1748-9326/4/4/044008</w:t>
        </w:r>
      </w:hyperlink>
      <w:r>
        <w:t xml:space="preserve">.</w:t>
      </w:r>
    </w:p>
    <w:bookmarkEnd w:id="176"/>
    <w:bookmarkStart w:id="17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7">
        <w:r>
          <w:rPr>
            <w:rStyle w:val="Hyperlink"/>
          </w:rPr>
          <w:t xml:space="preserve">https://doi.org/10.1016/j.marpolbul.2020.111247</w:t>
        </w:r>
      </w:hyperlink>
      <w:r>
        <w:t xml:space="preserve">.</w:t>
      </w:r>
    </w:p>
    <w:bookmarkEnd w:id="178"/>
    <w:bookmarkStart w:id="18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9">
        <w:r>
          <w:rPr>
            <w:rStyle w:val="Hyperlink"/>
          </w:rPr>
          <w:t xml:space="preserve">https://doi.org/10.1016/j.rse.2011.06.027</w:t>
        </w:r>
      </w:hyperlink>
      <w:r>
        <w:t xml:space="preserve">.</w:t>
      </w:r>
    </w:p>
    <w:bookmarkEnd w:id="180"/>
    <w:bookmarkStart w:id="18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1">
        <w:r>
          <w:rPr>
            <w:rStyle w:val="Hyperlink"/>
          </w:rPr>
          <w:t xml:space="preserve">https://doi.org/10.1007/s12237-021-00974-7</w:t>
        </w:r>
      </w:hyperlink>
      <w:r>
        <w:t xml:space="preserve">.</w:t>
      </w:r>
    </w:p>
    <w:bookmarkEnd w:id="182"/>
    <w:bookmarkStart w:id="184"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3">
        <w:r>
          <w:rPr>
            <w:rStyle w:val="Hyperlink"/>
          </w:rPr>
          <w:t xml:space="preserve">https://doi.org/10.1007/s12237-014-9926-y</w:t>
        </w:r>
      </w:hyperlink>
      <w:r>
        <w:t xml:space="preserve">.</w:t>
      </w:r>
    </w:p>
    <w:bookmarkEnd w:id="184"/>
    <w:bookmarkEnd w:id="185"/>
    <w:bookmarkEnd w:id="18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6" Target="https://doi.org/10.1007/978-1-4020-5095-4" TargetMode="External" /><Relationship Type="http://schemas.openxmlformats.org/officeDocument/2006/relationships/hyperlink" Id="rId159" Target="https://doi.org/10.1007/s00267-013-0179-5" TargetMode="External" /><Relationship Type="http://schemas.openxmlformats.org/officeDocument/2006/relationships/hyperlink" Id="rId145" Target="https://doi.org/10.1007/s10021-012-9551-1" TargetMode="External" /><Relationship Type="http://schemas.openxmlformats.org/officeDocument/2006/relationships/hyperlink" Id="rId74" Target="https://doi.org/10.1007/s11273-017-9565-8" TargetMode="External" /><Relationship Type="http://schemas.openxmlformats.org/officeDocument/2006/relationships/hyperlink" Id="rId101" Target="https://doi.org/10.1007/s12237-008-9111-2" TargetMode="External" /><Relationship Type="http://schemas.openxmlformats.org/officeDocument/2006/relationships/hyperlink" Id="rId147" Target="https://doi.org/10.1007/s12237-008-9129-5" TargetMode="External" /><Relationship Type="http://schemas.openxmlformats.org/officeDocument/2006/relationships/hyperlink" Id="rId149"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3" Target="https://doi.org/10.1007/s12237-014-9926-y" TargetMode="External" /><Relationship Type="http://schemas.openxmlformats.org/officeDocument/2006/relationships/hyperlink" Id="rId99"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73" Target="https://doi.org/10.1016/S0169-2046(97)00041-8" TargetMode="External" /><Relationship Type="http://schemas.openxmlformats.org/officeDocument/2006/relationships/hyperlink" Id="rId90"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4" Target="https://doi.org/10.1016/j.ecss.2011.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1" Target="https://doi.org/10.1046/j.1526-100x.2000.80037.x" TargetMode="External" /><Relationship Type="http://schemas.openxmlformats.org/officeDocument/2006/relationships/hyperlink" Id="rId88" Target="https://doi.org/10.1073/pnas.1315800111" TargetMode="External" /><Relationship Type="http://schemas.openxmlformats.org/officeDocument/2006/relationships/hyperlink" Id="rId86" Target="https://doi.org/10.1073/pnas.1902181116" TargetMode="External" /><Relationship Type="http://schemas.openxmlformats.org/officeDocument/2006/relationships/hyperlink" Id="rId103"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40" Target="https://doi.org/10.1111/j.1752-1688.2005.tb03712.x" TargetMode="External" /><Relationship Type="http://schemas.openxmlformats.org/officeDocument/2006/relationships/hyperlink" Id="rId105" Target="https://doi.org/10.1201/9780138750308" TargetMode="External" /><Relationship Type="http://schemas.openxmlformats.org/officeDocument/2006/relationships/hyperlink" Id="rId113" Target="https://doi.org/10.1371/journal.pone.0132079" TargetMode="External" /><Relationship Type="http://schemas.openxmlformats.org/officeDocument/2006/relationships/hyperlink" Id="rId84" Target="https://doi.org/10.1371/journal.pone.0132651" TargetMode="External" /><Relationship Type="http://schemas.openxmlformats.org/officeDocument/2006/relationships/hyperlink" Id="rId124" Target="https://doi.org/10.2307/1352488" TargetMode="External" /><Relationship Type="http://schemas.openxmlformats.org/officeDocument/2006/relationships/hyperlink" Id="rId80" Target="https://drive.google.com/file/d/11xohuoaHDxNHRqgXoOHdI37FpWvac_rn/view?usp=sharing" TargetMode="External" /><Relationship Type="http://schemas.openxmlformats.org/officeDocument/2006/relationships/hyperlink" Id="rId82" Target="https://drive.google.com/file/d/1c_KTSJ4TgVX9IugnyDadr2Hc0gjAuQg2/view?usp=drivesdk" TargetMode="External" /><Relationship Type="http://schemas.openxmlformats.org/officeDocument/2006/relationships/hyperlink" Id="rId109" Target="https://dx.doi.org/10.3133/ds969" TargetMode="External" /><Relationship Type="http://schemas.openxmlformats.org/officeDocument/2006/relationships/hyperlink" Id="rId32" Target="https://tbep-tech.github.io/landuse/"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6" Target="https://doi.org/10.1007/978-1-4020-5095-4" TargetMode="External" /><Relationship Type="http://schemas.openxmlformats.org/officeDocument/2006/relationships/hyperlink" Id="rId159" Target="https://doi.org/10.1007/s00267-013-0179-5" TargetMode="External" /><Relationship Type="http://schemas.openxmlformats.org/officeDocument/2006/relationships/hyperlink" Id="rId145" Target="https://doi.org/10.1007/s10021-012-9551-1" TargetMode="External" /><Relationship Type="http://schemas.openxmlformats.org/officeDocument/2006/relationships/hyperlink" Id="rId74" Target="https://doi.org/10.1007/s11273-017-9565-8" TargetMode="External" /><Relationship Type="http://schemas.openxmlformats.org/officeDocument/2006/relationships/hyperlink" Id="rId101" Target="https://doi.org/10.1007/s12237-008-9111-2" TargetMode="External" /><Relationship Type="http://schemas.openxmlformats.org/officeDocument/2006/relationships/hyperlink" Id="rId147" Target="https://doi.org/10.1007/s12237-008-9129-5" TargetMode="External" /><Relationship Type="http://schemas.openxmlformats.org/officeDocument/2006/relationships/hyperlink" Id="rId149"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3" Target="https://doi.org/10.1007/s12237-014-9926-y" TargetMode="External" /><Relationship Type="http://schemas.openxmlformats.org/officeDocument/2006/relationships/hyperlink" Id="rId99"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73" Target="https://doi.org/10.1016/S0169-2046(97)00041-8" TargetMode="External" /><Relationship Type="http://schemas.openxmlformats.org/officeDocument/2006/relationships/hyperlink" Id="rId90"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4" Target="https://doi.org/10.1016/j.ecss.2011.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1" Target="https://doi.org/10.1046/j.1526-100x.2000.80037.x" TargetMode="External" /><Relationship Type="http://schemas.openxmlformats.org/officeDocument/2006/relationships/hyperlink" Id="rId88" Target="https://doi.org/10.1073/pnas.1315800111" TargetMode="External" /><Relationship Type="http://schemas.openxmlformats.org/officeDocument/2006/relationships/hyperlink" Id="rId86" Target="https://doi.org/10.1073/pnas.1902181116" TargetMode="External" /><Relationship Type="http://schemas.openxmlformats.org/officeDocument/2006/relationships/hyperlink" Id="rId103"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40" Target="https://doi.org/10.1111/j.1752-1688.2005.tb03712.x" TargetMode="External" /><Relationship Type="http://schemas.openxmlformats.org/officeDocument/2006/relationships/hyperlink" Id="rId105" Target="https://doi.org/10.1201/9780138750308" TargetMode="External" /><Relationship Type="http://schemas.openxmlformats.org/officeDocument/2006/relationships/hyperlink" Id="rId113" Target="https://doi.org/10.1371/journal.pone.0132079" TargetMode="External" /><Relationship Type="http://schemas.openxmlformats.org/officeDocument/2006/relationships/hyperlink" Id="rId84" Target="https://doi.org/10.1371/journal.pone.0132651" TargetMode="External" /><Relationship Type="http://schemas.openxmlformats.org/officeDocument/2006/relationships/hyperlink" Id="rId124" Target="https://doi.org/10.2307/1352488" TargetMode="External" /><Relationship Type="http://schemas.openxmlformats.org/officeDocument/2006/relationships/hyperlink" Id="rId80" Target="https://drive.google.com/file/d/11xohuoaHDxNHRqgXoOHdI37FpWvac_rn/view?usp=sharing" TargetMode="External" /><Relationship Type="http://schemas.openxmlformats.org/officeDocument/2006/relationships/hyperlink" Id="rId82" Target="https://drive.google.com/file/d/1c_KTSJ4TgVX9IugnyDadr2Hc0gjAuQg2/view?usp=drivesdk" TargetMode="External" /><Relationship Type="http://schemas.openxmlformats.org/officeDocument/2006/relationships/hyperlink" Id="rId109" Target="https://dx.doi.org/10.3133/ds969" TargetMode="External" /><Relationship Type="http://schemas.openxmlformats.org/officeDocument/2006/relationships/hyperlink" Id="rId32" Target="https://tbep-tech.github.io/landuse/"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2022-08-26T16:51:51Z</dcterms:created>
  <dcterms:modified xsi:type="dcterms:W3CDTF">2022-08-26T16:51:51Z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