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w:t>
      </w:r>
    </w:p>
    <w:p>
      <w:pPr>
        <w:numPr>
          <w:ilvl w:val="0"/>
          <w:numId w:val="1000"/>
        </w:numPr>
      </w:pPr>
      <w:r>
        <w:t xml:space="preserve">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211-213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w:t>
      </w:r>
    </w:p>
    <w:p>
      <w:pPr>
        <w:numPr>
          <w:ilvl w:val="0"/>
          <w:numId w:val="1000"/>
        </w:numPr>
      </w:pPr>
      <w:r>
        <w:t xml:space="preserve">However, we have added some text to provide some clarity on on these terms:</w:t>
      </w:r>
      <w:r>
        <w:t xml:space="preserve"> </w:t>
      </w:r>
      <w:r>
        <w:t xml:space="preserve">“</w:t>
      </w:r>
      <w:r>
        <w:t xml:space="preserve">The short-term targets provided an interim set of native habitat coverages to attain within a reasonable planning horizon, after which progress in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actual restoration potential of wetlands, either tidal or freshwater.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our response to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the coastal stratum included in the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tidal within the five foot contour (mangroves, salt barrens, salt marshes) and freshwater above the five foot contour (forested and non-forested wetlands) within the expected time period of sea level rise.</w:t>
      </w:r>
    </w:p>
    <w:p>
      <w:pPr>
        <w:numPr>
          <w:ilvl w:val="0"/>
          <w:numId w:val="1000"/>
        </w:numPr>
      </w:pPr>
      <w:r>
        <w:t xml:space="preserve">We have added some text at the end of the paragraph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core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more comprehensive quantitative means of identifying actual restoration potential. Additional information, as noted by the reviewer, is certainly needed for understanding the true restoration potential of any location within the watershed. However, we have noted in several locations in the manuscript that the approach described herein is a prioritization tool that can be used as a first step for restoration planning (e.g., lines 83, 90, 113). Prior to this assessment, comparable tools at the watershed scale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describe this tool as a preliminary means to guide follow-up work once sites are identified from the provided opportunity areas.</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r>
        <w:t xml:space="preserve"> </w:t>
      </w:r>
      <w:r>
        <w:t xml:space="preserve">”</w:t>
      </w:r>
      <w:r>
        <w:t xml:space="preserve"> </w:t>
      </w:r>
      <w:r>
        <w:t xml:space="preserve">Figure 1. The classification criteria for land use types are confused. I suggest using the Ramsar Convention classification system.</w:t>
      </w:r>
    </w:p>
    <w:p>
      <w:pPr>
        <w:numPr>
          <w:ilvl w:val="0"/>
          <w:numId w:val="1009"/>
        </w:numPr>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also added in the text and figure caption. This classification was chosen as this is the standard approach used for the entire state of Florida.</w:t>
      </w:r>
    </w:p>
    <w:bookmarkEnd w:id="20"/>
    <w:bookmarkStart w:id="21"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0"/>
        </w:numPr>
        <w:pStyle w:val="Compact"/>
      </w:pPr>
      <w:r>
        <w:rPr>
          <w:bCs/>
          <w:b/>
        </w:rPr>
        <w:t xml:space="preserve">Response</w:t>
      </w:r>
      <w:r>
        <w:t xml:space="preserve">: Thank you for your detailed comments on our manuscript. We have made every effort to address your concerns noted below and are confident this has improved the draft.</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numPr>
          <w:ilvl w:val="0"/>
          <w:numId w:val="1011"/>
        </w:numPr>
        <w:pStyle w:val="Compact"/>
      </w:pPr>
      <w:r>
        <w:rPr>
          <w:bCs/>
          <w:b/>
        </w:rPr>
        <w:t xml:space="preserve">Response</w:t>
      </w:r>
      <w:r>
        <w:t xml:space="preserve">:</w:t>
      </w:r>
    </w:p>
    <w:p>
      <w:pPr>
        <w:pStyle w:val="FirstParagraph"/>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numPr>
          <w:ilvl w:val="0"/>
          <w:numId w:val="1012"/>
        </w:numPr>
        <w:pStyle w:val="Compact"/>
      </w:pPr>
      <w:r>
        <w:rPr>
          <w:bCs/>
          <w:b/>
        </w:rPr>
        <w:t xml:space="preserve">Response</w:t>
      </w:r>
      <w:r>
        <w:t xml:space="preserve">:</w:t>
      </w:r>
    </w:p>
    <w:p>
      <w:pPr>
        <w:pStyle w:val="FirstParagraph"/>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numPr>
          <w:ilvl w:val="0"/>
          <w:numId w:val="1013"/>
        </w:numPr>
        <w:pStyle w:val="Compact"/>
      </w:pPr>
      <w:r>
        <w:rPr>
          <w:bCs/>
          <w:b/>
        </w:rPr>
        <w:t xml:space="preserve">Response</w:t>
      </w:r>
      <w:r>
        <w:t xml:space="preserve">: Corrected.</w:t>
      </w:r>
    </w:p>
    <w:p>
      <w:pPr>
        <w:pStyle w:val="FirstParagraph"/>
      </w:pPr>
      <w:r>
        <w:t xml:space="preserve">L117-126: If possible, it would help to have this information on the habitat layers and respective source material presented in a table – even as supplementary information.</w:t>
      </w:r>
    </w:p>
    <w:p>
      <w:pPr>
        <w:numPr>
          <w:ilvl w:val="0"/>
          <w:numId w:val="1014"/>
        </w:numPr>
        <w:pStyle w:val="Compact"/>
      </w:pPr>
      <w:r>
        <w:rPr>
          <w:bCs/>
          <w:b/>
        </w:rPr>
        <w:t xml:space="preserve">Response</w:t>
      </w:r>
      <w:r>
        <w:t xml:space="preserve">: Text was added to refer the reader to a new supplement Table S1.</w:t>
      </w:r>
    </w:p>
    <w:p>
      <w:pPr>
        <w:pStyle w:val="FirstParagraph"/>
      </w:pPr>
      <w:r>
        <w:t xml:space="preserve">L127: At first mention of the 5-foot contour please provide an estimate in metres for comparison. This will also make for a more straightforward understanding of the SLR projection, which is provided in cm (L132).</w:t>
      </w:r>
    </w:p>
    <w:p>
      <w:pPr>
        <w:numPr>
          <w:ilvl w:val="0"/>
          <w:numId w:val="1015"/>
        </w:numPr>
        <w:pStyle w:val="Compact"/>
      </w:pPr>
      <w:r>
        <w:rPr>
          <w:bCs/>
          <w:b/>
        </w:rPr>
        <w:t xml:space="preserve">Response</w:t>
      </w:r>
      <w:r>
        <w:t xml:space="preserve">: This sentence was revised as follows</w:t>
      </w:r>
      <w:r>
        <w:t xml:space="preserve"> </w:t>
      </w:r>
      <w:r>
        <w:t xml:space="preserve">“</w:t>
      </w:r>
      <w:r>
        <w:t xml:space="preserve">…location relative to the 5-foot contour (~1.5m elevation) that covers an area of land…</w:t>
      </w:r>
      <w:r>
        <w:t xml:space="preserve">”</w:t>
      </w:r>
      <w:r>
        <w:t xml:space="preserve">.</w:t>
      </w:r>
    </w:p>
    <w:p>
      <w:pPr>
        <w:pStyle w:val="FirstParagraph"/>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numPr>
          <w:ilvl w:val="0"/>
          <w:numId w:val="1016"/>
        </w:numPr>
        <w:pStyle w:val="Compact"/>
      </w:pPr>
      <w:r>
        <w:rPr>
          <w:bCs/>
          <w:b/>
        </w:rPr>
        <w:t xml:space="preserve">Response</w:t>
      </w:r>
      <w:r>
        <w:t xml:space="preserve">:</w:t>
      </w:r>
    </w:p>
    <w:p>
      <w:pPr>
        <w:pStyle w:val="FirstParagraph"/>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numPr>
          <w:ilvl w:val="0"/>
          <w:numId w:val="1017"/>
        </w:numPr>
      </w:pPr>
      <w:r>
        <w:rPr>
          <w:bCs/>
          <w:b/>
        </w:rPr>
        <w:t xml:space="preserve">Response</w:t>
      </w:r>
      <w:r>
        <w:t xml:space="preserve">: Both the subtidal and inter/supratidal data layers are vector products produced by photo-interpretation. Details were added as follows.</w:t>
      </w:r>
    </w:p>
    <w:p>
      <w:pPr>
        <w:numPr>
          <w:ilvl w:val="0"/>
          <w:numId w:val="1000"/>
        </w:numPr>
      </w:pPr>
      <w:r>
        <w:t xml:space="preserve">For the subtidal layers, details were added starting on line 150:</w:t>
      </w:r>
      <w:r>
        <w:t xml:space="preserve"> </w:t>
      </w:r>
      <w:r>
        <w:t xml:space="preserve">“</w:t>
      </w:r>
      <w:r>
        <w:t xml:space="preserve">These data include vector polygons coverages of the major subtidal habitat types in Tampa Bay, as interpreted from 1:24,000 scale natural color aerial photographs flown in winter 2018 under cloud free conditions. Accuracy assessments of the photo-interpreted map product included field verification by random sample points, with a requirement of 90% accuracy for the seagrass categories. The minimum mapping unit for seagrass polygons is reported as 0.25 acres.</w:t>
      </w:r>
      <w:r>
        <w:t xml:space="preserve">”</w:t>
      </w:r>
    </w:p>
    <w:p>
      <w:pPr>
        <w:numPr>
          <w:ilvl w:val="0"/>
          <w:numId w:val="1000"/>
        </w:numPr>
      </w:pPr>
      <w:r>
        <w:t xml:space="preserve">For the inter/supratidal layers, details were added on line 158:</w:t>
      </w:r>
      <w:r>
        <w:t xml:space="preserve"> </w:t>
      </w:r>
      <w:r>
        <w:t xml:space="preserve">“</w:t>
      </w:r>
      <w:r>
        <w:t xml:space="preserve">Similar methods as the subtidal habitats described above are used for the intertidal and supratidal coverage maps, although at a slightly higher spatial resolution (1:12,000).</w:t>
      </w:r>
      <w:r>
        <w:t xml:space="preserve">”</w:t>
      </w:r>
    </w:p>
    <w:p>
      <w:pPr>
        <w:pStyle w:val="FirstParagraph"/>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numPr>
          <w:ilvl w:val="0"/>
          <w:numId w:val="1018"/>
        </w:numPr>
        <w:pStyle w:val="Compact"/>
      </w:pPr>
      <w:r>
        <w:rPr>
          <w:bCs/>
          <w:b/>
        </w:rPr>
        <w:t xml:space="preserve">Response</w:t>
      </w:r>
      <w:r>
        <w:t xml:space="preserve">: Additional detail was provided as follows:</w:t>
      </w:r>
      <w:r>
        <w:t xml:space="preserve"> </w:t>
      </w:r>
      <w:r>
        <w:t xml:space="preserve">“</w:t>
      </w:r>
      <w:r>
        <w:t xml:space="preserve">Specifically, the spatial datasets were unioned and the total areal change of the polygons for each habitat type was quantified by taking the difference between the two terminal years. For example, the area that remained as native uplands between the 1990 and 2017 intertidal and suptratidal layers was quantified, whereas the area that changed from native uplands to another habitat category was also quantified. This process was repeated for all native habitats, including developed and restorable lands (described below).</w:t>
      </w:r>
      <w:r>
        <w:t xml:space="preserve">”</w:t>
      </w:r>
    </w:p>
    <w:p>
      <w:pPr>
        <w:pStyle w:val="FirstParagraph"/>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numPr>
          <w:ilvl w:val="0"/>
          <w:numId w:val="1019"/>
        </w:numPr>
        <w:pStyle w:val="Compact"/>
      </w:pPr>
      <w:r>
        <w:rPr>
          <w:bCs/>
          <w:b/>
        </w:rPr>
        <w:t xml:space="preserve">Response</w:t>
      </w:r>
      <w:r>
        <w:t xml:space="preserve">:</w:t>
      </w:r>
    </w:p>
    <w:p>
      <w:pPr>
        <w:pStyle w:val="FirstParagraph"/>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numPr>
          <w:ilvl w:val="0"/>
          <w:numId w:val="1020"/>
        </w:numPr>
        <w:pStyle w:val="Compact"/>
      </w:pPr>
      <w:r>
        <w:rPr>
          <w:bCs/>
          <w:b/>
        </w:rPr>
        <w:t xml:space="preserve">Response</w:t>
      </w:r>
      <w:r>
        <w:t xml:space="preserve">:</w:t>
      </w:r>
    </w:p>
    <w:p>
      <w:pPr>
        <w:pStyle w:val="FirstParagraph"/>
      </w:pPr>
      <w:r>
        <w:t xml:space="preserve">L217-219: Again, please provide some detail on the spatial resolution of these datasets. Were there any issues / challenges with alignment with spatial datasets from other sources? How were these overcome?</w:t>
      </w:r>
    </w:p>
    <w:p>
      <w:pPr>
        <w:numPr>
          <w:ilvl w:val="0"/>
          <w:numId w:val="1021"/>
        </w:numPr>
      </w:pPr>
      <w:r>
        <w:rPr>
          <w:bCs/>
          <w:b/>
        </w:rPr>
        <w:t xml:space="preserve">Response</w:t>
      </w:r>
      <w:r>
        <w:t xml:space="preserve">: Details on these data were added as follows:</w:t>
      </w:r>
      <w:r>
        <w:t xml:space="preserve"> </w:t>
      </w:r>
      <w:r>
        <w:t xml:space="preserve">“</w:t>
      </w:r>
      <w:r>
        <w:t xml:space="preserve">The FNAI data are Florida Managed Areas as vector-based polygons of public and some private lands identified as having natural resource value and that are being managed at least partially for conservation. The source data for this layer are provided to FNAI directly from the managing agency in digital format or as paper source maps that are digitized using appropriate topographic quadrangles, ortho-imagery, and property appraiser parcel data at a minimum spatial resolution of 1:5,000.</w:t>
      </w:r>
      <w:r>
        <w:t xml:space="preserve">”</w:t>
      </w:r>
    </w:p>
    <w:p>
      <w:pPr>
        <w:numPr>
          <w:ilvl w:val="0"/>
          <w:numId w:val="1000"/>
        </w:numPr>
      </w:pPr>
      <w:r>
        <w:t xml:space="preserve">A citation to</w:t>
      </w:r>
      <w:r>
        <w:t xml:space="preserve"> </w:t>
      </w:r>
      <w:r>
        <w:t xml:space="preserve">Florida Natural Areas Inventory (2020)</w:t>
      </w:r>
      <w:r>
        <w:t xml:space="preserve"> </w:t>
      </w:r>
      <w:r>
        <w:t xml:space="preserve">was also added.</w:t>
      </w:r>
    </w:p>
    <w:p>
      <w:pPr>
        <w:numPr>
          <w:ilvl w:val="0"/>
          <w:numId w:val="1000"/>
        </w:numPr>
      </w:pPr>
      <w:r>
        <w:t xml:space="preserve">The common projection used for all analyses was also added to line 251:</w:t>
      </w:r>
      <w:r>
        <w:t xml:space="preserve"> </w:t>
      </w:r>
      <w:r>
        <w:t xml:space="preserve">“</w:t>
      </w:r>
      <w:r>
        <w:t xml:space="preserve">All spatial data were transformed to the NAD83(2011) / Florida West (ftUS) projection prior to analysis.</w:t>
      </w:r>
      <w:r>
        <w:t xml:space="preserve">”</w:t>
      </w:r>
    </w:p>
    <w:p>
      <w:pPr>
        <w:pStyle w:val="FirstParagraph"/>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numPr>
          <w:ilvl w:val="0"/>
          <w:numId w:val="1022"/>
        </w:numPr>
        <w:pStyle w:val="Compact"/>
      </w:pPr>
      <w:r>
        <w:rPr>
          <w:bCs/>
          <w:b/>
        </w:rPr>
        <w:t xml:space="preserve">Response</w:t>
      </w:r>
      <w:r>
        <w:t xml:space="preserve">: The change in seagrasses in Tampa Bay over the last three decades is well-documented</w:t>
      </w:r>
      <w:r>
        <w:t xml:space="preserve"> </w:t>
      </w:r>
      <w:r>
        <w:t xml:space="preserve">(e.g., Greening et al., 2014; Sherwood et al., 2017)</w:t>
      </w:r>
      <w:r>
        <w:t xml:space="preserve">. The documentation of this recovery has been made possible primarily from efforts of the Southwest Florida Water Management District in providing accurate and comparable coverage maps on an approximate biennial basis since the late 1980s (as described in the data sources). Although some minor changes in the FLUCCS codes have occurred during this period, the methods for documenting seagrasses have been consistent. We are confident that these changes are not a product of changes in methodologies. We hope that our addition to the text describing more detail on the data sources and methods has provided some clarity.</w:t>
      </w:r>
    </w:p>
    <w:p>
      <w:pPr>
        <w:pStyle w:val="FirstParagraph"/>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numPr>
          <w:ilvl w:val="0"/>
          <w:numId w:val="1023"/>
        </w:numPr>
        <w:pStyle w:val="Compact"/>
      </w:pPr>
      <w:r>
        <w:rPr>
          <w:bCs/>
          <w:b/>
        </w:rPr>
        <w:t xml:space="preserve">Response</w:t>
      </w:r>
      <w:r>
        <w:t xml:space="preserve">:</w:t>
      </w:r>
    </w:p>
    <w:p>
      <w:pPr>
        <w:pStyle w:val="FirstParagraph"/>
      </w:pPr>
      <w:r>
        <w:t xml:space="preserve">L309-310: Should this read</w:t>
      </w:r>
      <w:r>
        <w:t xml:space="preserve"> </w:t>
      </w:r>
      <w:r>
        <w:t xml:space="preserve">“</w:t>
      </w:r>
      <w:r>
        <w:t xml:space="preserve">(coastal reservation restorable)</w:t>
      </w:r>
      <w:r>
        <w:t xml:space="preserve">”</w:t>
      </w:r>
      <w:r>
        <w:t xml:space="preserve">?</w:t>
      </w:r>
    </w:p>
    <w:p>
      <w:pPr>
        <w:numPr>
          <w:ilvl w:val="0"/>
          <w:numId w:val="1024"/>
        </w:numPr>
        <w:pStyle w:val="Compact"/>
      </w:pPr>
      <w:r>
        <w:rPr>
          <w:bCs/>
          <w:b/>
        </w:rPr>
        <w:t xml:space="preserve">Response</w:t>
      </w:r>
      <w:r>
        <w:t xml:space="preserve">: Corrected.</w:t>
      </w:r>
    </w:p>
    <w:p>
      <w:pPr>
        <w:pStyle w:val="FirstParagraph"/>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numPr>
          <w:ilvl w:val="0"/>
          <w:numId w:val="1025"/>
        </w:numPr>
        <w:pStyle w:val="Compact"/>
      </w:pPr>
      <w:r>
        <w:rPr>
          <w:bCs/>
          <w:b/>
        </w:rPr>
        <w:t xml:space="preserve">Response</w:t>
      </w:r>
      <w:r>
        <w:t xml:space="preserve">:</w:t>
      </w:r>
    </w:p>
    <w:p>
      <w:pPr>
        <w:pStyle w:val="FirstParagraph"/>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numPr>
          <w:ilvl w:val="0"/>
          <w:numId w:val="1026"/>
        </w:numPr>
        <w:pStyle w:val="Compact"/>
      </w:pPr>
      <w:r>
        <w:rPr>
          <w:bCs/>
          <w:b/>
        </w:rPr>
        <w:t xml:space="preserve">Response</w:t>
      </w:r>
      <w:r>
        <w:t xml:space="preserve">: The column header was changed to</w:t>
      </w:r>
      <w:r>
        <w:t xml:space="preserve"> </w:t>
      </w:r>
      <w:r>
        <w:t xml:space="preserve">“</w:t>
      </w:r>
      <w:r>
        <w:t xml:space="preserve">Landcover Category</w:t>
      </w:r>
      <w:r>
        <w:t xml:space="preserve">”</w:t>
      </w:r>
      <w:r>
        <w:t xml:space="preserve">. The table caption was also changed.</w:t>
      </w:r>
    </w:p>
    <w:p>
      <w:pPr>
        <w:pStyle w:val="FirstParagraph"/>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numPr>
          <w:ilvl w:val="0"/>
          <w:numId w:val="1027"/>
        </w:numPr>
        <w:pStyle w:val="Compact"/>
      </w:pPr>
      <w:r>
        <w:rPr>
          <w:bCs/>
          <w:b/>
        </w:rPr>
        <w:t xml:space="preserve">Response</w:t>
      </w:r>
      <w:r>
        <w:t xml:space="preserve">:</w:t>
      </w:r>
    </w:p>
    <w:p>
      <w:pPr>
        <w:pStyle w:val="FirstParagraph"/>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numPr>
          <w:ilvl w:val="0"/>
          <w:numId w:val="1028"/>
        </w:numPr>
        <w:pStyle w:val="Compact"/>
      </w:pPr>
      <w:r>
        <w:rPr>
          <w:bCs/>
          <w:b/>
        </w:rPr>
        <w:t xml:space="preserve">Response</w:t>
      </w:r>
      <w:r>
        <w:t xml:space="preserve">:</w:t>
      </w:r>
    </w:p>
    <w:p>
      <w:pPr>
        <w:pStyle w:val="FirstParagraph"/>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numPr>
          <w:ilvl w:val="0"/>
          <w:numId w:val="1029"/>
        </w:numPr>
        <w:pStyle w:val="Compact"/>
      </w:pPr>
      <w:r>
        <w:rPr>
          <w:bCs/>
          <w:b/>
        </w:rPr>
        <w:t xml:space="preserve">Response</w:t>
      </w:r>
      <w:r>
        <w:t xml:space="preserve">:</w:t>
      </w:r>
    </w:p>
    <w:p>
      <w:pPr>
        <w:pStyle w:val="FirstParagraph"/>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p>
      <w:pPr>
        <w:numPr>
          <w:ilvl w:val="0"/>
          <w:numId w:val="1030"/>
        </w:numPr>
        <w:pStyle w:val="Compact"/>
      </w:pPr>
      <w:r>
        <w:rPr>
          <w:bCs/>
          <w:b/>
        </w:rPr>
        <w:t xml:space="preserve">Response</w:t>
      </w:r>
      <w:r>
        <w:t xml:space="preserve">:</w:t>
      </w:r>
    </w:p>
    <w:bookmarkEnd w:id="21"/>
    <w:bookmarkStart w:id="34" w:name="references"/>
    <w:p>
      <w:pPr>
        <w:pStyle w:val="Heading2"/>
      </w:pPr>
      <w:r>
        <w:t xml:space="preserve">References</w:t>
      </w:r>
    </w:p>
    <w:bookmarkStart w:id="33" w:name="refs"/>
    <w:bookmarkStart w:id="22"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2"/>
    <w:bookmarkStart w:id="24"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3">
        <w:r>
          <w:rPr>
            <w:rStyle w:val="Hyperlink"/>
          </w:rPr>
          <w:t xml:space="preserve">https://drive.google.com/file/d/1c_KTSJ4TgVX9IugnyDadr2Hc0gjAuQg2/view?usp=drivesdk</w:t>
        </w:r>
      </w:hyperlink>
      <w:r>
        <w:t xml:space="preserve">.</w:t>
      </w:r>
    </w:p>
    <w:bookmarkEnd w:id="24"/>
    <w:bookmarkStart w:id="26" w:name="ref-FNAI20"/>
    <w:p>
      <w:pPr>
        <w:pStyle w:val="Bibliography"/>
      </w:pPr>
      <w:r>
        <w:t xml:space="preserve">Florida Natural Areas Inventory (2020). Florida</w:t>
      </w:r>
      <w:r>
        <w:t xml:space="preserve"> </w:t>
      </w:r>
      <w:r>
        <w:t xml:space="preserve">C</w:t>
      </w:r>
      <w:r>
        <w:t xml:space="preserve">onservation</w:t>
      </w:r>
      <w:r>
        <w:t xml:space="preserve"> </w:t>
      </w:r>
      <w:r>
        <w:t xml:space="preserve">L</w:t>
      </w:r>
      <w:r>
        <w:t xml:space="preserve">ands (</w:t>
      </w:r>
      <w:r>
        <w:t xml:space="preserve">FLMA</w:t>
      </w:r>
      <w:r>
        <w:t xml:space="preserve">)</w:t>
      </w:r>
      <w:r>
        <w:t xml:space="preserve"> </w:t>
      </w:r>
      <w:r>
        <w:t xml:space="preserve">GIS</w:t>
      </w:r>
      <w:r>
        <w:t xml:space="preserve"> </w:t>
      </w:r>
      <w:r>
        <w:t xml:space="preserve">D</w:t>
      </w:r>
      <w:r>
        <w:t xml:space="preserve">ataset,</w:t>
      </w:r>
      <w:r>
        <w:t xml:space="preserve"> </w:t>
      </w:r>
      <w:r>
        <w:t xml:space="preserve">M</w:t>
      </w:r>
      <w:r>
        <w:t xml:space="preserve">arch 2020. Available at:</w:t>
      </w:r>
      <w:r>
        <w:t xml:space="preserve"> </w:t>
      </w:r>
      <w:hyperlink r:id="rId25">
        <w:r>
          <w:rPr>
            <w:rStyle w:val="Hyperlink"/>
          </w:rPr>
          <w:t xml:space="preserve">https://www.fnai.org/publications/gis-data</w:t>
        </w:r>
      </w:hyperlink>
      <w:r>
        <w:t xml:space="preserve">.</w:t>
      </w:r>
    </w:p>
    <w:bookmarkEnd w:id="26"/>
    <w:bookmarkStart w:id="28" w:name="ref-Greening14"/>
    <w:p>
      <w:pPr>
        <w:pStyle w:val="Bibliography"/>
      </w:pPr>
      <w:r>
        <w:t xml:space="preserve">Greening, H., Janicki, A., Sherwood, E., Pribble, R., and Johansson, J. O. R. (2014). Ecosystem responses to long-term nutrient management in an urban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Estuarine, Coastal and Shelf Science</w:t>
      </w:r>
      <w:r>
        <w:t xml:space="preserve"> </w:t>
      </w:r>
      <w:r>
        <w:t xml:space="preserve">151, A1–A16. doi:</w:t>
      </w:r>
      <w:r>
        <w:t xml:space="preserve"> </w:t>
      </w:r>
      <w:hyperlink r:id="rId27">
        <w:r>
          <w:rPr>
            <w:rStyle w:val="Hyperlink"/>
          </w:rPr>
          <w:t xml:space="preserve">10.1016/j.ecss.2014.10.003</w:t>
        </w:r>
      </w:hyperlink>
      <w:r>
        <w:t xml:space="preserve">.</w:t>
      </w:r>
    </w:p>
    <w:bookmarkEnd w:id="28"/>
    <w:bookmarkStart w:id="29"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29"/>
    <w:bookmarkStart w:id="30"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30"/>
    <w:bookmarkStart w:id="31"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31"/>
    <w:bookmarkStart w:id="32"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32"/>
    <w:bookmarkEnd w:id="33"/>
    <w:bookmarkEnd w:id="34"/>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7" Target="https://doi.org/10.1016/j.ecss.2014.10.003" TargetMode="External" /><Relationship Type="http://schemas.openxmlformats.org/officeDocument/2006/relationships/hyperlink" Id="rId23" Target="https://drive.google.com/file/d/1c_KTSJ4TgVX9IugnyDadr2Hc0gjAuQg2/view?usp=drivesdk" TargetMode="External" /><Relationship Type="http://schemas.openxmlformats.org/officeDocument/2006/relationships/hyperlink" Id="rId25" Target="https://www.fnai.org/publications/gis-data"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ecss.2014.10.003" TargetMode="External" /><Relationship Type="http://schemas.openxmlformats.org/officeDocument/2006/relationships/hyperlink" Id="rId23" Target="https://drive.google.com/file/d/1c_KTSJ4TgVX9IugnyDadr2Hc0gjAuQg2/view?usp=drivesdk" TargetMode="External" /><Relationship Type="http://schemas.openxmlformats.org/officeDocument/2006/relationships/hyperlink" Id="rId25" Target="https://www.fnai.org/publications/gi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2022-12-30T16:59:00Z</dcterms:created>
  <dcterms:modified xsi:type="dcterms:W3CDTF">2022-12-30T16:59:00Z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