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png" ContentType="image/png"/>
  <Override PartName="/word/media/rId40.jpg" ContentType="image/jpeg"/>
  <Override PartName="/word/media/rId44.png" ContentType="image/png"/>
  <Override PartName="/word/media/rId56.png" ContentType="image/png"/>
  <Override PartName="/word/media/rId34.png" ContentType="image/png"/>
  <Override PartName="/word/media/rId60.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Ecosystem recovery of Tampa Bay following the 2021 release of phosphate mine wastewater from the Piney Point facility</w:t>
      </w:r>
    </w:p>
    <w:p>
      <w:pPr>
        <w:pStyle w:val="Author"/>
      </w:pPr>
      <w:r>
        <w:t xml:space="preserve">Marcus W Beck</w:t>
      </w:r>
      <w:r>
        <w:rPr>
          <w:vertAlign w:val="superscript"/>
        </w:rPr>
        <w:t xml:space="preserve">1,✉</w:t>
      </w:r>
      <w:r>
        <w:t xml:space="preserve">, Sarina J Ergas</w:t>
      </w:r>
      <w:r>
        <w:rPr>
          <w:vertAlign w:val="superscript"/>
        </w:rPr>
        <w:t xml:space="preserve">2</w:t>
      </w:r>
      <w:r>
        <w:t xml:space="preserve">, and Jeffrey A Cunningham</w:t>
      </w:r>
      <w:r>
        <w:rPr>
          <w:vertAlign w:val="superscript"/>
        </w:rPr>
        <w:t xml:space="preserve">2</w:t>
      </w:r>
    </w:p>
    <w:p>
      <w:pPr>
        <w:pStyle w:val="FirstParagraph"/>
      </w:pPr>
      <w:r>
        <w:rPr>
          <w:vertAlign w:val="superscript"/>
        </w:rPr>
        <w:t xml:space="preserve">1</w:t>
      </w:r>
      <w:r>
        <w:t xml:space="preserve"> </w:t>
      </w:r>
      <w:r>
        <w:t xml:space="preserve">Tampa Bay Estuary Program, 263 13th Ave S., Suite 350, St. Petersburg, Florida 33701 USA</w:t>
      </w:r>
      <w:r>
        <w:br/>
      </w:r>
      <w:r>
        <w:rPr>
          <w:vertAlign w:val="superscript"/>
        </w:rPr>
        <w:t xml:space="preserve">2</w:t>
      </w:r>
      <w:r>
        <w:t xml:space="preserve"> </w:t>
      </w:r>
      <w:r>
        <w:t xml:space="preserve">University of South Florida, Department of Civil and Environmental Engineering, 4202 East Fowler Avenue, ENG 030, Tampa, Florida 33620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Marcus W Beck &lt;mbeck@tbep.org&gt;</w:t>
        </w:r>
      </w:hyperlink>
    </w:p>
    <w:bookmarkStart w:id="21" w:name="abstract"/>
    <w:p>
      <w:pPr>
        <w:pStyle w:val="Heading2"/>
      </w:pPr>
      <w:r>
        <w:t xml:space="preserve">Abstract</w:t>
      </w:r>
    </w:p>
    <w:p>
      <w:pPr>
        <w:pStyle w:val="FirstParagraph"/>
      </w:pPr>
      <w:r>
        <w:t xml:space="preserve">Mining activities can support local and global economies, yet also impose significant consequences for the natural environment. Phosphate mining in central Florida has been ongoing for decades and many facilities present risks to freshwater and coastal aquatic environments in the state. In 2021, a breach in the liner of a wastewater holding pond at Piney Point, a legacy phosphate processing facility, resulted in the emergency discharge of 215 million gallons (814 million liters) of highly acidic and nitrogen- and phosphorus-laden wastewater into Tampa Bay. A multi-agency, event-response monitoring program resulted and documented subsequent ecosystem impacts. Declines in water quality were observed, with a notable harmful algal bloom and substantial fish kills occurring three months after the initial wastewater release. Acute spills such as the 2021 event threaten to reverse past successes in seagrass and ecosystem recovery in Tampa Bay. Currently, the site is being closed and efforts to mitigate or prevent future impacts are ongoing. This chapter will present the historical context and management of Piney Point as a precursor to the events of 2021, while providing quantitative examples of the bay’s response relative to its long-term recovery. The role of the Tampa Bay Estuary Program (TBEP) as a non-regulatory institution that works to build public and private partnerships for environmental management will also be explored, with emphasis on TBEP’s role coordinating monitoring efforts and disseminating communication products throughout the event.</w:t>
      </w:r>
    </w:p>
    <w:p>
      <w:r>
        <w:br w:type="page"/>
      </w:r>
    </w:p>
    <w:bookmarkEnd w:id="21"/>
    <w:bookmarkStart w:id="24" w:name="introduction"/>
    <w:p>
      <w:pPr>
        <w:pStyle w:val="Heading2"/>
      </w:pPr>
      <w:r>
        <w:t xml:space="preserve">1 Introduction</w:t>
      </w:r>
    </w:p>
    <w:p>
      <w:pPr>
        <w:pStyle w:val="FirstParagraph"/>
      </w:pPr>
      <w:r>
        <w:t xml:space="preserve">The contemporary history of Tampa Bay, Florida serves as an exemplary model for how collaborative efforts among public and private entities can lead to long-term environmental improvements. In February 1974, a news segment airing on the television program Sixty Minutes drew national attention to the effects of population growth and unchecked development in the Tampa Bay region. The bay’s natural resources, including commercially and ecologically important fisheries that rely on healthy estuarine habitats such as seagrass meadows, exhibited stress from the pressures of a growing human population within the watershed. The discharge of minimally treated wastewater into Tampa Bay was a key factor contributing to ecosystem decline. Nutrient discharges, particularly nitrogen, triggered algal blooms that reduced light penetration in the water column, resulting in loss of seagrasses (</w:t>
      </w:r>
      <w:hyperlink w:anchor="fig-seagrassnutrients">
        <w:r>
          <w:rPr>
            <w:rStyle w:val="Hyperlink"/>
          </w:rPr>
          <w:t xml:space="preserve">Figure 1</w:t>
        </w:r>
      </w:hyperlink>
      <w:r>
        <w:t xml:space="preserve">). Over the following decades, efforts to restore Tampa Bay were successful in reducing pollutants from wastewater and other external sources by 2/3 of levels observed in the 1970s</w:t>
      </w:r>
      <w:r>
        <w:t xml:space="preserve"> </w:t>
      </w:r>
      <w:r>
        <w:t xml:space="preserve">(Greening et al., 2014; Greening &amp; Janicki, 2006)</w:t>
      </w:r>
      <w:r>
        <w:t xml:space="preserve">. By 2016, seagrasses had recovered to a recorded high of 41,655 acres, exceeding the management goal by several thousand acres</w:t>
      </w:r>
      <w:r>
        <w:t xml:space="preserve"> </w:t>
      </w:r>
      <w:r>
        <w:t xml:space="preserve">(Sherwood et al., 2017)</w:t>
      </w:r>
      <w:r>
        <w:t xml:space="preserve">.</w:t>
      </w:r>
    </w:p>
    <w:p>
      <w:pPr>
        <w:pStyle w:val="BodyText"/>
      </w:pPr>
      <w:r>
        <w:t xml:space="preserve">Efforts contributing to the recovery of Tampa Bay were the product of multiple factors, some opportune while others more intentional. In the 1960s, a growing nationwide environmental movement influenced public sentiment on how unregulated economic growth and development was severely harming the environment. Notable events such as the Cuyahoga River fires and widely read texts such as</w:t>
      </w:r>
      <w:r>
        <w:t xml:space="preserve"> </w:t>
      </w:r>
      <w:r>
        <w:t xml:space="preserve">“Silent Spring”</w:t>
      </w:r>
      <w:r>
        <w:t xml:space="preserve"> </w:t>
      </w:r>
      <w:r>
        <w:t xml:space="preserve">were influential factors that motivated change in a national environmental ethic. These sentiments trickled down to Tampa Bay communities as deteriorating local environmental conditions combined with massive population growth led to public calls for regulatory reform and environmental restoration</w:t>
      </w:r>
      <w:r>
        <w:t xml:space="preserve"> </w:t>
      </w:r>
      <w:r>
        <w:t xml:space="preserve">(Bennett, 2024)</w:t>
      </w:r>
      <w:r>
        <w:t xml:space="preserve">.</w:t>
      </w:r>
    </w:p>
    <w:p>
      <w:pPr>
        <w:pStyle w:val="BodyText"/>
      </w:pPr>
      <w:r>
        <w:t xml:space="preserve">Initial recovery efforts in Tampa Bay focused on minimizing discharges of poorly treated sewage and industrial wastewater directly to the bay. As a result, legislation was enacted requiring all wastewater treatment plants to implement advanced nutrient removal technologies prior to discharge to the environment, or to beneficially reuse any effluent that did not meet advanced standards, e.g., for irrigation</w:t>
      </w:r>
      <w:r>
        <w:t xml:space="preserve"> </w:t>
      </w:r>
      <w:r>
        <w:t xml:space="preserve">(Johansson, 1991)</w:t>
      </w:r>
      <w:r>
        <w:t xml:space="preserve">. By the 1980s, additional state legislation led to tighter controls on stormwater pollution to remediate additional sources of nutrients. These efforts were reinforced at the federal level with the Clean Water Act in 1972 and greater access to federal grants and state revolving funds to upgrade municipal wastewater treatment plants.</w:t>
      </w:r>
    </w:p>
    <w:p>
      <w:pPr>
        <w:pStyle w:val="BodyText"/>
      </w:pPr>
      <w:r>
        <w:t xml:space="preserve">Gradually and over several decades, tighter regulation of pollution – motivated by public concern over the effects of population growth – produced water quality improvements and seagrasses returned</w:t>
      </w:r>
      <w:r>
        <w:t xml:space="preserve"> </w:t>
      </w:r>
      <w:r>
        <w:t xml:space="preserve">(Lizcano-Sandoval et al., 2023; Sherwood et al., 2017)</w:t>
      </w:r>
      <w:r>
        <w:t xml:space="preserve">. Baywide recovery was also supported by hundreds of habitat- and infrastructure-restoration projects led by numerous entities</w:t>
      </w:r>
      <w:r>
        <w:t xml:space="preserve"> </w:t>
      </w:r>
      <w:r>
        <w:t xml:space="preserve">(Beck et al., 2019)</w:t>
      </w:r>
      <w:r>
        <w:t xml:space="preserve">. Local environmental groups were and continue to be key players in coalescing public support to improve water quality in Tampa Bay</w:t>
      </w:r>
      <w:r>
        <w:t xml:space="preserve"> </w:t>
      </w:r>
      <w:r>
        <w:t xml:space="preserve">(Gross &amp; Hagy III, 2017; Sherwood et al., 2016)</w:t>
      </w:r>
      <w:r>
        <w:t xml:space="preserve">.</w:t>
      </w:r>
    </w:p>
    <w:p>
      <w:pPr>
        <w:pStyle w:val="BodyText"/>
      </w:pPr>
      <w:r>
        <w:t xml:space="preserve">The Tampa Bay Estuary Program (TBEP), in particular, has been a key facilitator since 1991 that has worked to build partnerships to restore and protect the bay’s resources. The mission of TBEP is implemented through a scientifically sound, community-based management plan that outlines distinct actions to protect water and sediment quality, fish and wildlife, and the community.</w:t>
      </w:r>
      <w:r>
        <w:rPr>
          <w:rStyle w:val="FootnoteReference"/>
        </w:rPr>
        <w:footnoteReference w:id="22"/>
      </w:r>
      <w:r>
        <w:t xml:space="preserve"> </w:t>
      </w:r>
      <w:r>
        <w:t xml:space="preserve">Since 1991, the TBEP has worked to engage communities, private businesses, and local governments to work towards the common goal of creating a healthy Tampa Bay. The TBEP also facilitates the Tampa Bay Nitrogen Management Consortium (TBNMC), a public-private partnership whose representatives have a shared responsibility to control nutrient pollution from all sources contributing to Tampa Bay. The management paradigm of the TBNMC is simple; reduced nitrogen loads will reduce algal growth, creating a light environment in the water that is supportive of seagrass growth and expansion (</w:t>
      </w:r>
      <w:hyperlink w:anchor="fig-seagrassnutrients">
        <w:r>
          <w:rPr>
            <w:rStyle w:val="Hyperlink"/>
          </w:rPr>
          <w:t xml:space="preserve">Figure 1</w:t>
        </w:r>
      </w:hyperlink>
      <w:r>
        <w:t xml:space="preserve">)</w:t>
      </w:r>
      <w:r>
        <w:t xml:space="preserve">(Janicki et al., 2000; Johansson &amp; Greening, 1999)</w:t>
      </w:r>
      <w:r>
        <w:t xml:space="preserve">. Since the mid-1990s, the TBNMC has focused on reducing nitrogen loading, a key water quality pollutant, through the participation of permitted wastewater and stormwater sources from both public and private sectors. The TBNMC has quantified and allocated sources of nitrogen among entities that directly or indirectly discharge to the bay, with total allocations not to exceed the capacity of the bay to assimilate these nutrients</w:t>
      </w:r>
      <w:r>
        <w:t xml:space="preserve"> </w:t>
      </w:r>
      <w:r>
        <w:t xml:space="preserve">(Janicki &amp; Wade, 1996)</w:t>
      </w:r>
      <w:r>
        <w:t xml:space="preserve">. These efforts are conducted under the regulatory oversight of the Florida Department of Environmental Protection (FDEP) and US Environmental Protection Agency (USEPA), which ensure compliance with nutrient-related water quality standards in Tampa Bay.</w:t>
      </w:r>
    </w:p>
    <w:p>
      <w:pPr>
        <w:pStyle w:val="BodyText"/>
      </w:pPr>
      <w:r>
        <w:t xml:space="preserve">Despite the nationally recognized success story of Tampa Bay, current challenges have emerged that threaten past achievements and bring into question the effectiveness of existing management paradigms. From 2016 to 2024, seagrasses declined baywide by over 10,000 acres, falling well below the management target of 40,000 acres</w:t>
      </w:r>
      <w:r>
        <w:t xml:space="preserve"> </w:t>
      </w:r>
      <w:r>
        <w:t xml:space="preserve">(Beck et al., 2024)</w:t>
      </w:r>
      <w:r>
        <w:t xml:space="preserve">. These declines were notable because water quality goals were generally met in successive years of seagrass decline, suggesting that additional factors beyond established water-quality targets and regulatory thresholds were driving recent losses. Interest has shifted towards climate change as a potential culprit, as extreme temperatures and changes in precipitation may be stressing seagrasses beyond their optimal tolerance ranges</w:t>
      </w:r>
      <w:r>
        <w:t xml:space="preserve"> </w:t>
      </w:r>
      <w:r>
        <w:t xml:space="preserve">(Beck et al., 2024; Oliver et al., 2018; Sherwood &amp; Greening, 2013)</w:t>
      </w:r>
      <w:r>
        <w:t xml:space="preserve">. These additional stressors mean that further reductions in nutrient loads may be needed to account for synergistic climate stressors that are difficult, if not impossible, to control at the local scale</w:t>
      </w:r>
      <w:r>
        <w:t xml:space="preserve"> </w:t>
      </w:r>
      <w:r>
        <w:t xml:space="preserve">(Stantec Consulting Services, Inc., 2025)</w:t>
      </w:r>
      <w:r>
        <w:t xml:space="preserve">. These contemporary challenges have forced regional managers to reconsider the effectiveness of previously-established water quality targets and thresholds.</w:t>
      </w:r>
    </w:p>
    <w:bookmarkStart w:id="23" w:name="piney-point"/>
    <w:p>
      <w:pPr>
        <w:pStyle w:val="Heading3"/>
      </w:pPr>
      <w:r>
        <w:t xml:space="preserve">1.1 Piney Point</w:t>
      </w:r>
    </w:p>
    <w:p>
      <w:pPr>
        <w:pStyle w:val="FirstParagraph"/>
      </w:pPr>
      <w:r>
        <w:t xml:space="preserve">Central Florida has a long and complicated relationship with phosphate mining and fertilizer production</w:t>
      </w:r>
      <w:r>
        <w:t xml:space="preserve"> </w:t>
      </w:r>
      <w:r>
        <w:t xml:space="preserve">(Nelson et al., 2021)</w:t>
      </w:r>
      <w:r>
        <w:t xml:space="preserve">. While these activities support economic growth and agricultural productivity, there are often direct and unintended consequences to the natural environment. Active mines and fertilizer processing facilities are numerous in Tampa Bay’s watershed. Piney Point, a legacy fertilizer processing facility, is one such facility that embodies the complex relationship between the environment and how society can benefit from resource extraction. Fertilizer produced locally is typically exported outside of the region, which has had broader societal and economic benefits, whereas wastewater stored on site at these facilities has been released to Tampa Bay on more than one occasion with negative impacts (</w:t>
      </w:r>
      <w:hyperlink w:anchor="fig-map">
        <w:r>
          <w:rPr>
            <w:rStyle w:val="Hyperlink"/>
          </w:rPr>
          <w:t xml:space="preserve">Figure 2</w:t>
        </w:r>
      </w:hyperlink>
      <w:r>
        <w:t xml:space="preserve">).</w:t>
      </w:r>
    </w:p>
    <w:p>
      <w:pPr>
        <w:pStyle w:val="BodyText"/>
      </w:pPr>
      <w:r>
        <w:t xml:space="preserve">Reduced resilience of Tampa Bay to respond to management efforts that control nitrogen loads threatens to undermine decades of collaborative progress in restoring seagrasses. Further, additional stressors, whether from acute events or more chronic issues related to climate change, may push the bay beyond a tipping point to degraded conditions observed fifty years ago as the capacity to assimilate excess nutrient inputs could be diminished. This vulnerability was highlighted in 2021 when an emergency wastewater discharge from Piney Point provided an unintentional, system-wide experiment for how the bay’s ecology responded to a significant nutrient load. While the Piney Point facility has been inactive for over twenty years, large amounts of nutrient-rich wastewater remain onsite. In April 2021, a tear in the plastic liner of the southeastern holding stack (NGS-S) at Piney Point (</w:t>
      </w:r>
      <w:hyperlink w:anchor="fig-photos">
        <w:r>
          <w:rPr>
            <w:rStyle w:val="Hyperlink"/>
          </w:rPr>
          <w:t xml:space="preserve">Figure 3</w:t>
        </w:r>
      </w:hyperlink>
      <w:r>
        <w:t xml:space="preserve">) was detected, and the release of more than 215 million gallons of wastewater into Tampa Bay was authorized by FDEP to prevent catastrophic failure of the containment walls</w:t>
      </w:r>
      <w:r>
        <w:t xml:space="preserve"> </w:t>
      </w:r>
      <w:r>
        <w:t xml:space="preserve">(Beck et al., 2022; Morrison et al., 2023; Nelson et al., 2021)</w:t>
      </w:r>
      <w:r>
        <w:t xml:space="preserve">. The TBEP, in collaboration with multiple local, regional, and state entities, coordinated a response-based monitoring effort to document the effects of this release on the bay’s resources.</w:t>
      </w:r>
    </w:p>
    <w:p>
      <w:pPr>
        <w:pStyle w:val="BodyText"/>
      </w:pPr>
      <w:r>
        <w:t xml:space="preserve">This chapter will provide an overview of the history of the Piney Point facility and the effects on the bay during and after the wastewater release, including incidents that occurred before 2021. This information is presented in the context of the long-term recovery of Tampa Bay, the effects on seagrass resources, and how the history of local partnerships were important for the response-based effort. The reader should gain an understanding of how past events, both historically and leading up to 2021, influenced the decision to release wastewater to Tampa Bay and what actions can be taken in the future to prevent similar events from occurring. The role of TBEP as a facilitator for bay management will be emphasized, and the reader should reflect on how past activities of the Program were important for responding to the Piney Point event and dealing with future challenges for managing bay resources based on the details presented herein.</w:t>
      </w:r>
    </w:p>
    <w:bookmarkEnd w:id="23"/>
    <w:bookmarkEnd w:id="24"/>
    <w:bookmarkStart w:id="29" w:name="background"/>
    <w:p>
      <w:pPr>
        <w:pStyle w:val="Heading2"/>
      </w:pPr>
      <w:r>
        <w:t xml:space="preserve">2 Background</w:t>
      </w:r>
    </w:p>
    <w:p>
      <w:pPr>
        <w:pStyle w:val="FirstParagraph"/>
      </w:pPr>
      <w:r>
        <w:t xml:space="preserve">The</w:t>
      </w:r>
      <w:r>
        <w:t xml:space="preserve"> </w:t>
      </w:r>
      <w:r>
        <w:t xml:space="preserve">“Bone Valley”</w:t>
      </w:r>
      <w:r>
        <w:t xml:space="preserve"> </w:t>
      </w:r>
      <w:r>
        <w:t xml:space="preserve">in central Florida has supported a multi-billion dollar mining industry for several decades</w:t>
      </w:r>
      <w:r>
        <w:t xml:space="preserve"> </w:t>
      </w:r>
      <w:r>
        <w:t xml:space="preserve">(Henderson, 2004)</w:t>
      </w:r>
      <w:r>
        <w:t xml:space="preserve">. Its namesake refers to the geological characteristics of the region, or karst geology, where fossilized marine organisms have created a phosphorus-rich overburden on top of a limestone base overlying a freshwater aquifer. The phosphorus-rich matrix is mined as a main ingredient of commercially available fertilizer, used for either residential applications or large-scale agricultural production. All active mines in the Tampa Bay watershed are currently owned and operated by Mosaic Co.</w:t>
      </w:r>
    </w:p>
    <w:p>
      <w:pPr>
        <w:pStyle w:val="BodyText"/>
      </w:pPr>
      <w:r>
        <w:t xml:space="preserve">The production of commercial fertilizer from the mined raw ore is a waste-intensive process. For every one kilogram of useful fertilizer that is produced from raw phosphorus ore matrix, five kilograms of waste are created</w:t>
      </w:r>
      <w:r>
        <w:t xml:space="preserve"> </w:t>
      </w:r>
      <w:r>
        <w:t xml:space="preserve">(U.S. Environmental Protection Agency, 2025)</w:t>
      </w:r>
      <w:r>
        <w:t xml:space="preserve">. Phosphogypsum is a primary waste by-product and it has minimal commercial applications, owing primarily to its radioactive characteristics and regulatory controls that limit its use after production. Phosphogypsum is typically stored in large stacks (or</w:t>
      </w:r>
      <w:r>
        <w:t xml:space="preserve"> </w:t>
      </w:r>
      <w:r>
        <w:t xml:space="preserve">“gypstacks”</w:t>
      </w:r>
      <w:r>
        <w:t xml:space="preserve">) adjacent to active mines or fertilizer processing facilities. They are visible from miles away and are often the only topographical features on the flat Florida landscape (</w:t>
      </w:r>
      <w:hyperlink w:anchor="fig-photos">
        <w:r>
          <w:rPr>
            <w:rStyle w:val="Hyperlink"/>
          </w:rPr>
          <w:t xml:space="preserve">Figure 3</w:t>
        </w:r>
      </w:hyperlink>
      <w:r>
        <w:t xml:space="preserve">). Phosphogypsum is initially produced as a slurry during fertilizer production. The gypstacks are formed as the solid materials settle out of the slurry, leaving acidic wastewater with similar chemical characteristics as the solid phosphogypsum in the center of the containment gypstacks. This wastewater also has no practical use, and its disposal through treatment or export elsewhere can be cost-prohibitive. As a result, phosphogypsum stacks and their wastewater persist long after fertilizer production stops, with 17 such examples in the Tampa Bay watershed [25 total in Florida;</w:t>
      </w:r>
      <w:r>
        <w:t xml:space="preserve"> </w:t>
      </w:r>
      <w:r>
        <w:t xml:space="preserve">Florida Department of Environmental Protection (2025)</w:t>
      </w:r>
      <w:r>
        <w:t xml:space="preserve">].</w:t>
      </w:r>
    </w:p>
    <w:p>
      <w:pPr>
        <w:pStyle w:val="BodyText"/>
      </w:pPr>
      <w:r>
        <w:t xml:space="preserve">Fertilizer processing facilities are often located near distribution centers like marine ports, and the export of fertilizer is a primary function that the maritime ports within Tampa Bay support. Fertilizer distribution at ports can also introduce substantial nutrients to surface waters primarily through material losses during physical loading on or off a vessel. Although regulation and adoption of best practices has greatly reduced</w:t>
      </w:r>
      <w:r>
        <w:t xml:space="preserve"> </w:t>
      </w:r>
      <w:r>
        <w:t xml:space="preserve">“material losses”</w:t>
      </w:r>
      <w:r>
        <w:t xml:space="preserve"> </w:t>
      </w:r>
      <w:r>
        <w:t xml:space="preserve">directly to the bay from these activities, nutrient loads from fertilizer transport at ports are still estimated as a non-negligible portion of the overall nutrient budget for Tampa Bay</w:t>
      </w:r>
      <w:r>
        <w:t xml:space="preserve"> </w:t>
      </w:r>
      <w:r>
        <w:t xml:space="preserve">(Janicki Environmental, Inc., 2023)</w:t>
      </w:r>
      <w:r>
        <w:t xml:space="preserve">. As such, the production of fertilizer that creates nutrient-rich wastewater stored in gypstacks and export of fertilizer through port activities can introduce significant external nutrients that affect water quality.</w:t>
      </w:r>
    </w:p>
    <w:p>
      <w:pPr>
        <w:pStyle w:val="BodyText"/>
      </w:pPr>
      <w:r>
        <w:t xml:space="preserve">Additions of historically scarce nutrients, like nitrogen, can substantially alter the balance and pace of primary production</w:t>
      </w:r>
      <w:r>
        <w:rPr>
          <w:rStyle w:val="FootnoteReference"/>
        </w:rPr>
        <w:footnoteReference w:id="25"/>
      </w:r>
      <w:r>
        <w:t xml:space="preserve"> </w:t>
      </w:r>
      <w:r>
        <w:t xml:space="preserve">in an estuary. Tampa Bay’s primary producers (i.e., algae, seagrass) are generally</w:t>
      </w:r>
      <w:r>
        <w:t xml:space="preserve"> </w:t>
      </w:r>
      <w:r>
        <w:t xml:space="preserve">“nitrogen-limited”</w:t>
      </w:r>
      <w:r>
        <w:t xml:space="preserve"> </w:t>
      </w:r>
      <w:r>
        <w:t xml:space="preserve">given the availability of phosphorus from the region’s underlying geology. Although nitrogen is required for biological growth, ecosystem health can decline if present in excess</w:t>
      </w:r>
      <w:r>
        <w:t xml:space="preserve"> </w:t>
      </w:r>
      <w:hyperlink w:anchor="fig-seagrassnutrients">
        <w:r>
          <w:rPr>
            <w:rStyle w:val="Hyperlink"/>
          </w:rPr>
          <w:t xml:space="preserve">Figure 1</w:t>
        </w:r>
      </w:hyperlink>
      <w:r>
        <w:t xml:space="preserve">. Byproducts from fertilizer processing and the resulting fertilizer products themselves can be rich in both phosphorus and nitrogen. For example, Piney Point historically produced diammonium phosphate ((NH</w:t>
      </w:r>
      <m:oMath>
        <m:sSub>
          <m:e>
            <m:r>
              <m:t>​</m:t>
            </m:r>
          </m:e>
          <m:sub>
            <m:r>
              <m:t>4</m:t>
            </m:r>
          </m:sub>
        </m:sSub>
      </m:oMath>
      <w:r>
        <w:t xml:space="preserve">)</w:t>
      </w:r>
      <m:oMath>
        <m:sSub>
          <m:e>
            <m:r>
              <m:t>​</m:t>
            </m:r>
          </m:e>
          <m:sub>
            <m:r>
              <m:t>2</m:t>
            </m:r>
          </m:sub>
        </m:sSub>
      </m:oMath>
      <w:r>
        <w:t xml:space="preserve">HPO</w:t>
      </w:r>
      <m:oMath>
        <m:sSub>
          <m:e>
            <m:r>
              <m:t>​</m:t>
            </m:r>
          </m:e>
          <m:sub>
            <m:r>
              <m:t>4</m:t>
            </m:r>
          </m:sub>
        </m:sSub>
      </m:oMath>
      <w:r>
        <w:t xml:space="preserve">), and the wastewater stored on site is high in both nitrogen and phosphorus. As such, water quality improvements in Tampa Bay have focused on reducing external nitrogen inputs from human sources, from mining or other activities</w:t>
      </w:r>
      <w:r>
        <w:t xml:space="preserve"> </w:t>
      </w:r>
      <w:r>
        <w:t xml:space="preserve">(Greening et al., 2014)</w:t>
      </w:r>
      <w:r>
        <w:t xml:space="preserve">.</w:t>
      </w:r>
    </w:p>
    <w:bookmarkStart w:id="27" w:name="history-of-piney-point"/>
    <w:p>
      <w:pPr>
        <w:pStyle w:val="Heading3"/>
      </w:pPr>
      <w:r>
        <w:t xml:space="preserve">2.1 History of Piney Point</w:t>
      </w:r>
    </w:p>
    <w:p>
      <w:pPr>
        <w:pStyle w:val="FirstParagraph"/>
      </w:pPr>
      <w:r>
        <w:t xml:space="preserve">The Piney Point facility has a long and complicated history of ownership and management</w:t>
      </w:r>
      <w:r>
        <w:t xml:space="preserve"> </w:t>
      </w:r>
      <w:r>
        <w:t xml:space="preserve">(see supplement to Beck et al., 2022; Henderson, 2004)</w:t>
      </w:r>
      <w:r>
        <w:t xml:space="preserve">. Fertilizer production began in 1966 when the land was purchased by Borden Chemicals. Early reports described environmental concerns related to surface water contamination in Bishop Harbor (a small subembayment of Tampa Bay immediately adjacent to Piney Point), suspected groundwater contamination from industrial solvents, and air pollution from emissions produced during fertilizer production. Mulberry Phosphates, Inc. acquired the facility in 1993 and operated it until 2001 when the company declared bankruptcy, after which closure and regulatory oversight was transferred to FDEP.</w:t>
      </w:r>
      <w:r>
        <w:rPr>
          <w:rStyle w:val="FootnoteReference"/>
        </w:rPr>
        <w:footnoteReference w:id="26"/>
      </w:r>
      <w:r>
        <w:t xml:space="preserve"> </w:t>
      </w:r>
      <w:r>
        <w:t xml:space="preserve">HRK Holdings, LLC purchased Piney Point in August 2006 through an administrative agreement with FDEP. With continued oversight by FDEP, HRK agreed to maintain Piney Point such that any future uses would protect and be compatible with gypstack closure and long-term care, as defined in their agreement.</w:t>
      </w:r>
    </w:p>
    <w:p>
      <w:pPr>
        <w:pStyle w:val="BodyText"/>
      </w:pPr>
      <w:r>
        <w:t xml:space="preserve">Over the course of its ownership, site management decisions by HRK contributed to further decline in the holding capacity of the gypstacks at Piney Point. A port expansion project at Port Manatee near Piney Point produced dredge material that HRK agreed to store in the NGS-S holding pond (</w:t>
      </w:r>
      <w:hyperlink w:anchor="fig-map">
        <w:r>
          <w:rPr>
            <w:rStyle w:val="Hyperlink"/>
          </w:rPr>
          <w:t xml:space="preserve">Figure 2</w:t>
        </w:r>
      </w:hyperlink>
      <w:r>
        <w:t xml:space="preserve">), further reducing holding capacity of the facility. Wastewater was again released in 2011 to Bishop Harbor because of a compromised plastic liner in NGS-S, where the addition of dredge material and seawater from the port expansion was suspected as the cause. HRK Holdings filed for Chapter 11 bankruptcy in 2012 citing expenses associated with the port expansion project and the fallout from environmental impacts. Although HRK maintained majority ownership of the site, portions of the property were sold to third parties to alleviate some of the financial burden from the bankruptcy settlement. By 2021, the inability of NGS-S to continue to hold wastewater and dredge material was evident as a leak was identified in NGS-S and later confirmed as being caused again by another tear in the plastic liner of the holding pond. Concerns of public safety and potential damage to property motivated the decision to discharge untreated wastewater from NGS-S directly to Tampa Bay near Port Manatee, as authorized by an emergency order from FDEP.</w:t>
      </w:r>
    </w:p>
    <w:bookmarkEnd w:id="27"/>
    <w:bookmarkStart w:id="28" w:name="X29e0bf244e9bcf13d8fee02362eabc835d844ec"/>
    <w:p>
      <w:pPr>
        <w:pStyle w:val="Heading3"/>
      </w:pPr>
      <w:r>
        <w:t xml:space="preserve">2.2 Impacts of the 2021 wastewater release into Tampa Bay</w:t>
      </w:r>
    </w:p>
    <w:p>
      <w:pPr>
        <w:pStyle w:val="FirstParagraph"/>
      </w:pPr>
      <w:r>
        <w:t xml:space="preserve">From March 30th to April 9th, 2021, 215 million gallons of wastewater were released from Piney Point into Tampa Bay</w:t>
      </w:r>
      <w:r>
        <w:t xml:space="preserve"> </w:t>
      </w:r>
      <w:r>
        <w:t xml:space="preserve">(Beck et al., 2022)</w:t>
      </w:r>
      <w:r>
        <w:t xml:space="preserve">. More than 205 tons of nitrogen entered lower Tampa Bay over a ten-day period, exceeding the amount that is typically introduced annually from all other sources. Anticipating environmental impacts, the TBEP coordinated a multi-agency, event-response monitoring program to document the effects of the release on the bay’s natural resources. Public, private, and academic partners collected thousands of water quality samples, measured seagrass and macroalgae coverage, documented changes in sediment quality and the organisms that live on the bay bottom, and assessed algal community changes. Monitoring efforts were guided by a hydrodynamic flow simulation model developed by the College of Marine Science at the University of South Florida</w:t>
      </w:r>
      <w:r>
        <w:t xml:space="preserve"> </w:t>
      </w:r>
      <w:r>
        <w:t xml:space="preserve">(Liu et al., 2024)</w:t>
      </w:r>
      <w:r>
        <w:t xml:space="preserve">. This model informed where the released water was likely to travel, thus providing guidance on where sampling should occur each week. The TBEP provided support for these efforts by having regular meetings with partner agencies to coordinate sampling, serving as a data warehouse for synthesizing monitoring information, creating a public dashboard to communicate changes to the public in near real time, and disseminating monthly one-page summaries that distilled complex environmental data into the most meaningful ecological observations</w:t>
      </w:r>
      <w:r>
        <w:t xml:space="preserve"> </w:t>
      </w:r>
      <w:r>
        <w:t xml:space="preserve">(Beck et al., 2023; Tampa Bay Estuary Program, 2022)</w:t>
      </w:r>
      <w:r>
        <w:t xml:space="preserve">. In addition, TBEP staff provided dozens of interviews for local and national media outlets as expert commentary on the event.</w:t>
      </w:r>
    </w:p>
    <w:p>
      <w:pPr>
        <w:pStyle w:val="BodyText"/>
      </w:pPr>
      <w:r>
        <w:t xml:space="preserve">Intensive monitoring of bay resources continued for six months following the initial release. Throughout this period, several impacts were observed</w:t>
      </w:r>
      <w:r>
        <w:t xml:space="preserve"> </w:t>
      </w:r>
      <w:r>
        <w:t xml:space="preserve">(Beck et al., 2022; Morrison et al., 2023)</w:t>
      </w:r>
      <w:r>
        <w:t xml:space="preserve">. First, an immediate and expected response in the algal community near the discharge point was observed, as a bloom of commonly-occurring diatoms quickly utilized the nutrients (</w:t>
      </w:r>
      <w:hyperlink w:anchor="fig-wqchange">
        <w:r>
          <w:rPr>
            <w:rStyle w:val="Hyperlink"/>
          </w:rPr>
          <w:t xml:space="preserve">Figure 4</w:t>
        </w:r>
      </w:hyperlink>
      <w:r>
        <w:t xml:space="preserve">). The bloom was short-lived and dissipated by the end of April, after which blooms of filamentous cyanobacteria (</w:t>
      </w:r>
      <w:r>
        <w:rPr>
          <w:i/>
          <w:iCs/>
        </w:rPr>
        <w:t xml:space="preserve">Dapis</w:t>
      </w:r>
      <w:r>
        <w:t xml:space="preserve"> </w:t>
      </w:r>
      <w:r>
        <w:t xml:space="preserve">spp.) were observed near the port and at locations south, often observed covering seagrasses or floating on the surface. Increases in macroalgal species were also observed along seagrass monitoring transects within several months of the initial release</w:t>
      </w:r>
      <w:r>
        <w:t xml:space="preserve"> </w:t>
      </w:r>
      <w:r>
        <w:t xml:space="preserve">(Scolaro et al., 2023)</w:t>
      </w:r>
      <w:r>
        <w:t xml:space="preserve">. The cyanobacteria and macroalgal blooms decreased in abundance by July, when concentrations of the red-tide organism</w:t>
      </w:r>
      <w:r>
        <w:t xml:space="preserve"> </w:t>
      </w:r>
      <w:r>
        <w:rPr>
          <w:i/>
          <w:iCs/>
        </w:rPr>
        <w:t xml:space="preserve">Karenia brevis</w:t>
      </w:r>
      <w:r>
        <w:t xml:space="preserve"> </w:t>
      </w:r>
      <w:r>
        <w:t xml:space="preserve">increased dramatically in the bay. Red tide was first observed outside of Tampa Bay on April 20th, first measured at concentrations considered to be a bloom in the bay proper on May 23rd, increased to high bloom concentrations (&gt; 1 million cells / L) by late June, and peaked on July 4th at greater than 10 million cells / L in the middle of Tampa Bay (</w:t>
      </w:r>
      <w:hyperlink w:anchor="fig-wqchange">
        <w:r>
          <w:rPr>
            <w:rStyle w:val="Hyperlink"/>
          </w:rPr>
          <w:t xml:space="preserve">Figure 4</w:t>
        </w:r>
      </w:hyperlink>
      <w:r>
        <w:t xml:space="preserve">). Red tide occurrences are typically limited in Tampa Bay as freshwater inputs from major rivers lower salinity below the optimal tolerance range for this organism. However, low rainfall during the first half of 2021 contributed to higher-than-normal salinity in the bay, producing favorable conditions for red tide along with the increased availability of nutrients from the Piney Point discharge</w:t>
      </w:r>
      <w:r>
        <w:t xml:space="preserve"> </w:t>
      </w:r>
      <w:r>
        <w:t xml:space="preserve">(Chen et al., 2023)</w:t>
      </w:r>
      <w:r>
        <w:t xml:space="preserve">. Red tide blooms produce a potent neurotoxin that is fatal for wildlife exposed for sustained periods. As a result, the red tide caused a massive fish kill throughout the bay. Notable increases in public reports to a state fish kill hotline during July resulted (</w:t>
      </w:r>
      <w:hyperlink w:anchor="fig-fishkill">
        <w:r>
          <w:rPr>
            <w:rStyle w:val="Hyperlink"/>
          </w:rPr>
          <w:t xml:space="preserve">Figure 5</w:t>
        </w:r>
      </w:hyperlink>
      <w:r>
        <w:t xml:space="preserve">) and an estimated 1800 tons of dead fish were recovered by cleanup crews. Numerous reports of manatee mortalities were also received during this time</w:t>
      </w:r>
      <w:r>
        <w:t xml:space="preserve"> </w:t>
      </w:r>
      <w:r>
        <w:t xml:space="preserve">(Florida Fish and Wildlife Conservation Commission, 2025)</w:t>
      </w:r>
      <w:r>
        <w:t xml:space="preserve">. Effects of the fish kill were observed baywide with notable declines in the Tampa Bay Nekton Index</w:t>
      </w:r>
      <w:r>
        <w:t xml:space="preserve"> </w:t>
      </w:r>
      <w:r>
        <w:t xml:space="preserve">(Schrandt et al., 2021)</w:t>
      </w:r>
      <w:r>
        <w:t xml:space="preserve"> </w:t>
      </w:r>
      <w:r>
        <w:t xml:space="preserve">that provides a multimetric assessment of the fish community. The declines persisted in the following years</w:t>
      </w:r>
      <w:r>
        <w:t xml:space="preserve"> </w:t>
      </w:r>
      <w:r>
        <w:t xml:space="preserve">(Albritton, 2023)</w:t>
      </w:r>
      <w:r>
        <w:t xml:space="preserve">.</w:t>
      </w:r>
    </w:p>
    <w:p>
      <w:pPr>
        <w:pStyle w:val="BodyText"/>
      </w:pPr>
      <w:r>
        <w:t xml:space="preserve">By September 2021, water quality conditions in the bay were visibly similar to those prior to the release from Piney Point (</w:t>
      </w:r>
      <w:hyperlink w:anchor="fig-wqchange">
        <w:r>
          <w:rPr>
            <w:rStyle w:val="Hyperlink"/>
          </w:rPr>
          <w:t xml:space="preserve">Figure 4</w:t>
        </w:r>
      </w:hyperlink>
      <w:r>
        <w:t xml:space="preserve">), although monitoring and additional research continued to better understand long-term effects. A subsequent study demonstrated that wastewater from Piney Point dispersed much farther than predicted, with seawater more than 30 miles north of Tampa Bay’s mouth having a chemical signature consistent with that of the discharge</w:t>
      </w:r>
      <w:r>
        <w:t xml:space="preserve"> </w:t>
      </w:r>
      <w:r>
        <w:t xml:space="preserve">(Morrison et al., 2023)</w:t>
      </w:r>
      <w:r>
        <w:t xml:space="preserve">. Seagrasses, although not showing any notable changes in 2021, declined in total cover on the eastern shore of Tampa Bay based on a comparison of estimates from aerial imagery obtained during the winter of 2020 and 2022 (i.e., pre- and post-discharge,</w:t>
      </w:r>
      <w:r>
        <w:t xml:space="preserve"> </w:t>
      </w:r>
      <w:hyperlink w:anchor="fig-seagrasschange">
        <w:r>
          <w:rPr>
            <w:rStyle w:val="Hyperlink"/>
          </w:rPr>
          <w:t xml:space="preserve">Figure 6</w:t>
        </w:r>
      </w:hyperlink>
      <w:r>
        <w:t xml:space="preserve">). However, seagrasses were consistently declining baywide since 2016 and it is difficult to isolate the effects of the 2021 Piney Point release on the observed 2022 baywide coverage reductions. Further work has demonstrated that phosphorus and nitrogen from wastewater discharge from Piney Point, in 2021 and previously, can be stored in bottom sediments as a potential source of nutrients</w:t>
      </w:r>
      <w:r>
        <w:t xml:space="preserve"> </w:t>
      </w:r>
      <w:r>
        <w:t xml:space="preserve">(Chappel et al., 2025)</w:t>
      </w:r>
      <w:r>
        <w:t xml:space="preserve">. These findings highlight the need to better quantify sediment nutrient sources that have likely been influenced by Piney Point and/or other legacy discharges, especially when these stored nutrient pools can stimulate algal blooms in the water column through resuspension of sediments during storm events.</w:t>
      </w:r>
    </w:p>
    <w:p>
      <w:pPr>
        <w:pStyle w:val="BodyText"/>
      </w:pPr>
      <w:r>
        <w:t xml:space="preserve">Public response to the events of 2021 was a significant factor influencing future closure plans for Piney Point. Motivated by public concerns regarding the environmental impacts, a lawsuit was filed against HRK holdings by several prominent local conservation groups shortly after the discharge was authorized for release in 2021. Litigation occurred in the years following and, on September 18th, 2024, a US District federal judge ruled that HRK was in violation of the US Clean Water Act, despite receiving a permit from FDEP to discharge the wastewater</w:t>
      </w:r>
      <w:r>
        <w:t xml:space="preserve"> </w:t>
      </w:r>
      <w:r>
        <w:t xml:space="preserve">(United States District Court, Middle District of Florida, 2024)</w:t>
      </w:r>
      <w:r>
        <w:t xml:space="preserve">. This ruling ordered HRK to pay $56,460 for each day wastewater was released to public waters, totaling $846,900 for the duration of the event. FDEP concurrently agreed to fund additional monitoring to assess long-term impacts, with $75,000 paid to the TBEP to organize these efforts.</w:t>
      </w:r>
    </w:p>
    <w:p>
      <w:pPr>
        <w:pStyle w:val="BodyText"/>
      </w:pPr>
      <w:r>
        <w:t xml:space="preserve">During litigation, public calls for the closure of Piney Point led to the development and implementation of a full closure plan for the facility as adopted and implemented by FDEP</w:t>
      </w:r>
      <w:r>
        <w:t xml:space="preserve"> </w:t>
      </w:r>
      <w:r>
        <w:t xml:space="preserve">(Ardaman &amp; Associates, Inc., 2022)</w:t>
      </w:r>
      <w:r>
        <w:t xml:space="preserve">. These plans included using an independent third party as a court-appointed receiver to oversee the closure process, with specific actions to treat the wastewater onsite prior to pumping the water underground using a newly constructed deep-well injection site that was fully functioning by April 2023. Wastewater was also sent to local treatment plants to expedite the process. Additionally, closure activities involved dredging and storing sediment slurries in sediment tubes onsite that were contained within the wastewater pools located within the failing gypstack. Once all wastewater is removed, the containment gypstacks will be filled and capped to grade with topsoil and turf to reduce future stormwater management needs at the site. Final closure is expected in late 2026, whereas stormwater management of the facility with regulatory oversite by FDEP will continue post-closure into perpetuity. As an example of closure progress,</w:t>
      </w:r>
      <w:r>
        <w:t xml:space="preserve"> </w:t>
      </w:r>
      <w:hyperlink w:anchor="fig-capacity">
        <w:r>
          <w:rPr>
            <w:rStyle w:val="Hyperlink"/>
          </w:rPr>
          <w:t xml:space="preserve">Figure 7</w:t>
        </w:r>
      </w:hyperlink>
      <w:r>
        <w:t xml:space="preserve"> </w:t>
      </w:r>
      <w:r>
        <w:t xml:space="preserve">shows the removal of water from NGS-S over time. Similarly, the ability of the existing Piney Point containment ponds to accommodate additional rainfall and increase onsite stormwater capacity as wastewater is treated and removed is also shown over time in</w:t>
      </w:r>
      <w:r>
        <w:t xml:space="preserve"> </w:t>
      </w:r>
      <w:hyperlink w:anchor="fig-capacity">
        <w:r>
          <w:rPr>
            <w:rStyle w:val="Hyperlink"/>
          </w:rPr>
          <w:t xml:space="preserve">Figure 7</w:t>
        </w:r>
      </w:hyperlink>
      <w:r>
        <w:t xml:space="preserve">. As of this writing, only one of the four gypstack wastewater ponds at Piney Point has been successfully closed.</w:t>
      </w:r>
    </w:p>
    <w:p>
      <w:pPr>
        <w:pStyle w:val="BodyText"/>
      </w:pPr>
      <w:r>
        <w:t xml:space="preserve">The 2021 Piney Point emergency discharge has brought additional attention to the impacts of phosphate-mining facilities on the environment, renewing focus on the risks and impending closure activities for other facilities in the Tampa Bay watershed. Florida has 25 such facilities, with over 2/3 of these in the Tampa Bay watershed alone</w:t>
      </w:r>
      <w:r>
        <w:t xml:space="preserve"> </w:t>
      </w:r>
      <w:r>
        <w:t xml:space="preserve">(Florida Department of Environmental Protection, 2025)</w:t>
      </w:r>
      <w:r>
        <w:t xml:space="preserve">. Only two of the seventeen gypstacks in the watershed are still actively processing fertilizer, whereas the remainder are closed or inactive. In some respects, the approval by FDEP to remove wastewater by deep-well injection at Piney Point may set a precedent for future closure activities since long-term plans for many of these facilities have not been established. Deep-well injection has been proposed in the past to facilitate closures of inactive phosphate mining sites, although the method has not been viewed favorably by the public given the uncertainty about the associated risks or general misinformation about deep-well injection. Although deep-well injected wastewater is pumped much lower than the freshwater aquifer that serves as a source of drinking water for many in Florida, the extent to which this water could migrate to other aquifers or surface waters is not well understood. Perhaps a larger risk is the integrity of the injection site since leaks at more shallow depths could also introduce the wastewater into drinking water or other non-potable aquifer uses. Phosphogypsum has also been proposed for use as a base material for road construction and FDEP has allowed a preliminary test site to assess the risks of doing so in central Florida. Critics argue these materials may pose safety risks to road workers and serve as an additional source of contamination to surface and ground waters. Regardless of whether these alternatives are a practical means of safely and responsibly closing inactive mining facilities, their application does suggest recognition by fertilizer producers that these facilities are substantial liabilities that require more attention to mitigate external environmental impacts. It is unclear whether current state and federal regulatory requirements appropriately factor in the full scope of environmental and financial liabilities that these facilities pose in Florida.</w:t>
      </w:r>
    </w:p>
    <w:bookmarkEnd w:id="28"/>
    <w:bookmarkEnd w:id="29"/>
    <w:bookmarkStart w:id="32" w:name="student-activities"/>
    <w:p>
      <w:pPr>
        <w:pStyle w:val="Heading2"/>
      </w:pPr>
      <w:r>
        <w:t xml:space="preserve">3 Student Activities</w:t>
      </w:r>
    </w:p>
    <w:bookmarkStart w:id="30" w:name="classroom-discussion-questions"/>
    <w:p>
      <w:pPr>
        <w:pStyle w:val="Heading3"/>
      </w:pPr>
      <w:r>
        <w:t xml:space="preserve">3.1 Classroom discussion questions</w:t>
      </w:r>
    </w:p>
    <w:p>
      <w:pPr>
        <w:numPr>
          <w:ilvl w:val="0"/>
          <w:numId w:val="1001"/>
        </w:numPr>
      </w:pPr>
      <w:r>
        <w:t xml:space="preserve">This chapter examined the long-term recovery of Tampa Bay and its recent challenges, emphasizing how changes in seagrasses reflect the bay’s response to chronic and acute stressors. Seagrass cover in Tampa Bay has varied dramatically over time, with significant increases over the last several decades, a recent decline from 2016 to present, and potential changes before and after the discharge from Piney Point in 2021. What factors control seagrass growth in Tampa Bay? How have conventional environmental management strategies leveraged these factors to improve conditions in the bay for seagrass recovery?</w:t>
      </w:r>
    </w:p>
    <w:p>
      <w:pPr>
        <w:numPr>
          <w:ilvl w:val="0"/>
          <w:numId w:val="1001"/>
        </w:numPr>
      </w:pPr>
      <w:r>
        <w:t xml:space="preserve">The ability of environmental managers to respond to changes in the bay and document the impacts throughout 2021 was a demonstration of the value of past partnerships in the region. The Tampa Bay Estuary Program (TBEP) was fundamental to this effort. Discuss the role of the TBEP and its partners in coordinating a response to the Piney Point event. What type of information was collected and why was it important for understanding impacts to the bay? How did the rapid response benefit from past partnerships and relationships? What can other regional management programs learn from these examples to improve their own response to similar events?</w:t>
      </w:r>
    </w:p>
    <w:p>
      <w:pPr>
        <w:numPr>
          <w:ilvl w:val="0"/>
          <w:numId w:val="1001"/>
        </w:numPr>
      </w:pPr>
      <w:r>
        <w:t xml:space="preserve">Central Florida has been a global headquarters for the extraction and production of fertilizer. What geological characteristics make this area favorable for fertilizer production? Discuss the environmental challenges associated with fertilizer production. Why are gypstacks created and what makes them difficult to manage from an environmental perspective? Propose several alternative solutions to minimize the long-term environmental and societal impacts from these facilities. Discuss whether the economic and societal benefits of continued fertilizer production outweigh the environmental impacts observed at Piney Point and similar facilities affecting regions such as Tampa Bay. In your discussion, consider concepts from</w:t>
      </w:r>
      <w:r>
        <w:t xml:space="preserve"> </w:t>
      </w:r>
      <w:r>
        <w:t xml:space="preserve">Bilal et al. (2023)</w:t>
      </w:r>
      <w:r>
        <w:t xml:space="preserve"> </w:t>
      </w:r>
      <w:r>
        <w:t xml:space="preserve">on transitioning from a linear to a circular economy and evaluate the potential feasibility of applying these principles to the management or reuse of phosphogypsum.</w:t>
      </w:r>
    </w:p>
    <w:p>
      <w:pPr>
        <w:numPr>
          <w:ilvl w:val="0"/>
          <w:numId w:val="1001"/>
        </w:numPr>
      </w:pPr>
      <w:r>
        <w:t xml:space="preserve">Evaluate the statement</w:t>
      </w:r>
      <w:r>
        <w:t xml:space="preserve"> </w:t>
      </w:r>
      <w:r>
        <w:t xml:space="preserve">“Piney Point was a disaster waiting to happen.”</w:t>
      </w:r>
      <w:r>
        <w:t xml:space="preserve"> </w:t>
      </w:r>
      <w:r>
        <w:t xml:space="preserve">Discuss the history of Piney Point and the key decisions that led to the state of the facility in 2021. Identify critical points when decisions were made, or not made, that contributed to the eventual decision to discharge wastewater into Tampa Bay. Who were the major stakeholders involved, and what roles or organizational interests may have shaped their actions? Consider whether responsibility for the 2021 events can be attributed to any single party and propose proactive measures that could help prevent similar incidents in the future.</w:t>
      </w:r>
    </w:p>
    <w:bookmarkEnd w:id="30"/>
    <w:bookmarkStart w:id="31" w:name="individual-student-responses"/>
    <w:p>
      <w:pPr>
        <w:pStyle w:val="Heading3"/>
      </w:pPr>
      <w:r>
        <w:t xml:space="preserve">3.2 Individual student responses</w:t>
      </w:r>
    </w:p>
    <w:p>
      <w:pPr>
        <w:numPr>
          <w:ilvl w:val="0"/>
          <w:numId w:val="1002"/>
        </w:numPr>
      </w:pPr>
      <w:r>
        <w:t xml:space="preserve">Examine the trends in water quality parameters in</w:t>
      </w:r>
      <w:r>
        <w:t xml:space="preserve"> </w:t>
      </w:r>
      <w:hyperlink w:anchor="fig-wqchange">
        <w:r>
          <w:rPr>
            <w:rStyle w:val="Hyperlink"/>
          </w:rPr>
          <w:t xml:space="preserve">Figure 4</w:t>
        </w:r>
      </w:hyperlink>
      <w:r>
        <w:t xml:space="preserve">. Develop a narrative or timeline for how water quality changes influenced the ecology of Tampa Bay from April to September 2021, including how characteristics of the wastewater had cascading effects on other aspects of Tampa Bay. Link these changes to trends you observe in</w:t>
      </w:r>
      <w:r>
        <w:t xml:space="preserve"> </w:t>
      </w:r>
      <w:hyperlink w:anchor="fig-fishkill">
        <w:r>
          <w:rPr>
            <w:rStyle w:val="Hyperlink"/>
          </w:rPr>
          <w:t xml:space="preserve">Figure 5</w:t>
        </w:r>
      </w:hyperlink>
      <w:r>
        <w:t xml:space="preserve"> </w:t>
      </w:r>
      <w:r>
        <w:t xml:space="preserve">and</w:t>
      </w:r>
      <w:r>
        <w:t xml:space="preserve"> </w:t>
      </w:r>
      <w:hyperlink w:anchor="fig-seagrasschange">
        <w:r>
          <w:rPr>
            <w:rStyle w:val="Hyperlink"/>
          </w:rPr>
          <w:t xml:space="preserve">Figure 6</w:t>
        </w:r>
      </w:hyperlink>
      <w:r>
        <w:t xml:space="preserve">.</w:t>
      </w:r>
    </w:p>
    <w:p>
      <w:pPr>
        <w:numPr>
          <w:ilvl w:val="0"/>
          <w:numId w:val="1002"/>
        </w:numPr>
      </w:pPr>
      <w:r>
        <w:t xml:space="preserve">Based on what you have learned about the long-term recovery in Tampa Bay, analyze how the bay might have responded to a large wastewater release from Piney Point if a similar event had occurred 50 years ago. Which environmental resources or habitats of the bay would most be at risk then and how might those risks differ from the bay’s current conditions?</w:t>
      </w:r>
    </w:p>
    <w:p>
      <w:pPr>
        <w:numPr>
          <w:ilvl w:val="0"/>
          <w:numId w:val="1002"/>
        </w:numPr>
      </w:pPr>
      <w:r>
        <w:t xml:space="preserve">Nutrient sources to surface waters are often described as</w:t>
      </w:r>
      <w:r>
        <w:t xml:space="preserve"> </w:t>
      </w:r>
      <w:r>
        <w:t xml:space="preserve">“point”</w:t>
      </w:r>
      <w:r>
        <w:t xml:space="preserve"> </w:t>
      </w:r>
      <w:r>
        <w:t xml:space="preserve">or</w:t>
      </w:r>
      <w:r>
        <w:t xml:space="preserve"> </w:t>
      </w:r>
      <w:r>
        <w:t xml:space="preserve">“non-point”</w:t>
      </w:r>
      <w:r>
        <w:t xml:space="preserve"> </w:t>
      </w:r>
      <w:r>
        <w:t xml:space="preserve">sources. Point sources of nutrients have declined in Tampa Bay whereas non-point sources continue to increase. Discuss the mechanisms that have been used historically to effectively control point sources of nutrients. Explain how these approaches differ from controls required to manage non-point sources. Identify specific examples of nutrient sources and evaluate strategies from other regions that have been effective at reducing nutrient loads.</w:t>
      </w:r>
    </w:p>
    <w:p>
      <w:pPr>
        <w:numPr>
          <w:ilvl w:val="0"/>
          <w:numId w:val="1002"/>
        </w:numPr>
      </w:pPr>
      <w:r>
        <w:t xml:space="preserve">Many options were considered to process and remove wastewater from Piney Point as part of the long-term closure plan. Deep-well injection was ultimately selected as the most expedient option. Conduct a brief literature review of deep-well injection as a method for wastewater disposal. Identify the risks and benefits relative to other potential disposal methods (e.g., evaporation and/or high-level treatment and surface water disposal). In your evaluation, consider the societal, economic, and environmental impacts of each method.</w:t>
      </w:r>
    </w:p>
    <w:p>
      <w:pPr>
        <w:numPr>
          <w:ilvl w:val="0"/>
          <w:numId w:val="1002"/>
        </w:numPr>
      </w:pPr>
      <w:r>
        <w:t xml:space="preserve">In addition to long-term closure, several entities were required to provide monetary compensation as a result of the impacts to Tampa Bay from the 2021 wastewater discharge. Identify similar cases in which past environmental disasters resulted in financial settlements or compensation to remediate impacts. Based on these precedents, evaluate whether the compensation awarded for Piney Point was proportionate to the magnitude and duration of its environmental and societal impacts.</w:t>
      </w:r>
    </w:p>
    <w:p>
      <w:pPr>
        <w:numPr>
          <w:ilvl w:val="0"/>
          <w:numId w:val="1002"/>
        </w:numPr>
      </w:pPr>
      <w:r>
        <w:t xml:space="preserve">Environmental managers must consider multiple factors that influence environmental health and how they can be effectively monitored and controlled for long-term sustainability of natural resources. Piney Point is only one example of an external threat to Tampa Bay that requires regulation and management to reduce environmental impacts. Discuss the other factors in the Tampa Bay region that managers must consider when developing strategies to protect water quality.</w:t>
      </w:r>
    </w:p>
    <w:bookmarkEnd w:id="31"/>
    <w:bookmarkEnd w:id="32"/>
    <w:bookmarkStart w:id="33" w:name="conclusion"/>
    <w:p>
      <w:pPr>
        <w:pStyle w:val="Heading2"/>
      </w:pPr>
      <w:r>
        <w:t xml:space="preserve">4 Conclusion</w:t>
      </w:r>
    </w:p>
    <w:p>
      <w:pPr>
        <w:pStyle w:val="FirstParagraph"/>
      </w:pPr>
      <w:r>
        <w:t xml:space="preserve">This chapter provided an in-depth explanation of the factors that led to the decision to discharge 215 million gallons of wastewater from Piney Point, and the subsequent effects on the natural resources of Tampa Bay. This decision and its impacts were discussed in the historical context of the history of the Piney Point facility and the long-term recovery of Tampa Bay over several decades. Overall, a narrative of environmental management was provided that highlighted the importance of partnerships and collaboration in the region to respond to acute stressors.</w:t>
      </w:r>
    </w:p>
    <w:p>
      <w:pPr>
        <w:pStyle w:val="BodyText"/>
      </w:pPr>
      <w:r>
        <w:t xml:space="preserve">The TBEP continues to act as a facilitator for bay management by bringing together public and private partners to collectively monitor and protect the health of Tampa Bay. The control of external sources of nitrogen that can degrade water quality and seagrass habitat remains the fundamental focus. In particular, the TBNMC continues to collaboratively track and manage total nitrogen loads to the bay, with representation from dozens of regulated and regulatory entities in the region. Mosaic Co., the last remaining major mining interest in the region, has been and will continue to be a part of the TBNMC. Mosaic Co. is currently responsible for all active mines and gypstack closures in the Bone Valley, including mitigation for any future impacts to the bay. Adoption of more concrete plans for the permanent closure of inactive phosphate mining sites, particularly plans that consider deep-well injection, further recognizes that unintended wastewater releases into surface waters are a far worse outcome than inaction or adopting plans that lack sufficient risk accountability. The public acceptance of mining wastewater disposal through deep-well injection may increase when the full scope of the environmental impacts and tradeoffs are effectively communicated.</w:t>
      </w:r>
    </w:p>
    <w:p>
      <w:pPr>
        <w:pStyle w:val="BodyText"/>
      </w:pPr>
      <w:r>
        <w:t xml:space="preserve">Countless examples exist worldwide that demonstrate the tradeoffs of human use and/or extraction of natural resources relative to the impacts on the environment. For centuries, these tradeoffs often favored societal gain and/or economic profits at the expense of the environment. Shifts in public sentiment in the latter half of the 20th century brought widespread awareness to this imbalance, resulting in tighter regulation prompted by political action and societal concern to reconcile the complex relationships between our own existence and environmental sustainability. The long-term recovery of Tampa Bay is one such example of how the population in the Tampa Bay watershed continues to grow while water quality is much improved compared to historical conditions when development and its impacts occurred unchecked.</w:t>
      </w:r>
    </w:p>
    <w:p>
      <w:pPr>
        <w:pStyle w:val="BodyText"/>
      </w:pPr>
      <w:r>
        <w:t xml:space="preserve">Despite past successes in Tampa Bay, challenges still remain, and the events of 2021 further demonstrate the need for greater oversight and accountability of regulated parties. In many cases, these challenges work synergistically. For example, the interaction between climate change stressors and nutrient eutrophication are not fully known, or are simply ignored until significant environmental harm has already occurred. Environmental management and regulatory oversight are more effective if mitigation or prevention efforts are taken proactively rather than in reaction to events that cause harm to natural resources. Likewise, maintaining and sustaining healthy environments is almost always less costly than restoring or correcting a significant environmental harm after degradation has occurred. However, proactive management is only achievable when all stakeholders, including those contributing to pollution, work together for a common good. Sustainable development requires that resource use not proceed unchecked. Rather, society’s needs must be balanced with the protection of the environment and public health, in Tampa Bay or elsewhere.</w:t>
      </w:r>
    </w:p>
    <w:p>
      <w:r>
        <w:br w:type="page"/>
      </w:r>
    </w:p>
    <w:bookmarkEnd w:id="33"/>
    <w:bookmarkStart w:id="64"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39" w:name="fig-seagrassnutrients"/>
          <w:p>
            <w:pPr>
              <w:pStyle w:val="Compact"/>
              <w:jc w:val="center"/>
            </w:pPr>
            <w:r>
              <w:drawing>
                <wp:inline>
                  <wp:extent cx="5943600" cy="1551279"/>
                  <wp:effectExtent b="0" l="0" r="0" t="0"/>
                  <wp:docPr descr="" title="" id="35" name="Picture"/>
                  <a:graphic>
                    <a:graphicData uri="http://schemas.openxmlformats.org/drawingml/2006/picture">
                      <pic:pic>
                        <pic:nvPicPr>
                          <pic:cNvPr descr="figs/seagrassnutrients.png" id="36" name="Picture"/>
                          <pic:cNvPicPr>
                            <a:picLocks noChangeArrowheads="1" noChangeAspect="1"/>
                          </pic:cNvPicPr>
                        </pic:nvPicPr>
                        <pic:blipFill>
                          <a:blip r:embed="rId34"/>
                          <a:stretch>
                            <a:fillRect/>
                          </a:stretch>
                        </pic:blipFill>
                        <pic:spPr bwMode="auto">
                          <a:xfrm>
                            <a:off x="0" y="0"/>
                            <a:ext cx="5943600" cy="1551279"/>
                          </a:xfrm>
                          <a:prstGeom prst="rect">
                            <a:avLst/>
                          </a:prstGeom>
                          <a:noFill/>
                          <a:ln w="9525">
                            <a:noFill/>
                            <a:headEnd/>
                            <a:tailEnd/>
                          </a:ln>
                        </pic:spPr>
                      </pic:pic>
                    </a:graphicData>
                  </a:graphic>
                </wp:inline>
              </w:drawing>
            </w:r>
          </w:p>
          <w:p>
            <w:pPr>
              <w:jc w:val="center"/>
            </w:pPr>
            <w:pPr>
              <w:jc w:val="left"/>
              <w:spacing w:before="200"/>
              <w:pStyle w:val="ImageCaption"/>
            </w:pPr>
            <w:r>
              <w:t xml:space="preserve">Fig. 1: Conceptual relationship of seagrasses with light availability and nutrient loading. The optimal balance is in the center where sufficient light and nutrients are present to support seagrass growth. The left side shows an uncommon scenario of low nutrients limiting seagrass growth. The right side shows excess nutrients where seagrasses are light-limited due to shading from phytoplankton, macroalgae, and epiphyte growth. Source attribution: Jane Thomas, Integration and Application Network (</w:t>
            </w:r>
            <w:hyperlink r:id="rId37">
              <w:r>
                <w:rPr>
                  <w:rStyle w:val="Hyperlink"/>
                </w:rPr>
                <w:t xml:space="preserve">https://ian.umces.edu/media-library</w:t>
              </w:r>
            </w:hyperlink>
            <w:r>
              <w:t xml:space="preserve">). Image slightly modified under License CC BY-SA 4.0 (</w:t>
            </w:r>
            <w:hyperlink r:id="rId38">
              <w:r>
                <w:rPr>
                  <w:rStyle w:val="Hyperlink"/>
                </w:rPr>
                <w:t xml:space="preserve">https://creativecommons.org/licenses/by-sa/4.0/</w:t>
              </w:r>
            </w:hyperlink>
            <w:r>
              <w:t xml:space="preserve">).</w:t>
            </w:r>
          </w:p>
          <w:bookmarkEnd w:id="39"/>
        </w:tc>
      </w:tr>
    </w:tbl>
    <w:p>
      <w:r>
        <w:br w:type="page"/>
      </w:r>
    </w:p>
    <w:tbl>
      <w:tblPr>
        <w:tblStyle w:val="Table"/>
        <w:tblW w:type="pct" w:w="5000"/>
        <w:tblLayout w:type="fixed"/>
        <w:tblLook w:firstRow="0" w:lastRow="0" w:firstColumn="0" w:lastColumn="0" w:noHBand="0" w:noVBand="0" w:val="0000"/>
      </w:tblPr>
      <w:tblGrid>
        <w:gridCol w:w="7920"/>
      </w:tblGrid>
      <w:tr>
        <w:tc>
          <w:tcPr/>
          <w:bookmarkStart w:id="43" w:name="fig-map"/>
          <w:p>
            <w:pPr>
              <w:pStyle w:val="Compact"/>
              <w:jc w:val="center"/>
            </w:pPr>
            <w:r>
              <w:drawing>
                <wp:inline>
                  <wp:extent cx="5916168" cy="7070598"/>
                  <wp:effectExtent b="0" l="0" r="0" t="0"/>
                  <wp:docPr descr="" title="" id="41" name="Picture"/>
                  <a:graphic>
                    <a:graphicData uri="http://schemas.openxmlformats.org/drawingml/2006/picture">
                      <pic:pic>
                        <pic:nvPicPr>
                          <pic:cNvPr descr="figs/map.jpg" id="42" name="Picture"/>
                          <pic:cNvPicPr>
                            <a:picLocks noChangeArrowheads="1" noChangeAspect="1"/>
                          </pic:cNvPicPr>
                        </pic:nvPicPr>
                        <pic:blipFill>
                          <a:blip r:embed="rId40"/>
                          <a:stretch>
                            <a:fillRect/>
                          </a:stretch>
                        </pic:blipFill>
                        <pic:spPr bwMode="auto">
                          <a:xfrm>
                            <a:off x="0" y="0"/>
                            <a:ext cx="5916168" cy="7070598"/>
                          </a:xfrm>
                          <a:prstGeom prst="rect">
                            <a:avLst/>
                          </a:prstGeom>
                          <a:noFill/>
                          <a:ln w="9525">
                            <a:noFill/>
                            <a:headEnd/>
                            <a:tailEnd/>
                          </a:ln>
                        </pic:spPr>
                      </pic:pic>
                    </a:graphicData>
                  </a:graphic>
                </wp:inline>
              </w:drawing>
            </w:r>
          </w:p>
          <w:p>
            <w:pPr>
              <w:jc w:val="center"/>
            </w:pPr>
            <w:pPr>
              <w:jc w:val="left"/>
              <w:spacing w:before="200"/>
              <w:pStyle w:val="ImageCaption"/>
            </w:pPr>
            <w:r>
              <w:t xml:space="preserve">Fig. 2: The Tampa Bay watershed and Piney Point. Bay segments, phosphogypsum stack holding ponds, and other relevant locations are shown. County boundaries are labeled with paired county names. NGS-N: New Gypsum Stack North; NGS-S: New Gypsum Stack South; OGS-N: Old Gypsum Stack North; OGS-S: Old Gypsum Stack South. Basemap credits: Esri, HERE, Garmin, OpenStreetMap, Maxar, and Earthstar Geographics.</w:t>
            </w:r>
          </w:p>
          <w:bookmarkEnd w:id="43"/>
        </w:tc>
      </w:tr>
    </w:tbl>
    <w:p>
      <w:r>
        <w:br w:type="page"/>
      </w:r>
    </w:p>
    <w:tbl>
      <w:tblPr>
        <w:tblStyle w:val="Table"/>
        <w:tblW w:type="pct" w:w="5000"/>
        <w:tblLayout w:type="fixed"/>
        <w:tblLook w:firstRow="0" w:lastRow="0" w:firstColumn="0" w:lastColumn="0" w:noHBand="0" w:noVBand="0" w:val="0000"/>
      </w:tblPr>
      <w:tblGrid>
        <w:gridCol w:w="7920"/>
      </w:tblGrid>
      <w:tr>
        <w:tc>
          <w:tcPr/>
          <w:bookmarkStart w:id="47" w:name="fig-photos"/>
          <w:p>
            <w:pPr>
              <w:pStyle w:val="Compact"/>
              <w:jc w:val="center"/>
            </w:pPr>
            <w:r>
              <w:drawing>
                <wp:inline>
                  <wp:extent cx="5943600" cy="3080612"/>
                  <wp:effectExtent b="0" l="0" r="0" t="0"/>
                  <wp:docPr descr="" title="" id="45" name="Picture"/>
                  <a:graphic>
                    <a:graphicData uri="http://schemas.openxmlformats.org/drawingml/2006/picture">
                      <pic:pic>
                        <pic:nvPicPr>
                          <pic:cNvPr descr="figs/photos.png" id="46" name="Picture"/>
                          <pic:cNvPicPr>
                            <a:picLocks noChangeArrowheads="1" noChangeAspect="1"/>
                          </pic:cNvPicPr>
                        </pic:nvPicPr>
                        <pic:blipFill>
                          <a:blip r:embed="rId44"/>
                          <a:stretch>
                            <a:fillRect/>
                          </a:stretch>
                        </pic:blipFill>
                        <pic:spPr bwMode="auto">
                          <a:xfrm>
                            <a:off x="0" y="0"/>
                            <a:ext cx="5943600" cy="3080612"/>
                          </a:xfrm>
                          <a:prstGeom prst="rect">
                            <a:avLst/>
                          </a:prstGeom>
                          <a:noFill/>
                          <a:ln w="9525">
                            <a:noFill/>
                            <a:headEnd/>
                            <a:tailEnd/>
                          </a:ln>
                        </pic:spPr>
                      </pic:pic>
                    </a:graphicData>
                  </a:graphic>
                </wp:inline>
              </w:drawing>
            </w:r>
          </w:p>
          <w:p>
            <w:pPr>
              <w:jc w:val="center"/>
            </w:pPr>
            <w:pPr>
              <w:jc w:val="left"/>
              <w:spacing w:before="200"/>
              <w:pStyle w:val="ImageCaption"/>
            </w:pPr>
            <w:r>
              <w:t xml:space="preserve">Fig. 3: Images of Piney Point as shown from the air (a) looking to the northeast and on the ground showing the (b) NGS-S holding pond where the leak in 2021 originated. The currently closed OGS-S holding pond is in the foreground of (a) with (from left to right) NGS-N, OGS-N, and NGS-S in the background. The plastic linear of NGS-S is visible in (b). Refer to the caption in</w:t>
            </w:r>
            <w:r>
              <w:t xml:space="preserve"> </w:t>
            </w:r>
            <w:hyperlink w:anchor="fig-map">
              <w:r>
                <w:rPr>
                  <w:rStyle w:val="Hyperlink"/>
                </w:rPr>
                <w:t xml:space="preserve">Figure 2</w:t>
              </w:r>
            </w:hyperlink>
            <w:r>
              <w:t xml:space="preserve"> </w:t>
            </w:r>
            <w:r>
              <w:t xml:space="preserve">for abbreviations for the holding ponds. Source: (a) Florida Department of Environmental Protection and (b) author.</w:t>
            </w:r>
          </w:p>
          <w:bookmarkEnd w:id="47"/>
        </w:tc>
      </w:tr>
    </w:tbl>
    <w:p>
      <w:r>
        <w:br w:type="page"/>
      </w:r>
    </w:p>
    <w:tbl>
      <w:tblPr>
        <w:tblStyle w:val="Table"/>
        <w:tblW w:type="pct" w:w="5000"/>
        <w:tblLayout w:type="fixed"/>
        <w:tblLook w:firstRow="0" w:lastRow="0" w:firstColumn="0" w:lastColumn="0" w:noHBand="0" w:noVBand="0" w:val="0000"/>
      </w:tblPr>
      <w:tblGrid>
        <w:gridCol w:w="7920"/>
      </w:tblGrid>
      <w:tr>
        <w:tc>
          <w:tcPr/>
          <w:bookmarkStart w:id="51" w:name="fig-wqchange"/>
          <w:p>
            <w:pPr>
              <w:pStyle w:val="Compact"/>
              <w:jc w:val="center"/>
            </w:pPr>
            <w:r>
              <w:drawing>
                <wp:inline>
                  <wp:extent cx="5943600" cy="5943600"/>
                  <wp:effectExtent b="0" l="0" r="0" t="0"/>
                  <wp:docPr descr="" title="" id="49" name="Picture"/>
                  <a:graphic>
                    <a:graphicData uri="http://schemas.openxmlformats.org/drawingml/2006/picture">
                      <pic:pic>
                        <pic:nvPicPr>
                          <pic:cNvPr descr="figs/wqchange.png" id="50" name="Picture"/>
                          <pic:cNvPicPr>
                            <a:picLocks noChangeArrowheads="1" noChangeAspect="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 4: Water quality changes from March to September 2021 near Port Manatee at the emergency discharge point. Monitoring data are shown for (a) total nitrogen for nutrients, (b) chlorophyll-a as an indicator of algal production, and (c) Secchi depth as a measure of water clarity. Monthly baseline ranges are shown in blue as an estimate of normal conditions from the past fifteen years. Notable algal bloom events as shown by increases in chlorophyll-a are shown in (b). Data sources described in</w:t>
            </w:r>
            <w:r>
              <w:t xml:space="preserve"> </w:t>
            </w:r>
            <w:r>
              <w:t xml:space="preserve">Beck et al. (2022)</w:t>
            </w:r>
            <w:r>
              <w:t xml:space="preserve">.</w:t>
            </w:r>
          </w:p>
          <w:bookmarkEnd w:id="51"/>
        </w:tc>
      </w:tr>
    </w:tbl>
    <w:p>
      <w:r>
        <w:br w:type="page"/>
      </w:r>
    </w:p>
    <w:tbl>
      <w:tblPr>
        <w:tblStyle w:val="Table"/>
        <w:tblW w:type="pct" w:w="5000"/>
        <w:tblLayout w:type="fixed"/>
        <w:tblLook w:firstRow="0" w:lastRow="0" w:firstColumn="0" w:lastColumn="0" w:noHBand="0" w:noVBand="0" w:val="0000"/>
      </w:tblPr>
      <w:tblGrid>
        <w:gridCol w:w="7920"/>
      </w:tblGrid>
      <w:tr>
        <w:tc>
          <w:tcPr/>
          <w:bookmarkStart w:id="55" w:name="fig-fishkill"/>
          <w:p>
            <w:pPr>
              <w:pStyle w:val="Compact"/>
              <w:jc w:val="center"/>
            </w:pPr>
            <w:r>
              <w:drawing>
                <wp:inline>
                  <wp:extent cx="5943600" cy="3343274"/>
                  <wp:effectExtent b="0" l="0" r="0" t="0"/>
                  <wp:docPr descr="" title="" id="53" name="Picture"/>
                  <a:graphic>
                    <a:graphicData uri="http://schemas.openxmlformats.org/drawingml/2006/picture">
                      <pic:pic>
                        <pic:nvPicPr>
                          <pic:cNvPr descr="figs/fishkill.png" id="54" name="Picture"/>
                          <pic:cNvPicPr>
                            <a:picLocks noChangeArrowheads="1" noChangeAspect="1"/>
                          </pic:cNvPicPr>
                        </pic:nvPicPr>
                        <pic:blipFill>
                          <a:blip r:embed="rId52"/>
                          <a:stretch>
                            <a:fillRect/>
                          </a:stretch>
                        </pic:blipFill>
                        <pic:spPr bwMode="auto">
                          <a:xfrm>
                            <a:off x="0" y="0"/>
                            <a:ext cx="5943600" cy="3343274"/>
                          </a:xfrm>
                          <a:prstGeom prst="rect">
                            <a:avLst/>
                          </a:prstGeom>
                          <a:noFill/>
                          <a:ln w="9525">
                            <a:noFill/>
                            <a:headEnd/>
                            <a:tailEnd/>
                          </a:ln>
                        </pic:spPr>
                      </pic:pic>
                    </a:graphicData>
                  </a:graphic>
                </wp:inline>
              </w:drawing>
            </w:r>
          </w:p>
          <w:p>
            <w:pPr>
              <w:jc w:val="center"/>
            </w:pPr>
            <w:pPr>
              <w:jc w:val="left"/>
              <w:spacing w:before="200"/>
              <w:pStyle w:val="ImageCaption"/>
            </w:pPr>
            <w:r>
              <w:t xml:space="preserve">Fig. 5: Fish kill reports for Hillsborough, Manatee, and Pinellas Counties that border Tampa Bay. Plot (a) shows reports by year and plot (b) shows reports by week for 2021. Data from Florida Fish and Wildlife Commission fish kill hotline.</w:t>
            </w:r>
          </w:p>
          <w:bookmarkEnd w:id="55"/>
        </w:tc>
      </w:tr>
    </w:tbl>
    <w:p>
      <w:r>
        <w:br w:type="page"/>
      </w:r>
    </w:p>
    <w:tbl>
      <w:tblPr>
        <w:tblStyle w:val="Table"/>
        <w:tblW w:type="pct" w:w="5000"/>
        <w:tblLayout w:type="fixed"/>
        <w:tblLook w:firstRow="0" w:lastRow="0" w:firstColumn="0" w:lastColumn="0" w:noHBand="0" w:noVBand="0" w:val="0000"/>
      </w:tblPr>
      <w:tblGrid>
        <w:gridCol w:w="7920"/>
      </w:tblGrid>
      <w:tr>
        <w:tc>
          <w:tcPr/>
          <w:bookmarkStart w:id="59" w:name="fig-seagrasschange"/>
          <w:p>
            <w:pPr>
              <w:pStyle w:val="Compact"/>
              <w:jc w:val="center"/>
            </w:pPr>
            <w:r>
              <w:drawing>
                <wp:inline>
                  <wp:extent cx="5943600" cy="3962400"/>
                  <wp:effectExtent b="0" l="0" r="0" t="0"/>
                  <wp:docPr descr="" title="" id="57" name="Picture"/>
                  <a:graphic>
                    <a:graphicData uri="http://schemas.openxmlformats.org/drawingml/2006/picture">
                      <pic:pic>
                        <pic:nvPicPr>
                          <pic:cNvPr descr="figs/seagrasschange.png" id="58" name="Picture"/>
                          <pic:cNvPicPr>
                            <a:picLocks noChangeArrowheads="1" noChangeAspect="1"/>
                          </pic:cNvPicPr>
                        </pic:nvPicPr>
                        <pic:blipFill>
                          <a:blip r:embed="rId56"/>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left"/>
              <w:spacing w:before="200"/>
              <w:pStyle w:val="ImageCaption"/>
            </w:pPr>
            <w:r>
              <w:t xml:space="preserve">Fig. 6: Seagrass change from 2020 to 2022 for selected seagrass management areas identified by the Tampa Bay Estuary Program. Map (a) shows the overall acreage change by management area and map (b) shows the areas where seagrass was lost or gained. See</w:t>
            </w:r>
            <w:r>
              <w:t xml:space="preserve"> </w:t>
            </w:r>
            <w:hyperlink w:anchor="fig-map">
              <w:r>
                <w:rPr>
                  <w:rStyle w:val="Hyperlink"/>
                </w:rPr>
                <w:t xml:space="preserve">Figure 2</w:t>
              </w:r>
            </w:hyperlink>
            <w:r>
              <w:t xml:space="preserve"> </w:t>
            </w:r>
            <w:r>
              <w:t xml:space="preserve">for the locational context. Data from the Southwest Florida Water Management District.</w:t>
            </w:r>
          </w:p>
          <w:bookmarkEnd w:id="59"/>
        </w:tc>
      </w:tr>
    </w:tbl>
    <w:p>
      <w:r>
        <w:br w:type="page"/>
      </w:r>
    </w:p>
    <w:tbl>
      <w:tblPr>
        <w:tblStyle w:val="Table"/>
        <w:tblW w:type="pct" w:w="5000"/>
        <w:tblLayout w:type="fixed"/>
        <w:tblLook w:firstRow="0" w:lastRow="0" w:firstColumn="0" w:lastColumn="0" w:noHBand="0" w:noVBand="0" w:val="0000"/>
      </w:tblPr>
      <w:tblGrid>
        <w:gridCol w:w="7920"/>
      </w:tblGrid>
      <w:tr>
        <w:tc>
          <w:tcPr/>
          <w:bookmarkStart w:id="63" w:name="fig-capacity"/>
          <w:p>
            <w:pPr>
              <w:pStyle w:val="Compact"/>
              <w:jc w:val="center"/>
            </w:pPr>
            <w:r>
              <w:drawing>
                <wp:inline>
                  <wp:extent cx="5943600" cy="2641600"/>
                  <wp:effectExtent b="0" l="0" r="0" t="0"/>
                  <wp:docPr descr="" title="" id="61" name="Picture"/>
                  <a:graphic>
                    <a:graphicData uri="http://schemas.openxmlformats.org/drawingml/2006/picture">
                      <pic:pic>
                        <pic:nvPicPr>
                          <pic:cNvPr descr="figs/siteclose.png" id="62" name="Picture"/>
                          <pic:cNvPicPr>
                            <a:picLocks noChangeArrowheads="1" noChangeAspect="1"/>
                          </pic:cNvPicPr>
                        </pic:nvPicPr>
                        <pic:blipFill>
                          <a:blip r:embed="rId60"/>
                          <a:stretch>
                            <a:fillRect/>
                          </a:stretch>
                        </pic:blipFill>
                        <pic:spPr bwMode="auto">
                          <a:xfrm>
                            <a:off x="0" y="0"/>
                            <a:ext cx="5943600" cy="2641600"/>
                          </a:xfrm>
                          <a:prstGeom prst="rect">
                            <a:avLst/>
                          </a:prstGeom>
                          <a:noFill/>
                          <a:ln w="9525">
                            <a:noFill/>
                            <a:headEnd/>
                            <a:tailEnd/>
                          </a:ln>
                        </pic:spPr>
                      </pic:pic>
                    </a:graphicData>
                  </a:graphic>
                </wp:inline>
              </w:drawing>
            </w:r>
          </w:p>
          <w:p>
            <w:pPr>
              <w:jc w:val="center"/>
            </w:pPr>
            <w:pPr>
              <w:jc w:val="left"/>
              <w:spacing w:before="200"/>
              <w:pStyle w:val="ImageCaption"/>
            </w:pPr>
            <w:r>
              <w:t xml:space="preserve">Fig. 7: Progress to date closing the NGS-S holding pond at Piney Point. The top plot shows the volume of water in the pond and the bottom plot shows the overall capacity of Piney Point to accommodate additional stormwater, inclusive of the volume of water onsite and additional rainfall. Key events affecting the closure process are shown by the horizontal lines. Data from the Florida Department of Environmental Protection.</w:t>
            </w:r>
          </w:p>
          <w:bookmarkEnd w:id="63"/>
        </w:tc>
      </w:tr>
    </w:tbl>
    <w:p>
      <w:r>
        <w:br w:type="page"/>
      </w:r>
    </w:p>
    <w:bookmarkEnd w:id="64"/>
    <w:bookmarkStart w:id="133" w:name="references"/>
    <w:p>
      <w:pPr>
        <w:pStyle w:val="Heading2"/>
      </w:pPr>
      <w:r>
        <w:t xml:space="preserve">References</w:t>
      </w:r>
    </w:p>
    <w:bookmarkStart w:id="132" w:name="refs"/>
    <w:bookmarkStart w:id="66" w:name="ref-albritton2023"/>
    <w:p>
      <w:pPr>
        <w:pStyle w:val="Bibliography"/>
      </w:pPr>
      <w:r>
        <w:t xml:space="preserve">Albritton, C. (2023). New report shows fish health in</w:t>
      </w:r>
      <w:r>
        <w:t xml:space="preserve"> </w:t>
      </w:r>
      <w:r>
        <w:t xml:space="preserve">T</w:t>
      </w:r>
      <w:r>
        <w:t xml:space="preserve">ampa</w:t>
      </w:r>
      <w:r>
        <w:t xml:space="preserve"> </w:t>
      </w:r>
      <w:r>
        <w:t xml:space="preserve">B</w:t>
      </w:r>
      <w:r>
        <w:t xml:space="preserve">ay area at its worst since 2008.</w:t>
      </w:r>
      <w:r>
        <w:t xml:space="preserve"> </w:t>
      </w:r>
      <w:r>
        <w:rPr>
          <w:i/>
          <w:iCs/>
        </w:rPr>
        <w:t xml:space="preserve">ABC Action News</w:t>
      </w:r>
      <w:r>
        <w:t xml:space="preserve">.</w:t>
      </w:r>
      <w:r>
        <w:t xml:space="preserve"> </w:t>
      </w:r>
      <w:hyperlink r:id="rId65">
        <w:r>
          <w:rPr>
            <w:rStyle w:val="Hyperlink"/>
          </w:rPr>
          <w:t xml:space="preserve">https://www.tampabay28.com/news/region-pinellas/new-report-shows-fish-health-in-tampa-bay-area-at-its-worst-since-2008</w:t>
        </w:r>
      </w:hyperlink>
    </w:p>
    <w:bookmarkEnd w:id="66"/>
    <w:bookmarkStart w:id="68" w:name="ref-ardaman2022"/>
    <w:p>
      <w:pPr>
        <w:pStyle w:val="Bibliography"/>
      </w:pPr>
      <w:r>
        <w:t xml:space="preserve">Ardaman &amp; Associates, Inc. (2022).</w:t>
      </w:r>
      <w:r>
        <w:t xml:space="preserve"> </w:t>
      </w:r>
      <w:r>
        <w:rPr>
          <w:i/>
          <w:iCs/>
        </w:rPr>
        <w:t xml:space="preserve">Updated conceptual closure plan for ponds</w:t>
      </w:r>
      <w:r>
        <w:rPr>
          <w:i/>
          <w:iCs/>
        </w:rPr>
        <w:t xml:space="preserve"> </w:t>
      </w:r>
      <w:r>
        <w:rPr>
          <w:i/>
          <w:iCs/>
        </w:rPr>
        <w:t xml:space="preserve">NGS-N</w:t>
      </w:r>
      <w:r>
        <w:rPr>
          <w:i/>
          <w:iCs/>
        </w:rPr>
        <w:t xml:space="preserve">,</w:t>
      </w:r>
      <w:r>
        <w:rPr>
          <w:i/>
          <w:iCs/>
        </w:rPr>
        <w:t xml:space="preserve"> </w:t>
      </w:r>
      <w:r>
        <w:rPr>
          <w:i/>
          <w:iCs/>
        </w:rPr>
        <w:t xml:space="preserve">NGS-S</w:t>
      </w:r>
      <w:r>
        <w:rPr>
          <w:i/>
          <w:iCs/>
        </w:rPr>
        <w:t xml:space="preserve">,</w:t>
      </w:r>
      <w:r>
        <w:rPr>
          <w:i/>
          <w:iCs/>
        </w:rPr>
        <w:t xml:space="preserve"> </w:t>
      </w:r>
      <w:r>
        <w:rPr>
          <w:i/>
          <w:iCs/>
        </w:rPr>
        <w:t xml:space="preserve">OGS-S</w:t>
      </w:r>
      <w:r>
        <w:rPr>
          <w:i/>
          <w:iCs/>
        </w:rPr>
        <w:t xml:space="preserve">, and</w:t>
      </w:r>
      <w:r>
        <w:rPr>
          <w:i/>
          <w:iCs/>
        </w:rPr>
        <w:t xml:space="preserve"> </w:t>
      </w:r>
      <w:r>
        <w:rPr>
          <w:i/>
          <w:iCs/>
        </w:rPr>
        <w:t xml:space="preserve">OGS-N</w:t>
      </w:r>
      <w:r>
        <w:rPr>
          <w:i/>
          <w:iCs/>
        </w:rPr>
        <w:t xml:space="preserve"> </w:t>
      </w:r>
      <w:r>
        <w:rPr>
          <w:i/>
          <w:iCs/>
        </w:rPr>
        <w:t xml:space="preserve">in response to</w:t>
      </w:r>
      <w:r>
        <w:rPr>
          <w:i/>
          <w:iCs/>
        </w:rPr>
        <w:t xml:space="preserve"> </w:t>
      </w:r>
      <w:r>
        <w:rPr>
          <w:i/>
          <w:iCs/>
        </w:rPr>
        <w:t xml:space="preserve">FDEP</w:t>
      </w:r>
      <w:r>
        <w:rPr>
          <w:i/>
          <w:iCs/>
        </w:rPr>
        <w:t xml:space="preserve"> </w:t>
      </w:r>
      <w:r>
        <w:rPr>
          <w:i/>
          <w:iCs/>
        </w:rPr>
        <w:t xml:space="preserve">request for additional information,</w:t>
      </w:r>
      <w:r>
        <w:rPr>
          <w:i/>
          <w:iCs/>
        </w:rPr>
        <w:t xml:space="preserve"> </w:t>
      </w:r>
      <w:r>
        <w:rPr>
          <w:i/>
          <w:iCs/>
        </w:rPr>
        <w:t xml:space="preserve">P</w:t>
      </w:r>
      <w:r>
        <w:rPr>
          <w:i/>
          <w:iCs/>
        </w:rPr>
        <w:t xml:space="preserve">iney</w:t>
      </w:r>
      <w:r>
        <w:rPr>
          <w:i/>
          <w:iCs/>
        </w:rPr>
        <w:t xml:space="preserve"> </w:t>
      </w:r>
      <w:r>
        <w:rPr>
          <w:i/>
          <w:iCs/>
        </w:rPr>
        <w:t xml:space="preserve">P</w:t>
      </w:r>
      <w:r>
        <w:rPr>
          <w:i/>
          <w:iCs/>
        </w:rPr>
        <w:t xml:space="preserve">oint phosphogypsum stack system,</w:t>
      </w:r>
      <w:r>
        <w:rPr>
          <w:i/>
          <w:iCs/>
        </w:rPr>
        <w:t xml:space="preserve"> </w:t>
      </w:r>
      <w:r>
        <w:rPr>
          <w:i/>
          <w:iCs/>
        </w:rPr>
        <w:t xml:space="preserve">M</w:t>
      </w:r>
      <w:r>
        <w:rPr>
          <w:i/>
          <w:iCs/>
        </w:rPr>
        <w:t xml:space="preserve">anatee</w:t>
      </w:r>
      <w:r>
        <w:rPr>
          <w:i/>
          <w:iCs/>
        </w:rPr>
        <w:t xml:space="preserve"> </w:t>
      </w:r>
      <w:r>
        <w:rPr>
          <w:i/>
          <w:iCs/>
        </w:rPr>
        <w:t xml:space="preserve">C</w:t>
      </w:r>
      <w:r>
        <w:rPr>
          <w:i/>
          <w:iCs/>
        </w:rPr>
        <w:t xml:space="preserve">ounty,</w:t>
      </w:r>
      <w:r>
        <w:rPr>
          <w:i/>
          <w:iCs/>
        </w:rPr>
        <w:t xml:space="preserve"> </w:t>
      </w:r>
      <w:r>
        <w:rPr>
          <w:i/>
          <w:iCs/>
        </w:rPr>
        <w:t xml:space="preserve">F</w:t>
      </w:r>
      <w:r>
        <w:rPr>
          <w:i/>
          <w:iCs/>
        </w:rPr>
        <w:t xml:space="preserve">lorida</w:t>
      </w:r>
      <w:r>
        <w:t xml:space="preserve"> </w:t>
      </w:r>
      <w:r>
        <w:t xml:space="preserve">(21-13-0031C; p. 268). Ardaman &amp; Associates, Inc.</w:t>
      </w:r>
      <w:r>
        <w:t xml:space="preserve"> </w:t>
      </w:r>
      <w:hyperlink r:id="rId67">
        <w:r>
          <w:rPr>
            <w:rStyle w:val="Hyperlink"/>
          </w:rPr>
          <w:t xml:space="preserve">https://content.govdelivery.com/attachments/FLDEP/2022/03/31/file_attachments/2118832/ConceptualClosurePlan03252022_revisedsmall.pdf</w:t>
        </w:r>
      </w:hyperlink>
    </w:p>
    <w:bookmarkEnd w:id="68"/>
    <w:bookmarkStart w:id="70" w:name="ref-beck2022a"/>
    <w:p>
      <w:pPr>
        <w:pStyle w:val="Bibliography"/>
      </w:pPr>
      <w:r>
        <w:t xml:space="preserve">Beck, M. W., Altieri, A., Angelini, C., Burke, M. C., Chen, J., Chin, D. W., Gardiner, J., Hu, C., Hubbard, K. A., Liu, Y., Lopez, C. B., Medina, M., Morrison, E. F., Phlips, E. J., Raulerson, G. E., Scolaro, S., Sherwood, E. T., Tomasko, D. A., Weisberg, R. H., &amp; Whalen, J. (2022). Initial estuarine response to inorganic nutrient inputs from a legacy mining facility adjacent to Tampa Bay, Florida.</w:t>
      </w:r>
      <w:r>
        <w:t xml:space="preserve"> </w:t>
      </w:r>
      <w:r>
        <w:rPr>
          <w:i/>
          <w:iCs/>
        </w:rPr>
        <w:t xml:space="preserve">Marine Pollution Bulletin</w:t>
      </w:r>
      <w:r>
        <w:t xml:space="preserve">,</w:t>
      </w:r>
      <w:r>
        <w:t xml:space="preserve"> </w:t>
      </w:r>
      <w:r>
        <w:rPr>
          <w:i/>
          <w:iCs/>
        </w:rPr>
        <w:t xml:space="preserve">178</w:t>
      </w:r>
      <w:r>
        <w:t xml:space="preserve">, 113598.</w:t>
      </w:r>
      <w:r>
        <w:t xml:space="preserve"> </w:t>
      </w:r>
      <w:hyperlink r:id="rId69">
        <w:r>
          <w:rPr>
            <w:rStyle w:val="Hyperlink"/>
          </w:rPr>
          <w:t xml:space="preserve">https://doi.org/10.1016/j.marpolbul.2022.113598</w:t>
        </w:r>
      </w:hyperlink>
    </w:p>
    <w:bookmarkEnd w:id="70"/>
    <w:bookmarkStart w:id="71" w:name="ref-beck2023b"/>
    <w:p>
      <w:pPr>
        <w:pStyle w:val="Bibliography"/>
      </w:pPr>
      <w:r>
        <w:t xml:space="preserve">Beck, M. W., Burke, M. C., Raulerson, G. E., Scolaro, S., Sherwood, E. T., &amp; Whalen, J. (2023). Coordinated monitoring of the</w:t>
      </w:r>
      <w:r>
        <w:t xml:space="preserve"> </w:t>
      </w:r>
      <w:r>
        <w:t xml:space="preserve">P</w:t>
      </w:r>
      <w:r>
        <w:t xml:space="preserve">iney</w:t>
      </w:r>
      <w:r>
        <w:t xml:space="preserve"> </w:t>
      </w:r>
      <w:r>
        <w:t xml:space="preserve">P</w:t>
      </w:r>
      <w:r>
        <w:t xml:space="preserve">oint wastewater discharge into</w:t>
      </w:r>
      <w:r>
        <w:t xml:space="preserve"> </w:t>
      </w:r>
      <w:r>
        <w:t xml:space="preserve">T</w:t>
      </w:r>
      <w:r>
        <w:t xml:space="preserve">ampa</w:t>
      </w:r>
      <w:r>
        <w:t xml:space="preserve"> </w:t>
      </w:r>
      <w:r>
        <w:t xml:space="preserve">B</w:t>
      </w:r>
      <w:r>
        <w:t xml:space="preserve">ay.</w:t>
      </w:r>
      <w:r>
        <w:t xml:space="preserve"> </w:t>
      </w:r>
      <w:r>
        <w:rPr>
          <w:i/>
          <w:iCs/>
        </w:rPr>
        <w:t xml:space="preserve">Florida Scientist</w:t>
      </w:r>
      <w:r>
        <w:t xml:space="preserve">,</w:t>
      </w:r>
      <w:r>
        <w:t xml:space="preserve"> </w:t>
      </w:r>
      <w:r>
        <w:rPr>
          <w:i/>
          <w:iCs/>
        </w:rPr>
        <w:t xml:space="preserve">86</w:t>
      </w:r>
      <w:r>
        <w:t xml:space="preserve">(2), 288–300.</w:t>
      </w:r>
    </w:p>
    <w:bookmarkEnd w:id="71"/>
    <w:bookmarkStart w:id="73" w:name="ref-beck2024"/>
    <w:p>
      <w:pPr>
        <w:pStyle w:val="Bibliography"/>
      </w:pPr>
      <w:r>
        <w:t xml:space="preserve">Beck, M. W., Flaherty-Walia, K., Scolaro, S., Burke, M. C., Furman, B. T., Karlen, D. J., Pratt, C., Anastasiou, C. J., &amp; Sherwood, E. T. (2024). Hot and fresh: Evidence of climate-related suboptimal water conditions for seagrass in a large</w:t>
      </w:r>
      <w:r>
        <w:t xml:space="preserve"> </w:t>
      </w:r>
      <w:r>
        <w:t xml:space="preserve">G</w:t>
      </w:r>
      <w:r>
        <w:t xml:space="preserve">ulf</w:t>
      </w:r>
      <w:r>
        <w:t xml:space="preserve"> </w:t>
      </w:r>
      <w:r>
        <w:t xml:space="preserve">C</w:t>
      </w:r>
      <w:r>
        <w:t xml:space="preserve">oast estuary.</w:t>
      </w:r>
      <w:r>
        <w:t xml:space="preserve"> </w:t>
      </w:r>
      <w:r>
        <w:rPr>
          <w:i/>
          <w:iCs/>
        </w:rPr>
        <w:t xml:space="preserve">Estuaries and Coasts</w:t>
      </w:r>
      <w:r>
        <w:t xml:space="preserve">,</w:t>
      </w:r>
      <w:r>
        <w:t xml:space="preserve"> </w:t>
      </w:r>
      <w:r>
        <w:rPr>
          <w:i/>
          <w:iCs/>
        </w:rPr>
        <w:t xml:space="preserve">47</w:t>
      </w:r>
      <w:r>
        <w:t xml:space="preserve">(6), 1475–1497.</w:t>
      </w:r>
      <w:r>
        <w:t xml:space="preserve"> </w:t>
      </w:r>
      <w:hyperlink r:id="rId72">
        <w:r>
          <w:rPr>
            <w:rStyle w:val="Hyperlink"/>
          </w:rPr>
          <w:t xml:space="preserve">https://doi.org/10.1007/s12237-024-01385-0</w:t>
        </w:r>
      </w:hyperlink>
    </w:p>
    <w:bookmarkEnd w:id="73"/>
    <w:bookmarkStart w:id="75" w:name="ref-beck2019"/>
    <w:p>
      <w:pPr>
        <w:pStyle w:val="Bibliography"/>
      </w:pPr>
      <w:r>
        <w:t xml:space="preserve">Beck, M. W., Sherwood, E. T., Henkel, J. R., Dorans, K., Ireland, K., &amp; Varela, P. (2019). Assessment of the cumulative effects of restoration activities on water quality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rPr>
          <w:i/>
          <w:iCs/>
        </w:rPr>
        <w:t xml:space="preserve">Estuaries and Coasts</w:t>
      </w:r>
      <w:r>
        <w:t xml:space="preserve">,</w:t>
      </w:r>
      <w:r>
        <w:t xml:space="preserve"> </w:t>
      </w:r>
      <w:r>
        <w:rPr>
          <w:i/>
          <w:iCs/>
        </w:rPr>
        <w:t xml:space="preserve">42</w:t>
      </w:r>
      <w:r>
        <w:t xml:space="preserve">(7), 1774–1791.</w:t>
      </w:r>
      <w:r>
        <w:t xml:space="preserve"> </w:t>
      </w:r>
      <w:hyperlink r:id="rId74">
        <w:r>
          <w:rPr>
            <w:rStyle w:val="Hyperlink"/>
          </w:rPr>
          <w:t xml:space="preserve">https://doi.org/10.1007/s12237-019-00619-w</w:t>
        </w:r>
      </w:hyperlink>
    </w:p>
    <w:bookmarkEnd w:id="75"/>
    <w:bookmarkStart w:id="76" w:name="ref-bennett2024"/>
    <w:p>
      <w:pPr>
        <w:pStyle w:val="Bibliography"/>
      </w:pPr>
      <w:r>
        <w:t xml:space="preserve">Bennett, E. P. (2024).</w:t>
      </w:r>
      <w:r>
        <w:t xml:space="preserve"> </w:t>
      </w:r>
      <w:r>
        <w:rPr>
          <w:i/>
          <w:iCs/>
        </w:rPr>
        <w:t xml:space="preserve">T</w:t>
      </w:r>
      <w:r>
        <w:rPr>
          <w:i/>
          <w:iCs/>
        </w:rPr>
        <w:t xml:space="preserve">ampa</w:t>
      </w:r>
      <w:r>
        <w:rPr>
          <w:i/>
          <w:iCs/>
        </w:rPr>
        <w:t xml:space="preserve"> </w:t>
      </w:r>
      <w:r>
        <w:rPr>
          <w:i/>
          <w:iCs/>
        </w:rPr>
        <w:t xml:space="preserve">B</w:t>
      </w:r>
      <w:r>
        <w:rPr>
          <w:i/>
          <w:iCs/>
        </w:rPr>
        <w:t xml:space="preserve">ay: The story of an estuary and its people</w:t>
      </w:r>
      <w:r>
        <w:t xml:space="preserve">. University Press of Florida.</w:t>
      </w:r>
    </w:p>
    <w:bookmarkEnd w:id="76"/>
    <w:bookmarkStart w:id="78" w:name="ref-bilal2023"/>
    <w:p>
      <w:pPr>
        <w:pStyle w:val="Bibliography"/>
      </w:pPr>
      <w:r>
        <w:t xml:space="preserve">Bilal, E., Bellefqih, H., Bourgier, V., Mazouz, H., Dumitraş, D.-G., Bard, F., Laborde, M., Caspar, J. P., Guilhot, B., Iatan, E.-L., Bounakhla, M., Iancu, M. A., Marincea, Ş., Essakhraoui, M., Li, B., Diwa, R. R., Ramirez, J. D., Chernysh, Y., Chubur, V., … Haneklaus, N. (2023). Phosphogypsum circular economy considerations: A critical review from more than 65 storage sites worldwide.</w:t>
      </w:r>
      <w:r>
        <w:t xml:space="preserve"> </w:t>
      </w:r>
      <w:r>
        <w:rPr>
          <w:i/>
          <w:iCs/>
        </w:rPr>
        <w:t xml:space="preserve">Journal of Cleaner Production</w:t>
      </w:r>
      <w:r>
        <w:t xml:space="preserve">,</w:t>
      </w:r>
      <w:r>
        <w:t xml:space="preserve"> </w:t>
      </w:r>
      <w:r>
        <w:rPr>
          <w:i/>
          <w:iCs/>
        </w:rPr>
        <w:t xml:space="preserve">414</w:t>
      </w:r>
      <w:r>
        <w:t xml:space="preserve">, 137561.</w:t>
      </w:r>
      <w:r>
        <w:t xml:space="preserve"> </w:t>
      </w:r>
      <w:hyperlink r:id="rId77">
        <w:r>
          <w:rPr>
            <w:rStyle w:val="Hyperlink"/>
          </w:rPr>
          <w:t xml:space="preserve">https://doi.org/10.1016/j.jclepro.2023.137561</w:t>
        </w:r>
      </w:hyperlink>
    </w:p>
    <w:bookmarkEnd w:id="78"/>
    <w:bookmarkStart w:id="80" w:name="ref-chappel2025"/>
    <w:p>
      <w:pPr>
        <w:pStyle w:val="Bibliography"/>
      </w:pPr>
      <w:r>
        <w:t xml:space="preserve">Chappel, A. R., Kenney, W. F., Waters, M. N., Fisher, C. B., Amaral, J. H., Phlips, E. J., &amp; Morrison, E. S. (2025). Coastal sediments record decades of cultural eutrophication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t xml:space="preserve">USA</w:t>
      </w:r>
      <w:r>
        <w:t xml:space="preserve">.</w:t>
      </w:r>
      <w:r>
        <w:t xml:space="preserve"> </w:t>
      </w:r>
      <w:r>
        <w:rPr>
          <w:i/>
          <w:iCs/>
        </w:rPr>
        <w:t xml:space="preserve">Ecological Indicators</w:t>
      </w:r>
      <w:r>
        <w:t xml:space="preserve">,</w:t>
      </w:r>
      <w:r>
        <w:t xml:space="preserve"> </w:t>
      </w:r>
      <w:r>
        <w:rPr>
          <w:i/>
          <w:iCs/>
        </w:rPr>
        <w:t xml:space="preserve">172</w:t>
      </w:r>
      <w:r>
        <w:t xml:space="preserve">, 113329.</w:t>
      </w:r>
      <w:r>
        <w:t xml:space="preserve"> </w:t>
      </w:r>
      <w:hyperlink r:id="rId79">
        <w:r>
          <w:rPr>
            <w:rStyle w:val="Hyperlink"/>
          </w:rPr>
          <w:t xml:space="preserve">https://doi.org/10.1016/j.ecolind.2025.113329</w:t>
        </w:r>
      </w:hyperlink>
    </w:p>
    <w:bookmarkEnd w:id="80"/>
    <w:bookmarkStart w:id="82" w:name="ref-chen2023"/>
    <w:p>
      <w:pPr>
        <w:pStyle w:val="Bibliography"/>
      </w:pPr>
      <w:r>
        <w:t xml:space="preserve">Chen, Y., Li, M., Glibert, P. M., &amp; Heil, C. (2023). Mu</w:t>
      </w:r>
      <w:r>
        <w:rPr>
          <w:i/>
          <w:iCs/>
        </w:rPr>
        <w:t xml:space="preserve">r</w:t>
      </w:r>
      <w:r>
        <w:rPr>
          <w:i/>
          <w:iCs/>
        </w:rPr>
        <w:t xml:space="preserve">K</w:t>
      </w:r>
      <w:r>
        <w:t xml:space="preserve">y waters: Modeling the succession from</w:t>
      </w:r>
      <w:r>
        <w:t xml:space="preserve"> </w:t>
      </w:r>
      <w:r>
        <w:rPr>
          <w:i/>
          <w:iCs/>
        </w:rPr>
        <w:t xml:space="preserve">r</w:t>
      </w:r>
      <w:r>
        <w:t xml:space="preserve"> </w:t>
      </w:r>
      <w:r>
        <w:t xml:space="preserve">to</w:t>
      </w:r>
      <w:r>
        <w:t xml:space="preserve"> </w:t>
      </w:r>
      <w:r>
        <w:rPr>
          <w:i/>
          <w:iCs/>
        </w:rPr>
        <w:t xml:space="preserve">k</w:t>
      </w:r>
      <w:r>
        <w:t xml:space="preserve"> </w:t>
      </w:r>
      <w:r>
        <w:t xml:space="preserve">strategists (diatoms to dinoflagellates) following a nutrient release from a mining facility in</w:t>
      </w:r>
      <w:r>
        <w:t xml:space="preserve"> </w:t>
      </w:r>
      <w:r>
        <w:t xml:space="preserve">F</w:t>
      </w:r>
      <w:r>
        <w:t xml:space="preserve">lorida.</w:t>
      </w:r>
      <w:r>
        <w:t xml:space="preserve"> </w:t>
      </w:r>
      <w:r>
        <w:rPr>
          <w:i/>
          <w:iCs/>
        </w:rPr>
        <w:t xml:space="preserve">Limnology and Oceanography</w:t>
      </w:r>
      <w:r>
        <w:t xml:space="preserve">,</w:t>
      </w:r>
      <w:r>
        <w:t xml:space="preserve"> </w:t>
      </w:r>
      <w:r>
        <w:rPr>
          <w:i/>
          <w:iCs/>
        </w:rPr>
        <w:t xml:space="preserve">68</w:t>
      </w:r>
      <w:r>
        <w:t xml:space="preserve">(10), 2288–2304.</w:t>
      </w:r>
      <w:r>
        <w:t xml:space="preserve"> </w:t>
      </w:r>
      <w:hyperlink r:id="rId81">
        <w:r>
          <w:rPr>
            <w:rStyle w:val="Hyperlink"/>
          </w:rPr>
          <w:t xml:space="preserve">https://doi.org/10.1002/lno.12420</w:t>
        </w:r>
      </w:hyperlink>
    </w:p>
    <w:bookmarkEnd w:id="82"/>
    <w:bookmarkStart w:id="83" w:name="ref-dipinto2001"/>
    <w:p>
      <w:pPr>
        <w:pStyle w:val="Bibliography"/>
      </w:pPr>
      <w:r>
        <w:t xml:space="preserve">DiPinto, L., Penn, T., Iliff, J., &amp; Peterson, C. (2001). Determing the scale of restoration for a fish kill in the</w:t>
      </w:r>
      <w:r>
        <w:t xml:space="preserve"> </w:t>
      </w:r>
      <w:r>
        <w:t xml:space="preserve">A</w:t>
      </w:r>
      <w:r>
        <w:t xml:space="preserve">lafia</w:t>
      </w:r>
      <w:r>
        <w:t xml:space="preserve"> </w:t>
      </w:r>
      <w:r>
        <w:t xml:space="preserve">R</w:t>
      </w:r>
      <w:r>
        <w:t xml:space="preserve">iver,</w:t>
      </w:r>
      <w:r>
        <w:t xml:space="preserve"> </w:t>
      </w:r>
      <w:r>
        <w:t xml:space="preserve">F</w:t>
      </w:r>
      <w:r>
        <w:t xml:space="preserve">lorida.</w:t>
      </w:r>
      <w:r>
        <w:t xml:space="preserve"> </w:t>
      </w:r>
      <w:r>
        <w:rPr>
          <w:i/>
          <w:iCs/>
        </w:rPr>
        <w:t xml:space="preserve">International Oil Spill Conference</w:t>
      </w:r>
      <w:r>
        <w:t xml:space="preserve">,</w:t>
      </w:r>
      <w:r>
        <w:t xml:space="preserve"> </w:t>
      </w:r>
      <w:r>
        <w:rPr>
          <w:i/>
          <w:iCs/>
        </w:rPr>
        <w:t xml:space="preserve">2001</w:t>
      </w:r>
      <w:r>
        <w:t xml:space="preserve">, 1511–1516.</w:t>
      </w:r>
    </w:p>
    <w:bookmarkEnd w:id="83"/>
    <w:bookmarkStart w:id="85" w:name="ref-fdep2025"/>
    <w:p>
      <w:pPr>
        <w:pStyle w:val="Bibliography"/>
      </w:pPr>
      <w:r>
        <w:t xml:space="preserve">Florida Department of Environmental Protection. (2025).</w:t>
      </w:r>
      <w:r>
        <w:t xml:space="preserve"> </w:t>
      </w:r>
      <w:r>
        <w:rPr>
          <w:i/>
          <w:iCs/>
        </w:rPr>
        <w:t xml:space="preserve">Florida Gypsumstacks</w:t>
      </w:r>
      <w:r>
        <w:t xml:space="preserve">. Florida Department of Environmental Protection Geospatial Open Data.</w:t>
      </w:r>
      <w:r>
        <w:t xml:space="preserve"> </w:t>
      </w:r>
      <w:hyperlink r:id="rId84">
        <w:r>
          <w:rPr>
            <w:rStyle w:val="Hyperlink"/>
          </w:rPr>
          <w:t xml:space="preserve">https://ca.dep.state.fl.us/arcgis/rest/services/OpenData/GYPSUMSTACKS/MapServer/0</w:t>
        </w:r>
      </w:hyperlink>
    </w:p>
    <w:bookmarkEnd w:id="85"/>
    <w:bookmarkStart w:id="87" w:name="ref-fwc2025"/>
    <w:p>
      <w:pPr>
        <w:pStyle w:val="Bibliography"/>
      </w:pPr>
      <w:r>
        <w:t xml:space="preserve">Florida Fish and Wildlife Conservation Commission. (2025).</w:t>
      </w:r>
      <w:r>
        <w:t xml:space="preserve"> </w:t>
      </w:r>
      <w:r>
        <w:rPr>
          <w:i/>
          <w:iCs/>
        </w:rPr>
        <w:t xml:space="preserve">Red tide manatee mortalities</w:t>
      </w:r>
      <w:r>
        <w:t xml:space="preserve">.</w:t>
      </w:r>
      <w:r>
        <w:t xml:space="preserve"> </w:t>
      </w:r>
      <w:hyperlink r:id="rId86">
        <w:r>
          <w:rPr>
            <w:rStyle w:val="Hyperlink"/>
          </w:rPr>
          <w:t xml:space="preserve">https://myfwc.com/research/manatee/rescue-mortality-response/statistics/mortality/red-tide/</w:t>
        </w:r>
      </w:hyperlink>
    </w:p>
    <w:bookmarkEnd w:id="87"/>
    <w:bookmarkStart w:id="89" w:name="ref-garrett2011"/>
    <w:p>
      <w:pPr>
        <w:pStyle w:val="Bibliography"/>
      </w:pPr>
      <w:r>
        <w:t xml:space="preserve">Garrett, M., Wolny, J., Truby, E., Heil, C., &amp; Kovach, C. (2011). Harmful algal bloom species and phosphate-processing effluent: Field and laboratory studies.</w:t>
      </w:r>
      <w:r>
        <w:t xml:space="preserve"> </w:t>
      </w:r>
      <w:r>
        <w:rPr>
          <w:i/>
          <w:iCs/>
        </w:rPr>
        <w:t xml:space="preserve">Marine Pollution Bulletin</w:t>
      </w:r>
      <w:r>
        <w:t xml:space="preserve">,</w:t>
      </w:r>
      <w:r>
        <w:t xml:space="preserve"> </w:t>
      </w:r>
      <w:r>
        <w:rPr>
          <w:i/>
          <w:iCs/>
        </w:rPr>
        <w:t xml:space="preserve">62</w:t>
      </w:r>
      <w:r>
        <w:t xml:space="preserve">(3), 596–601.</w:t>
      </w:r>
      <w:r>
        <w:t xml:space="preserve"> </w:t>
      </w:r>
      <w:hyperlink r:id="rId88">
        <w:r>
          <w:rPr>
            <w:rStyle w:val="Hyperlink"/>
          </w:rPr>
          <w:t xml:space="preserve">https://doi.org/10.1016/j.marpolbul.2010.11.017</w:t>
        </w:r>
      </w:hyperlink>
    </w:p>
    <w:bookmarkEnd w:id="89"/>
    <w:bookmarkStart w:id="91" w:name="ref-greening2006"/>
    <w:p>
      <w:pPr>
        <w:pStyle w:val="Bibliography"/>
      </w:pPr>
      <w:r>
        <w:t xml:space="preserve">Greening, H. S., &amp; Janicki, A. J. (2006). Toward reversal of eutrophic conditions in a subtropical estuary: Water quality and seagrass response to nitrogen loading reductions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t xml:space="preserve">USA</w:t>
      </w:r>
      <w:r>
        <w:t xml:space="preserve">.</w:t>
      </w:r>
      <w:r>
        <w:t xml:space="preserve"> </w:t>
      </w:r>
      <w:r>
        <w:rPr>
          <w:i/>
          <w:iCs/>
        </w:rPr>
        <w:t xml:space="preserve">Environmental Management</w:t>
      </w:r>
      <w:r>
        <w:t xml:space="preserve">,</w:t>
      </w:r>
      <w:r>
        <w:t xml:space="preserve"> </w:t>
      </w:r>
      <w:r>
        <w:rPr>
          <w:i/>
          <w:iCs/>
        </w:rPr>
        <w:t xml:space="preserve">38</w:t>
      </w:r>
      <w:r>
        <w:t xml:space="preserve">(2), 163–178.</w:t>
      </w:r>
      <w:r>
        <w:t xml:space="preserve"> </w:t>
      </w:r>
      <w:hyperlink r:id="rId90">
        <w:r>
          <w:rPr>
            <w:rStyle w:val="Hyperlink"/>
          </w:rPr>
          <w:t xml:space="preserve">https://doi.org/10.1007/s00267-005-0079-4</w:t>
        </w:r>
      </w:hyperlink>
    </w:p>
    <w:bookmarkEnd w:id="91"/>
    <w:bookmarkStart w:id="93" w:name="ref-greening2014"/>
    <w:p>
      <w:pPr>
        <w:pStyle w:val="Bibliography"/>
      </w:pPr>
      <w:r>
        <w:t xml:space="preserve">Greening, H. S., Janicki, A. J., Sherwood, E. T., Pribble, R., &amp; Johansson, J. O. R. (2014). Ecosystem responses to long-term nutrient management in an urban estuary:</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t xml:space="preserve">USA</w:t>
      </w:r>
      <w:r>
        <w:t xml:space="preserve">.</w:t>
      </w:r>
      <w:r>
        <w:t xml:space="preserve"> </w:t>
      </w:r>
      <w:r>
        <w:rPr>
          <w:i/>
          <w:iCs/>
        </w:rPr>
        <w:t xml:space="preserve">Estuarine, Coastal and Shelf Science</w:t>
      </w:r>
      <w:r>
        <w:t xml:space="preserve">,</w:t>
      </w:r>
      <w:r>
        <w:t xml:space="preserve"> </w:t>
      </w:r>
      <w:r>
        <w:rPr>
          <w:i/>
          <w:iCs/>
        </w:rPr>
        <w:t xml:space="preserve">151</w:t>
      </w:r>
      <w:r>
        <w:t xml:space="preserve">, A1–A16.</w:t>
      </w:r>
      <w:r>
        <w:t xml:space="preserve"> </w:t>
      </w:r>
      <w:hyperlink r:id="rId92">
        <w:r>
          <w:rPr>
            <w:rStyle w:val="Hyperlink"/>
          </w:rPr>
          <w:t xml:space="preserve">https://doi.org/10.1016/j.ecss.2014.10.003</w:t>
        </w:r>
      </w:hyperlink>
    </w:p>
    <w:bookmarkEnd w:id="93"/>
    <w:bookmarkStart w:id="95" w:name="ref-gross2017"/>
    <w:p>
      <w:pPr>
        <w:pStyle w:val="Bibliography"/>
      </w:pPr>
      <w:r>
        <w:t xml:space="preserve">Gross, C., &amp; Hagy III, J. D. (2017). Attributes of successful actions to restore lakes and estuaries degraded by nutrient pollution.</w:t>
      </w:r>
      <w:r>
        <w:t xml:space="preserve"> </w:t>
      </w:r>
      <w:r>
        <w:rPr>
          <w:i/>
          <w:iCs/>
        </w:rPr>
        <w:t xml:space="preserve">Journal of Environmental Management</w:t>
      </w:r>
      <w:r>
        <w:t xml:space="preserve">,</w:t>
      </w:r>
      <w:r>
        <w:t xml:space="preserve"> </w:t>
      </w:r>
      <w:r>
        <w:rPr>
          <w:i/>
          <w:iCs/>
        </w:rPr>
        <w:t xml:space="preserve">187</w:t>
      </w:r>
      <w:r>
        <w:t xml:space="preserve">, 122–136.</w:t>
      </w:r>
      <w:r>
        <w:t xml:space="preserve"> </w:t>
      </w:r>
      <w:hyperlink r:id="rId94">
        <w:r>
          <w:rPr>
            <w:rStyle w:val="Hyperlink"/>
          </w:rPr>
          <w:t xml:space="preserve">https://doi.org/10.1016/j.jenvman.2016.11.018</w:t>
        </w:r>
      </w:hyperlink>
    </w:p>
    <w:bookmarkEnd w:id="95"/>
    <w:bookmarkStart w:id="96" w:name="ref-henderson2004"/>
    <w:p>
      <w:pPr>
        <w:pStyle w:val="Bibliography"/>
      </w:pPr>
      <w:r>
        <w:t xml:space="preserve">Henderson, C. S. (2004).</w:t>
      </w:r>
      <w:r>
        <w:t xml:space="preserve"> </w:t>
      </w:r>
      <w:r>
        <w:rPr>
          <w:i/>
          <w:iCs/>
        </w:rPr>
        <w:t xml:space="preserve">P</w:t>
      </w:r>
      <w:r>
        <w:rPr>
          <w:i/>
          <w:iCs/>
        </w:rPr>
        <w:t xml:space="preserve">iney</w:t>
      </w:r>
      <w:r>
        <w:rPr>
          <w:i/>
          <w:iCs/>
        </w:rPr>
        <w:t xml:space="preserve"> </w:t>
      </w:r>
      <w:r>
        <w:rPr>
          <w:i/>
          <w:iCs/>
        </w:rPr>
        <w:t xml:space="preserve">P</w:t>
      </w:r>
      <w:r>
        <w:rPr>
          <w:i/>
          <w:iCs/>
        </w:rPr>
        <w:t xml:space="preserve">oint phosphate plant: An environmental analysis.</w:t>
      </w:r>
      <w:r>
        <w:rPr>
          <w:i/>
          <w:iCs/>
        </w:rPr>
        <w:t xml:space="preserve"> </w:t>
      </w:r>
      <w:r>
        <w:rPr>
          <w:i/>
          <w:iCs/>
        </w:rPr>
        <w:t xml:space="preserve">University of South Florida St. Petersburg, Florida</w:t>
      </w:r>
      <w:r>
        <w:t xml:space="preserve">.</w:t>
      </w:r>
    </w:p>
    <w:bookmarkEnd w:id="96"/>
    <w:bookmarkStart w:id="98" w:name="ref-tbep0696"/>
    <w:p>
      <w:pPr>
        <w:pStyle w:val="Bibliography"/>
      </w:pPr>
      <w:r>
        <w:t xml:space="preserve">Janicki, A. J., &amp; Wade, D. L. (1996).</w:t>
      </w:r>
      <w:r>
        <w:t xml:space="preserve"> </w:t>
      </w:r>
      <w:r>
        <w:rPr>
          <w:i/>
          <w:iCs/>
        </w:rPr>
        <w:t xml:space="preserve">Estimating critical nitrogen loads for the</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w:t>
      </w:r>
      <w:r>
        <w:rPr>
          <w:i/>
          <w:iCs/>
        </w:rPr>
        <w:t xml:space="preserve"> </w:t>
      </w:r>
      <w:r>
        <w:rPr>
          <w:i/>
          <w:iCs/>
        </w:rPr>
        <w:t xml:space="preserve">E</w:t>
      </w:r>
      <w:r>
        <w:rPr>
          <w:i/>
          <w:iCs/>
        </w:rPr>
        <w:t xml:space="preserve">stuary: An empirically based approach to setting management targets</w:t>
      </w:r>
      <w:r>
        <w:t xml:space="preserve"> </w:t>
      </w:r>
      <w:r>
        <w:t xml:space="preserve">(06-96). Tampa Bay Estuary Program.</w:t>
      </w:r>
      <w:r>
        <w:t xml:space="preserve"> </w:t>
      </w:r>
      <w:hyperlink r:id="rId97">
        <w:r>
          <w:rPr>
            <w:rStyle w:val="Hyperlink"/>
          </w:rPr>
          <w:t xml:space="preserve">https://drive.google.com/file/d/1kZkvuprvsMyN9nPS5PHYvXHyo1KQxKTr/view?usp=drivesdk</w:t>
        </w:r>
      </w:hyperlink>
    </w:p>
    <w:bookmarkEnd w:id="98"/>
    <w:bookmarkStart w:id="100" w:name="ref-tbep0400"/>
    <w:p>
      <w:pPr>
        <w:pStyle w:val="Bibliography"/>
      </w:pPr>
      <w:r>
        <w:t xml:space="preserve">Janicki, A. J., Wade, D., &amp; Pribble, J. R. (2000).</w:t>
      </w:r>
      <w:r>
        <w:t xml:space="preserve"> </w:t>
      </w:r>
      <w:r>
        <w:rPr>
          <w:i/>
          <w:iCs/>
        </w:rPr>
        <w:t xml:space="preserve">Developing and establishing a process to track the status of chlorophyll-a concentrations and light attenuation to support seagrass restoration goals in</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w:t>
      </w:r>
      <w:r>
        <w:t xml:space="preserve"> </w:t>
      </w:r>
      <w:r>
        <w:t xml:space="preserve">(04-00). Tampa Bay Estuary Program.</w:t>
      </w:r>
      <w:r>
        <w:t xml:space="preserve"> </w:t>
      </w:r>
      <w:hyperlink r:id="rId99">
        <w:r>
          <w:rPr>
            <w:rStyle w:val="Hyperlink"/>
          </w:rPr>
          <w:t xml:space="preserve">https://drive.google.com/file/d/1XMULU8w4syWcSv_ciOUOhnC_G4xt6GIF/view?usp=drivesdk</w:t>
        </w:r>
      </w:hyperlink>
    </w:p>
    <w:bookmarkEnd w:id="100"/>
    <w:bookmarkStart w:id="102" w:name="ref-tbep0623"/>
    <w:p>
      <w:pPr>
        <w:pStyle w:val="Bibliography"/>
      </w:pPr>
      <w:r>
        <w:t xml:space="preserve">Janicki Environmental, Inc. (2023).</w:t>
      </w:r>
      <w:r>
        <w:t xml:space="preserve"> </w:t>
      </w:r>
      <w:r>
        <w:rPr>
          <w:i/>
          <w:iCs/>
        </w:rPr>
        <w:t xml:space="preserve">Estimates of total nitrogen, total phosphorus, total suspended solids, and biological oxygen demand loadings to</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w:t>
      </w:r>
      <w:r>
        <w:rPr>
          <w:i/>
          <w:iCs/>
        </w:rPr>
        <w:t xml:space="preserve"> </w:t>
      </w:r>
      <w:r>
        <w:rPr>
          <w:i/>
          <w:iCs/>
        </w:rPr>
        <w:t xml:space="preserve">F</w:t>
      </w:r>
      <w:r>
        <w:rPr>
          <w:i/>
          <w:iCs/>
        </w:rPr>
        <w:t xml:space="preserve">lorida: 2017-2021</w:t>
      </w:r>
      <w:r>
        <w:t xml:space="preserve"> </w:t>
      </w:r>
      <w:r>
        <w:t xml:space="preserve">(06-23; p. 83). Tampa Bay Estuary Program.</w:t>
      </w:r>
      <w:r>
        <w:t xml:space="preserve"> </w:t>
      </w:r>
      <w:hyperlink r:id="rId101">
        <w:r>
          <w:rPr>
            <w:rStyle w:val="Hyperlink"/>
          </w:rPr>
          <w:t xml:space="preserve">https://drive.google.com/file/d/1KARuSC5fGx05MuT1wiOQFWNXysBokkQl/view?usp=share_link</w:t>
        </w:r>
      </w:hyperlink>
    </w:p>
    <w:bookmarkEnd w:id="102"/>
    <w:bookmarkStart w:id="103" w:name="ref-johansson1991"/>
    <w:p>
      <w:pPr>
        <w:pStyle w:val="Bibliography"/>
      </w:pPr>
      <w:r>
        <w:t xml:space="preserve">Johansson, J. O. R. (1991). Long-term trends in nitrogen loading, water quality and biological indicators in</w:t>
      </w:r>
      <w:r>
        <w:t xml:space="preserve"> </w:t>
      </w:r>
      <w:r>
        <w:t xml:space="preserve">H</w:t>
      </w:r>
      <w:r>
        <w:t xml:space="preserve">illsborough</w:t>
      </w:r>
      <w:r>
        <w:t xml:space="preserve"> </w:t>
      </w:r>
      <w:r>
        <w:t xml:space="preserve">B</w:t>
      </w:r>
      <w:r>
        <w:t xml:space="preserve">ay,</w:t>
      </w:r>
      <w:r>
        <w:t xml:space="preserve"> </w:t>
      </w:r>
      <w:r>
        <w:t xml:space="preserve">F</w:t>
      </w:r>
      <w:r>
        <w:t xml:space="preserve">lorida. In S. F. Treat &amp; P. A. Clark (Eds.),</w:t>
      </w:r>
      <w:r>
        <w:t xml:space="preserve"> </w:t>
      </w:r>
      <w:r>
        <w:rPr>
          <w:i/>
          <w:iCs/>
        </w:rPr>
        <w:t xml:space="preserve">Proceedings of the</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w:t>
      </w:r>
      <w:r>
        <w:rPr>
          <w:i/>
          <w:iCs/>
        </w:rPr>
        <w:t xml:space="preserve"> </w:t>
      </w:r>
      <w:r>
        <w:rPr>
          <w:i/>
          <w:iCs/>
        </w:rPr>
        <w:t xml:space="preserve">A</w:t>
      </w:r>
      <w:r>
        <w:rPr>
          <w:i/>
          <w:iCs/>
        </w:rPr>
        <w:t xml:space="preserve">rea</w:t>
      </w:r>
      <w:r>
        <w:rPr>
          <w:i/>
          <w:iCs/>
        </w:rPr>
        <w:t xml:space="preserve"> </w:t>
      </w:r>
      <w:r>
        <w:rPr>
          <w:i/>
          <w:iCs/>
        </w:rPr>
        <w:t xml:space="preserve">S</w:t>
      </w:r>
      <w:r>
        <w:rPr>
          <w:i/>
          <w:iCs/>
        </w:rPr>
        <w:t xml:space="preserve">cientific</w:t>
      </w:r>
      <w:r>
        <w:rPr>
          <w:i/>
          <w:iCs/>
        </w:rPr>
        <w:t xml:space="preserve"> </w:t>
      </w:r>
      <w:r>
        <w:rPr>
          <w:i/>
          <w:iCs/>
        </w:rPr>
        <w:t xml:space="preserve">I</w:t>
      </w:r>
      <w:r>
        <w:rPr>
          <w:i/>
          <w:iCs/>
        </w:rPr>
        <w:t xml:space="preserve">nformation</w:t>
      </w:r>
      <w:r>
        <w:rPr>
          <w:i/>
          <w:iCs/>
        </w:rPr>
        <w:t xml:space="preserve"> </w:t>
      </w:r>
      <w:r>
        <w:rPr>
          <w:i/>
          <w:iCs/>
        </w:rPr>
        <w:t xml:space="preserve">S</w:t>
      </w:r>
      <w:r>
        <w:rPr>
          <w:i/>
          <w:iCs/>
        </w:rPr>
        <w:t xml:space="preserve">ymposium 2</w:t>
      </w:r>
      <w:r>
        <w:t xml:space="preserve"> </w:t>
      </w:r>
      <w:r>
        <w:t xml:space="preserve">(pp. 157–176). Tampa Bay Regional Planning Council.</w:t>
      </w:r>
    </w:p>
    <w:bookmarkEnd w:id="103"/>
    <w:bookmarkStart w:id="104" w:name="ref-johansson1999"/>
    <w:p>
      <w:pPr>
        <w:pStyle w:val="Bibliography"/>
      </w:pPr>
      <w:r>
        <w:t xml:space="preserve">Johansson, J. O. R., &amp; Greening, H. S. (1999). Seagrass restoration in</w:t>
      </w:r>
      <w:r>
        <w:t xml:space="preserve"> </w:t>
      </w:r>
      <w:r>
        <w:t xml:space="preserve">T</w:t>
      </w:r>
      <w:r>
        <w:t xml:space="preserve">ampa</w:t>
      </w:r>
      <w:r>
        <w:t xml:space="preserve"> </w:t>
      </w:r>
      <w:r>
        <w:t xml:space="preserve">B</w:t>
      </w:r>
      <w:r>
        <w:t xml:space="preserve">ay: A resource-based approach to estuarine management. In S. A. Bartone (Ed.),</w:t>
      </w:r>
      <w:r>
        <w:t xml:space="preserve"> </w:t>
      </w:r>
      <w:r>
        <w:rPr>
          <w:i/>
          <w:iCs/>
        </w:rPr>
        <w:t xml:space="preserve">Seagrasses:</w:t>
      </w:r>
      <w:r>
        <w:rPr>
          <w:i/>
          <w:iCs/>
        </w:rPr>
        <w:t xml:space="preserve"> </w:t>
      </w:r>
      <w:r>
        <w:rPr>
          <w:i/>
          <w:iCs/>
        </w:rPr>
        <w:t xml:space="preserve">M</w:t>
      </w:r>
      <w:r>
        <w:rPr>
          <w:i/>
          <w:iCs/>
        </w:rPr>
        <w:t xml:space="preserve">onitoring,</w:t>
      </w:r>
      <w:r>
        <w:rPr>
          <w:i/>
          <w:iCs/>
        </w:rPr>
        <w:t xml:space="preserve"> </w:t>
      </w:r>
      <w:r>
        <w:rPr>
          <w:i/>
          <w:iCs/>
        </w:rPr>
        <w:t xml:space="preserve">E</w:t>
      </w:r>
      <w:r>
        <w:rPr>
          <w:i/>
          <w:iCs/>
        </w:rPr>
        <w:t xml:space="preserve">cology,</w:t>
      </w:r>
      <w:r>
        <w:rPr>
          <w:i/>
          <w:iCs/>
        </w:rPr>
        <w:t xml:space="preserve"> </w:t>
      </w:r>
      <w:r>
        <w:rPr>
          <w:i/>
          <w:iCs/>
        </w:rPr>
        <w:t xml:space="preserve">P</w:t>
      </w:r>
      <w:r>
        <w:rPr>
          <w:i/>
          <w:iCs/>
        </w:rPr>
        <w:t xml:space="preserve">hysiology, and</w:t>
      </w:r>
      <w:r>
        <w:rPr>
          <w:i/>
          <w:iCs/>
        </w:rPr>
        <w:t xml:space="preserve"> </w:t>
      </w:r>
      <w:r>
        <w:rPr>
          <w:i/>
          <w:iCs/>
        </w:rPr>
        <w:t xml:space="preserve">M</w:t>
      </w:r>
      <w:r>
        <w:rPr>
          <w:i/>
          <w:iCs/>
        </w:rPr>
        <w:t xml:space="preserve">anagement</w:t>
      </w:r>
      <w:r>
        <w:t xml:space="preserve"> </w:t>
      </w:r>
      <w:r>
        <w:t xml:space="preserve">(pp. 297–312). CRC Press.</w:t>
      </w:r>
    </w:p>
    <w:bookmarkEnd w:id="104"/>
    <w:bookmarkStart w:id="106" w:name="ref-liu2024"/>
    <w:p>
      <w:pPr>
        <w:pStyle w:val="Bibliography"/>
      </w:pPr>
      <w:r>
        <w:t xml:space="preserve">Liu, Y., Weisberg, R. H., Zheng, L., Sun, Y., Chen, J., Law, J. A., Hu, C., Cannizzaro, J. P., &amp; Frazer, T. K. (2024). A tracer model nowcast/forecast study of the</w:t>
      </w:r>
      <w:r>
        <w:t xml:space="preserve"> </w:t>
      </w:r>
      <w:r>
        <w:t xml:space="preserve">T</w:t>
      </w:r>
      <w:r>
        <w:t xml:space="preserve">ampa</w:t>
      </w:r>
      <w:r>
        <w:t xml:space="preserve"> </w:t>
      </w:r>
      <w:r>
        <w:t xml:space="preserve">B</w:t>
      </w:r>
      <w:r>
        <w:t xml:space="preserve">ay,</w:t>
      </w:r>
      <w:r>
        <w:t xml:space="preserve"> </w:t>
      </w:r>
      <w:r>
        <w:t xml:space="preserve">P</w:t>
      </w:r>
      <w:r>
        <w:t xml:space="preserve">iney</w:t>
      </w:r>
      <w:r>
        <w:t xml:space="preserve"> </w:t>
      </w:r>
      <w:r>
        <w:t xml:space="preserve">P</w:t>
      </w:r>
      <w:r>
        <w:t xml:space="preserve">oint effluent plume: Rapid response to an environmental hazard.</w:t>
      </w:r>
      <w:r>
        <w:t xml:space="preserve"> </w:t>
      </w:r>
      <w:r>
        <w:rPr>
          <w:i/>
          <w:iCs/>
        </w:rPr>
        <w:t xml:space="preserve">Marine Pollution Bulletin</w:t>
      </w:r>
      <w:r>
        <w:t xml:space="preserve">,</w:t>
      </w:r>
      <w:r>
        <w:t xml:space="preserve"> </w:t>
      </w:r>
      <w:r>
        <w:rPr>
          <w:i/>
          <w:iCs/>
        </w:rPr>
        <w:t xml:space="preserve">198</w:t>
      </w:r>
      <w:r>
        <w:t xml:space="preserve">, 115840.</w:t>
      </w:r>
      <w:r>
        <w:t xml:space="preserve"> </w:t>
      </w:r>
      <w:hyperlink r:id="rId105">
        <w:r>
          <w:rPr>
            <w:rStyle w:val="Hyperlink"/>
          </w:rPr>
          <w:t xml:space="preserve">https://doi.org/10.1016/j.marpolbul.2023.115840</w:t>
        </w:r>
      </w:hyperlink>
    </w:p>
    <w:bookmarkEnd w:id="106"/>
    <w:bookmarkStart w:id="107" w:name="ref-lizcano2023"/>
    <w:p>
      <w:pPr>
        <w:pStyle w:val="Bibliography"/>
      </w:pPr>
      <w:r>
        <w:t xml:space="preserve">Lizcano-Sandoval, L., Otis, D., Montes, E., &amp; Muller-Karger, F. (2023). Seagrass areal cover in</w:t>
      </w:r>
      <w:r>
        <w:t xml:space="preserve"> </w:t>
      </w:r>
      <w:r>
        <w:t xml:space="preserve">T</w:t>
      </w:r>
      <w:r>
        <w:t xml:space="preserve">ampa</w:t>
      </w:r>
      <w:r>
        <w:t xml:space="preserve"> </w:t>
      </w:r>
      <w:r>
        <w:t xml:space="preserve">B</w:t>
      </w:r>
      <w:r>
        <w:t xml:space="preserve">ay over the last 30 years (1990–2021) observed by satellites.</w:t>
      </w:r>
      <w:r>
        <w:t xml:space="preserve"> </w:t>
      </w:r>
      <w:r>
        <w:rPr>
          <w:i/>
          <w:iCs/>
        </w:rPr>
        <w:t xml:space="preserve">Florida Scientist</w:t>
      </w:r>
      <w:r>
        <w:t xml:space="preserve">,</w:t>
      </w:r>
      <w:r>
        <w:t xml:space="preserve"> </w:t>
      </w:r>
      <w:r>
        <w:rPr>
          <w:i/>
          <w:iCs/>
        </w:rPr>
        <w:t xml:space="preserve">86</w:t>
      </w:r>
      <w:r>
        <w:t xml:space="preserve">(2), 331–338.</w:t>
      </w:r>
    </w:p>
    <w:bookmarkEnd w:id="107"/>
    <w:bookmarkStart w:id="109" w:name="ref-morrison2023"/>
    <w:p>
      <w:pPr>
        <w:pStyle w:val="Bibliography"/>
      </w:pPr>
      <w:r>
        <w:t xml:space="preserve">Morrison, E. S., Phlips, E., Badylak, S., Chappel, A. R., Altieri, A. H., Osborne, T. Z., Tomasko, D., Beck, M. W., &amp; Sherwood, E. (2023). The response of</w:t>
      </w:r>
      <w:r>
        <w:t xml:space="preserve"> </w:t>
      </w:r>
      <w:r>
        <w:t xml:space="preserve">T</w:t>
      </w:r>
      <w:r>
        <w:t xml:space="preserve">ampa</w:t>
      </w:r>
      <w:r>
        <w:t xml:space="preserve"> </w:t>
      </w:r>
      <w:r>
        <w:t xml:space="preserve">B</w:t>
      </w:r>
      <w:r>
        <w:t xml:space="preserve">ay to a legacy mining nutrient release in the year following the event.</w:t>
      </w:r>
      <w:r>
        <w:t xml:space="preserve"> </w:t>
      </w:r>
      <w:r>
        <w:rPr>
          <w:i/>
          <w:iCs/>
        </w:rPr>
        <w:t xml:space="preserve">Frontiers in Ecology and Evolution</w:t>
      </w:r>
      <w:r>
        <w:t xml:space="preserve">,</w:t>
      </w:r>
      <w:r>
        <w:t xml:space="preserve"> </w:t>
      </w:r>
      <w:r>
        <w:rPr>
          <w:i/>
          <w:iCs/>
        </w:rPr>
        <w:t xml:space="preserve">11</w:t>
      </w:r>
      <w:r>
        <w:t xml:space="preserve">, 1144778.</w:t>
      </w:r>
      <w:r>
        <w:t xml:space="preserve"> </w:t>
      </w:r>
      <w:hyperlink r:id="rId108">
        <w:r>
          <w:rPr>
            <w:rStyle w:val="Hyperlink"/>
          </w:rPr>
          <w:t xml:space="preserve">https://doi.org/10.3389/fevo.2023.1144778</w:t>
        </w:r>
      </w:hyperlink>
    </w:p>
    <w:bookmarkEnd w:id="109"/>
    <w:bookmarkStart w:id="111" w:name="ref-nelson2021"/>
    <w:p>
      <w:pPr>
        <w:pStyle w:val="Bibliography"/>
      </w:pPr>
      <w:r>
        <w:t xml:space="preserve">Nelson, N. G., Cuchiara, M. L., Hendren, C. O., Jones, J. L., &amp; Marshall, A.-M. (2021). Hazardous spills at retired fertilizer manufacturing plants will continue to occur in the absence of scientific innovation and regulatory enforcement.</w:t>
      </w:r>
      <w:r>
        <w:t xml:space="preserve"> </w:t>
      </w:r>
      <w:r>
        <w:rPr>
          <w:i/>
          <w:iCs/>
        </w:rPr>
        <w:t xml:space="preserve">Environmental Science &amp; Technology</w:t>
      </w:r>
      <w:r>
        <w:t xml:space="preserve">,</w:t>
      </w:r>
      <w:r>
        <w:t xml:space="preserve"> </w:t>
      </w:r>
      <w:r>
        <w:rPr>
          <w:i/>
          <w:iCs/>
        </w:rPr>
        <w:t xml:space="preserve">55</w:t>
      </w:r>
      <w:r>
        <w:t xml:space="preserve">(24), 16267–16269.</w:t>
      </w:r>
      <w:r>
        <w:t xml:space="preserve"> </w:t>
      </w:r>
      <w:hyperlink r:id="rId110">
        <w:r>
          <w:rPr>
            <w:rStyle w:val="Hyperlink"/>
          </w:rPr>
          <w:t xml:space="preserve">https://doi.org/10.1021/acs.est.1c05311</w:t>
        </w:r>
      </w:hyperlink>
    </w:p>
    <w:bookmarkEnd w:id="111"/>
    <w:bookmarkStart w:id="113" w:name="ref-oliver2018"/>
    <w:p>
      <w:pPr>
        <w:pStyle w:val="Bibliography"/>
      </w:pPr>
      <w:r>
        <w:t xml:space="preserve">Oliver, E. C. J., Donat, M. G., Burrows, M. T., Moore, P. J., Smale, D. A., Alexander, L. V., Benthuysen, J. A., Feng, M., Sen Gupta, A., Hobday, A. J., Holbrook, N. J., Perkins-Kirkpatrick, S. E., Scannell, H. A., Straub, S. C., &amp; Wernberg, T. (2018). Longer and more frequent marine heatwaves over the past century.</w:t>
      </w:r>
      <w:r>
        <w:t xml:space="preserve"> </w:t>
      </w:r>
      <w:r>
        <w:rPr>
          <w:i/>
          <w:iCs/>
        </w:rPr>
        <w:t xml:space="preserve">Nature Communications</w:t>
      </w:r>
      <w:r>
        <w:t xml:space="preserve">,</w:t>
      </w:r>
      <w:r>
        <w:t xml:space="preserve"> </w:t>
      </w:r>
      <w:r>
        <w:rPr>
          <w:i/>
          <w:iCs/>
        </w:rPr>
        <w:t xml:space="preserve">9</w:t>
      </w:r>
      <w:r>
        <w:t xml:space="preserve">(1324).</w:t>
      </w:r>
      <w:r>
        <w:t xml:space="preserve"> </w:t>
      </w:r>
      <w:hyperlink r:id="rId112">
        <w:r>
          <w:rPr>
            <w:rStyle w:val="Hyperlink"/>
          </w:rPr>
          <w:t xml:space="preserve">https://doi.org/10.1038/s41467-018-03732-9</w:t>
        </w:r>
      </w:hyperlink>
    </w:p>
    <w:bookmarkEnd w:id="113"/>
    <w:bookmarkStart w:id="115" w:name="ref-schrandt2021"/>
    <w:p>
      <w:pPr>
        <w:pStyle w:val="Bibliography"/>
      </w:pPr>
      <w:r>
        <w:t xml:space="preserve">Schrandt, M. N., MacDonald, T. C., Sherwood, E. T., &amp; Beck, M. W. (2021). A multimetric nekton index for monitoring, managing and communicating ecosystem health status in an urbanized Gulf of Mexico estuary.</w:t>
      </w:r>
      <w:r>
        <w:t xml:space="preserve"> </w:t>
      </w:r>
      <w:r>
        <w:rPr>
          <w:i/>
          <w:iCs/>
        </w:rPr>
        <w:t xml:space="preserve">Ecological Indicators</w:t>
      </w:r>
      <w:r>
        <w:t xml:space="preserve">,</w:t>
      </w:r>
      <w:r>
        <w:t xml:space="preserve"> </w:t>
      </w:r>
      <w:r>
        <w:rPr>
          <w:i/>
          <w:iCs/>
        </w:rPr>
        <w:t xml:space="preserve">123</w:t>
      </w:r>
      <w:r>
        <w:t xml:space="preserve">, 107310.</w:t>
      </w:r>
      <w:r>
        <w:t xml:space="preserve"> </w:t>
      </w:r>
      <w:hyperlink r:id="rId114">
        <w:r>
          <w:rPr>
            <w:rStyle w:val="Hyperlink"/>
          </w:rPr>
          <w:t xml:space="preserve">https://doi.org/10.1016/j.ecolind.2020.107310</w:t>
        </w:r>
      </w:hyperlink>
    </w:p>
    <w:bookmarkEnd w:id="115"/>
    <w:bookmarkStart w:id="116" w:name="ref-scolaro2023"/>
    <w:p>
      <w:pPr>
        <w:pStyle w:val="Bibliography"/>
      </w:pPr>
      <w:r>
        <w:t xml:space="preserve">Scolaro, S., Beck, M. W., Burke, M. C., Raulerson, G. E., &amp; Sherwood, E. T. (2023). Piney</w:t>
      </w:r>
      <w:r>
        <w:t xml:space="preserve"> </w:t>
      </w:r>
      <w:r>
        <w:t xml:space="preserve">P</w:t>
      </w:r>
      <w:r>
        <w:t xml:space="preserve">oint, seagrass, and macroalgae: Impact assessment and a case for enhanced macroalgae monitoring.</w:t>
      </w:r>
      <w:r>
        <w:t xml:space="preserve"> </w:t>
      </w:r>
      <w:r>
        <w:rPr>
          <w:i/>
          <w:iCs/>
        </w:rPr>
        <w:t xml:space="preserve">Florida Scientist</w:t>
      </w:r>
      <w:r>
        <w:t xml:space="preserve">,</w:t>
      </w:r>
      <w:r>
        <w:t xml:space="preserve"> </w:t>
      </w:r>
      <w:r>
        <w:rPr>
          <w:i/>
          <w:iCs/>
        </w:rPr>
        <w:t xml:space="preserve">86</w:t>
      </w:r>
      <w:r>
        <w:t xml:space="preserve">, 2.</w:t>
      </w:r>
    </w:p>
    <w:bookmarkEnd w:id="116"/>
    <w:bookmarkStart w:id="118" w:name="ref-sherwood2013"/>
    <w:p>
      <w:pPr>
        <w:pStyle w:val="Bibliography"/>
      </w:pPr>
      <w:r>
        <w:t xml:space="preserve">Sherwood, E. T., &amp; Greening, H. S. (2013). Potential impacts and management implications of climate change on</w:t>
      </w:r>
      <w:r>
        <w:t xml:space="preserve"> </w:t>
      </w:r>
      <w:r>
        <w:t xml:space="preserve">T</w:t>
      </w:r>
      <w:r>
        <w:t xml:space="preserve">ampa</w:t>
      </w:r>
      <w:r>
        <w:t xml:space="preserve"> </w:t>
      </w:r>
      <w:r>
        <w:t xml:space="preserve">B</w:t>
      </w:r>
      <w:r>
        <w:t xml:space="preserve">ay estuary critical coastal habitats.</w:t>
      </w:r>
      <w:r>
        <w:t xml:space="preserve"> </w:t>
      </w:r>
      <w:r>
        <w:rPr>
          <w:i/>
          <w:iCs/>
        </w:rPr>
        <w:t xml:space="preserve">Environmental Management</w:t>
      </w:r>
      <w:r>
        <w:t xml:space="preserve">,</w:t>
      </w:r>
      <w:r>
        <w:t xml:space="preserve"> </w:t>
      </w:r>
      <w:r>
        <w:rPr>
          <w:i/>
          <w:iCs/>
        </w:rPr>
        <w:t xml:space="preserve">53</w:t>
      </w:r>
      <w:r>
        <w:t xml:space="preserve">(2), 401–415.</w:t>
      </w:r>
      <w:r>
        <w:t xml:space="preserve"> </w:t>
      </w:r>
      <w:hyperlink r:id="rId117">
        <w:r>
          <w:rPr>
            <w:rStyle w:val="Hyperlink"/>
          </w:rPr>
          <w:t xml:space="preserve">https://doi.org/10.1007/s00267-013-0179-5</w:t>
        </w:r>
      </w:hyperlink>
    </w:p>
    <w:bookmarkEnd w:id="118"/>
    <w:bookmarkStart w:id="120" w:name="ref-sherwood2016"/>
    <w:p>
      <w:pPr>
        <w:pStyle w:val="Bibliography"/>
      </w:pPr>
      <w:r>
        <w:t xml:space="preserve">Sherwood, E. T., Greening, H. S., Janicki, A. J., &amp; Karlen, D. J. (2016). Tampa Bay estuary: Monitoring long-term recovery through regional partnerships.</w:t>
      </w:r>
      <w:r>
        <w:t xml:space="preserve"> </w:t>
      </w:r>
      <w:r>
        <w:rPr>
          <w:i/>
          <w:iCs/>
        </w:rPr>
        <w:t xml:space="preserve">Regional Studies in Marine Science</w:t>
      </w:r>
      <w:r>
        <w:t xml:space="preserve">,</w:t>
      </w:r>
      <w:r>
        <w:t xml:space="preserve"> </w:t>
      </w:r>
      <w:r>
        <w:rPr>
          <w:i/>
          <w:iCs/>
        </w:rPr>
        <w:t xml:space="preserve">4</w:t>
      </w:r>
      <w:r>
        <w:t xml:space="preserve">, 1–11.</w:t>
      </w:r>
      <w:r>
        <w:t xml:space="preserve"> </w:t>
      </w:r>
      <w:hyperlink r:id="rId119">
        <w:r>
          <w:rPr>
            <w:rStyle w:val="Hyperlink"/>
          </w:rPr>
          <w:t xml:space="preserve">https://doi.org/10.1016/j.rsma.2015.05.005</w:t>
        </w:r>
      </w:hyperlink>
    </w:p>
    <w:bookmarkEnd w:id="120"/>
    <w:bookmarkStart w:id="122" w:name="ref-sherwood2017"/>
    <w:p>
      <w:pPr>
        <w:pStyle w:val="Bibliography"/>
      </w:pPr>
      <w:r>
        <w:t xml:space="preserve">Sherwood, E. T., Greening, H. S., Johansson, J. O. R., Kaufman, K., &amp; Raulerson, G. E. (2017). Tampa</w:t>
      </w:r>
      <w:r>
        <w:t xml:space="preserve"> </w:t>
      </w:r>
      <w:r>
        <w:t xml:space="preserve">B</w:t>
      </w:r>
      <w:r>
        <w:t xml:space="preserve">ay (</w:t>
      </w:r>
      <w:r>
        <w:t xml:space="preserve">F</w:t>
      </w:r>
      <w:r>
        <w:t xml:space="preserve">lorida,</w:t>
      </w:r>
      <w:r>
        <w:t xml:space="preserve"> </w:t>
      </w:r>
      <w:r>
        <w:t xml:space="preserve">USA</w:t>
      </w:r>
      <w:r>
        <w:t xml:space="preserve">): Documenting seagrass recovery since the 1980</w:t>
      </w:r>
      <w:r>
        <w:t xml:space="preserve">’</w:t>
      </w:r>
      <w:r>
        <w:t xml:space="preserve">s and reviewing the benefits.</w:t>
      </w:r>
      <w:r>
        <w:t xml:space="preserve"> </w:t>
      </w:r>
      <w:r>
        <w:rPr>
          <w:i/>
          <w:iCs/>
        </w:rPr>
        <w:t xml:space="preserve">Southeastern Geographer</w:t>
      </w:r>
      <w:r>
        <w:t xml:space="preserve">,</w:t>
      </w:r>
      <w:r>
        <w:t xml:space="preserve"> </w:t>
      </w:r>
      <w:r>
        <w:rPr>
          <w:i/>
          <w:iCs/>
        </w:rPr>
        <w:t xml:space="preserve">57</w:t>
      </w:r>
      <w:r>
        <w:t xml:space="preserve">(3), 294–319.</w:t>
      </w:r>
      <w:r>
        <w:t xml:space="preserve"> </w:t>
      </w:r>
      <w:hyperlink r:id="rId121">
        <w:r>
          <w:rPr>
            <w:rStyle w:val="Hyperlink"/>
          </w:rPr>
          <w:t xml:space="preserve">https://doi.org/10.1353/sgo.2017.0026</w:t>
        </w:r>
      </w:hyperlink>
    </w:p>
    <w:bookmarkEnd w:id="122"/>
    <w:bookmarkStart w:id="124" w:name="ref-tbep0525"/>
    <w:p>
      <w:pPr>
        <w:pStyle w:val="Bibliography"/>
      </w:pPr>
      <w:r>
        <w:t xml:space="preserve">Stantec Consulting Services, Inc. (2025).</w:t>
      </w:r>
      <w:r>
        <w:t xml:space="preserve"> </w:t>
      </w:r>
      <w:r>
        <w:rPr>
          <w:i/>
          <w:iCs/>
        </w:rPr>
        <w:t xml:space="preserve">O</w:t>
      </w:r>
      <w:r>
        <w:rPr>
          <w:i/>
          <w:iCs/>
        </w:rPr>
        <w:t xml:space="preserve">ld</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 assimilative capacity study: Task 2 evaluation of eutrophication indicator targets, thresholds, and numeric nutrient criteria and proposed adjustments</w:t>
      </w:r>
      <w:r>
        <w:t xml:space="preserve"> </w:t>
      </w:r>
      <w:r>
        <w:t xml:space="preserve">(05-25; p. 107). Tampa Bay Estuary Program.</w:t>
      </w:r>
      <w:r>
        <w:t xml:space="preserve"> </w:t>
      </w:r>
      <w:hyperlink r:id="rId123">
        <w:r>
          <w:rPr>
            <w:rStyle w:val="Hyperlink"/>
          </w:rPr>
          <w:t xml:space="preserve">https://drive.google.com/file/d/12xYfSs-4bxhLa1ZVQbmhQSv5Jo4Jf-oY/view?usp=sharing</w:t>
        </w:r>
      </w:hyperlink>
    </w:p>
    <w:bookmarkEnd w:id="124"/>
    <w:bookmarkStart w:id="125" w:name="ref-switzer2011"/>
    <w:p>
      <w:pPr>
        <w:pStyle w:val="Bibliography"/>
      </w:pPr>
      <w:r>
        <w:t xml:space="preserve">Switzer, T. S., Tyler-Jedlund, A. J., Rogers, K. R., Grier, H., McMichael Jr, R. H., &amp; Fox, S. (2011).</w:t>
      </w:r>
      <w:r>
        <w:t xml:space="preserve"> </w:t>
      </w:r>
      <w:r>
        <w:rPr>
          <w:i/>
          <w:iCs/>
        </w:rPr>
        <w:t xml:space="preserve">Response of estuarine nekton to the regulated discharge of treated phosphate-production process water</w:t>
      </w:r>
      <w:r>
        <w:t xml:space="preserve"> </w:t>
      </w:r>
      <w:r>
        <w:t xml:space="preserve">(p. 24). Florida Fish; Wildlife Conservation Commission, Fish; Wildlife Research Institute.</w:t>
      </w:r>
    </w:p>
    <w:bookmarkEnd w:id="125"/>
    <w:bookmarkStart w:id="127" w:name="ref-tbep2022"/>
    <w:p>
      <w:pPr>
        <w:pStyle w:val="Bibliography"/>
      </w:pPr>
      <w:r>
        <w:t xml:space="preserve">Tampa Bay Estuary Program. (2022).</w:t>
      </w:r>
      <w:r>
        <w:t xml:space="preserve"> </w:t>
      </w:r>
      <w:r>
        <w:rPr>
          <w:i/>
          <w:iCs/>
        </w:rPr>
        <w:t xml:space="preserve">Piney Point Monitoring</w:t>
      </w:r>
      <w:r>
        <w:t xml:space="preserve">. Tampa Bay Estuary Program.</w:t>
      </w:r>
      <w:r>
        <w:t xml:space="preserve"> </w:t>
      </w:r>
      <w:hyperlink r:id="rId126">
        <w:r>
          <w:rPr>
            <w:rStyle w:val="Hyperlink"/>
          </w:rPr>
          <w:t xml:space="preserve">https://tbep.org/piney-point/</w:t>
        </w:r>
      </w:hyperlink>
    </w:p>
    <w:bookmarkEnd w:id="127"/>
    <w:bookmarkStart w:id="129" w:name="ref-usdc2024"/>
    <w:p>
      <w:pPr>
        <w:pStyle w:val="Bibliography"/>
      </w:pPr>
      <w:r>
        <w:t xml:space="preserve">United States District Court, Middle District of Florida. (2024).</w:t>
      </w:r>
      <w:r>
        <w:t xml:space="preserve"> </w:t>
      </w:r>
      <w:r>
        <w:rPr>
          <w:i/>
          <w:iCs/>
        </w:rPr>
        <w:t xml:space="preserve">Order: Default judgment</w:t>
      </w:r>
      <w:r>
        <w:t xml:space="preserve">. Court Order.</w:t>
      </w:r>
      <w:r>
        <w:t xml:space="preserve"> </w:t>
      </w:r>
      <w:hyperlink r:id="rId128">
        <w:r>
          <w:rPr>
            <w:rStyle w:val="Hyperlink"/>
          </w:rPr>
          <w:t xml:space="preserve">https://biologicaldiversity.org/programs/environmental_health/pdfs/Default-Jugment-Order_HRK_Piney-Point.pdf</w:t>
        </w:r>
      </w:hyperlink>
    </w:p>
    <w:bookmarkEnd w:id="129"/>
    <w:bookmarkStart w:id="131" w:name="ref-usepa2025"/>
    <w:p>
      <w:pPr>
        <w:pStyle w:val="Bibliography"/>
      </w:pPr>
      <w:r>
        <w:t xml:space="preserve">U.S. Environmental Protection Agency. (2025).</w:t>
      </w:r>
      <w:r>
        <w:t xml:space="preserve"> </w:t>
      </w:r>
      <w:r>
        <w:rPr>
          <w:i/>
          <w:iCs/>
        </w:rPr>
        <w:t xml:space="preserve">TENORM: Fertilizer and Fertilizer Production Wastes</w:t>
      </w:r>
      <w:r>
        <w:t xml:space="preserve">. United States Environmental Protection Agency.</w:t>
      </w:r>
      <w:r>
        <w:t xml:space="preserve"> </w:t>
      </w:r>
      <w:hyperlink r:id="rId130">
        <w:r>
          <w:rPr>
            <w:rStyle w:val="Hyperlink"/>
          </w:rPr>
          <w:t xml:space="preserve">https://www.epa.gov/radiation/tenorm-fertilizer-and-fertilizer-production-wastes</w:t>
        </w:r>
      </w:hyperlink>
    </w:p>
    <w:bookmarkEnd w:id="131"/>
    <w:bookmarkEnd w:id="132"/>
    <w:bookmarkEnd w:id="133"/>
    <w:sectPr w:rsidR="00452488" w:rsidRPr="00452488" w:rsidSect="003C73CD">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962650"/>
      <w:docPartObj>
        <w:docPartGallery w:val="Page Numbers (Bottom of Page)"/>
        <w:docPartUnique/>
      </w:docPartObj>
    </w:sdtPr>
    <w:sdtEndPr>
      <w:rPr>
        <w:noProof/>
      </w:rPr>
    </w:sdtEndPr>
    <w:sdtContent>
      <w:p w14:paraId="741E02C2" w14:textId="09757D5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D778D" w14:textId="77777777" w:rsidR="003C73CD" w:rsidRDefault="003C73C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TBEP is part of a broader National Estuary Program consisting of 28 similar programs around the country that have been established as Congressionally-recognized</w:t>
      </w:r>
      <w:r>
        <w:t xml:space="preserve"> </w:t>
      </w:r>
      <w:r>
        <w:t xml:space="preserve">“estuaries of national significance”</w:t>
      </w:r>
      <w:r>
        <w:t xml:space="preserve">, each with their own local mission.</w:t>
      </w:r>
    </w:p>
  </w:footnote>
  <w:footnote w:id="25">
    <w:p>
      <w:pPr>
        <w:pStyle w:val="FootnoteText"/>
      </w:pPr>
      <w:r>
        <w:rPr>
          <w:rStyle w:val="FootnoteReference"/>
        </w:rPr>
        <w:footnoteRef/>
      </w:r>
      <w:r>
        <w:t xml:space="preserve"> </w:t>
      </w:r>
      <w:r>
        <w:t xml:space="preserve">The growth of organisms that convert inorganic nutrients from the environment into organic forms through processes like photosynthesis. These organisms establish the base of the food web from which all other organisms benefit.</w:t>
      </w:r>
    </w:p>
  </w:footnote>
  <w:footnote w:id="26">
    <w:p>
      <w:pPr>
        <w:pStyle w:val="FootnoteText"/>
      </w:pPr>
      <w:r>
        <w:rPr>
          <w:rStyle w:val="FootnoteReference"/>
        </w:rPr>
        <w:footnoteRef/>
      </w:r>
      <w:r>
        <w:t xml:space="preserve"> </w:t>
      </w:r>
      <w:r>
        <w:t xml:space="preserve">Mulberry Phosphates was a prominent fertilizer production company in Florida at the time and was also responsible for an unintentional spill in 1997 of fertilizer process water into the Alafia River, the second largest tributary to Tampa Bay, resulting in a massive fish kill</w:t>
      </w:r>
      <w:r>
        <w:t xml:space="preserve"> </w:t>
      </w:r>
      <w:r>
        <w:t xml:space="preserve">(DiPinto et al., 2001)</w:t>
      </w:r>
      <w:r>
        <w:t xml:space="preserve">. Similarly, wastewater from Piney Point was released to Bishop Harbor in 2001 due to tropical storm activity and again from late 2003 to early 2004 to ease pressure on the gypstacks. The impacts of these events were not well studied, although</w:t>
      </w:r>
      <w:r>
        <w:t xml:space="preserve"> </w:t>
      </w:r>
      <w:r>
        <w:t xml:space="preserve">Garrett et al. (2011)</w:t>
      </w:r>
      <w:r>
        <w:t xml:space="preserve"> </w:t>
      </w:r>
      <w:r>
        <w:t xml:space="preserve">documented occurrences of potentially harmful algal species near the discharge site, and</w:t>
      </w:r>
      <w:r>
        <w:t xml:space="preserve"> </w:t>
      </w:r>
      <w:r>
        <w:t xml:space="preserve">Switzer et al. (2011)</w:t>
      </w:r>
      <w:r>
        <w:t xml:space="preserve"> </w:t>
      </w:r>
      <w:r>
        <w:t xml:space="preserve">noted increased macroalgal blooms. Wastewater was also barged offshore and disposed into the Gulf of Mexico during this time, as another attempt to maintain the integrity of the facility.</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A6F42C1D"/>
    <w:multiLevelType w:val="multilevel"/>
    <w:tmpl w:val="45FC3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0BBEBA2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3ACC0CC6"/>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5C746208"/>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4C9A394A"/>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2C728B4C"/>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E646BB8C"/>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BBB8F25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8D4685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F23C9B0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83247984"/>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1700DEA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21725581"/>
    <w:multiLevelType w:val="hybridMultilevel"/>
    <w:tmpl w:val="DE3A0DD4"/>
    <w:lvl w:ilvl="0" w:tplc="04090001">
      <w:start w:val="1"/>
      <w:numFmt w:val="bullet"/>
      <w:lvlText w:val=""/>
      <w:lvlJc w:val="left"/>
      <w:pPr>
        <w:ind w:hanging="360" w:left="360"/>
      </w:pPr>
      <w:rPr>
        <w:rFonts w:ascii="Symbol" w:hAnsi="Symbol" w:hint="default"/>
      </w:rPr>
    </w:lvl>
    <w:lvl w:ilvl="1" w:tplc="04090003">
      <w:start w:val="1"/>
      <w:numFmt w:val="bullet"/>
      <w:lvlText w:val="o"/>
      <w:lvlJc w:val="left"/>
      <w:pPr>
        <w:ind w:hanging="360" w:left="1080"/>
      </w:pPr>
      <w:rPr>
        <w:rFonts w:ascii="Courier New" w:cs="Courier New"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44401467" w:numId="1">
    <w:abstractNumId w:val="1"/>
  </w:num>
  <w:num w16cid:durableId="684594278" w:numId="2">
    <w:abstractNumId w:val="0"/>
  </w:num>
  <w:num w16cid:durableId="2135755371" w:numId="3">
    <w:abstractNumId w:val="11"/>
  </w:num>
  <w:num w16cid:durableId="521864421" w:numId="4">
    <w:abstractNumId w:val="9"/>
  </w:num>
  <w:num w16cid:durableId="1294285200" w:numId="5">
    <w:abstractNumId w:val="8"/>
  </w:num>
  <w:num w16cid:durableId="1525821760" w:numId="6">
    <w:abstractNumId w:val="7"/>
  </w:num>
  <w:num w16cid:durableId="1834224836" w:numId="7">
    <w:abstractNumId w:val="6"/>
  </w:num>
  <w:num w16cid:durableId="672300852" w:numId="8">
    <w:abstractNumId w:val="10"/>
  </w:num>
  <w:num w16cid:durableId="708917550" w:numId="9">
    <w:abstractNumId w:val="5"/>
  </w:num>
  <w:num w16cid:durableId="1329821261" w:numId="10">
    <w:abstractNumId w:val="4"/>
  </w:num>
  <w:num w16cid:durableId="634485812" w:numId="11">
    <w:abstractNumId w:val="3"/>
  </w:num>
  <w:num w16cid:durableId="1296912930" w:numId="12">
    <w:abstractNumId w:val="2"/>
  </w:num>
  <w:num w16cid:durableId="1406682967" w:numId="13">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6425B"/>
    <w:rsid w:val="000E00B6"/>
    <w:rsid w:val="00112C98"/>
    <w:rsid w:val="003C73CD"/>
    <w:rsid w:val="004015EC"/>
    <w:rsid w:val="004324DB"/>
    <w:rsid w:val="00452488"/>
    <w:rsid w:val="00473C8F"/>
    <w:rsid w:val="004E29B3"/>
    <w:rsid w:val="00537D25"/>
    <w:rsid w:val="00590D07"/>
    <w:rsid w:val="00612AF7"/>
    <w:rsid w:val="006E0FFF"/>
    <w:rsid w:val="0073059C"/>
    <w:rsid w:val="007504EE"/>
    <w:rsid w:val="00752863"/>
    <w:rsid w:val="007747C2"/>
    <w:rsid w:val="00784D58"/>
    <w:rsid w:val="008D6863"/>
    <w:rsid w:val="008E7A52"/>
    <w:rsid w:val="00957057"/>
    <w:rsid w:val="009A4565"/>
    <w:rsid w:val="009D268C"/>
    <w:rsid w:val="00B04FBE"/>
    <w:rsid w:val="00B4354F"/>
    <w:rsid w:val="00B86B75"/>
    <w:rsid w:val="00BA6E48"/>
    <w:rsid w:val="00BC48D5"/>
    <w:rsid w:val="00BD3235"/>
    <w:rsid w:val="00C06FC4"/>
    <w:rsid w:val="00C242C7"/>
    <w:rsid w:val="00C36279"/>
    <w:rsid w:val="00C80801"/>
    <w:rsid w:val="00D20E66"/>
    <w:rsid w:val="00D40009"/>
    <w:rsid w:val="00DB2749"/>
    <w:rsid w:val="00E315A3"/>
    <w:rsid w:val="00F63F6A"/>
    <w:rsid w:val="00F9205D"/>
    <w:rsid w:val="00FC21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80801"/>
    <w:rPr>
      <w:rFonts w:ascii="Times New Roman" w:hAnsi="Times New Roman"/>
    </w:rPr>
  </w:style>
  <w:style w:styleId="Heading1" w:type="paragraph">
    <w:name w:val="heading 1"/>
    <w:basedOn w:val="Normal"/>
    <w:next w:val="BodyText"/>
    <w:uiPriority w:val="9"/>
    <w:qFormat/>
    <w:rsid w:val="00D4000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57057"/>
    <w:pPr>
      <w:keepNext/>
      <w:keepLines/>
      <w:spacing w:after="0"/>
      <w:outlineLvl w:val="1"/>
    </w:pPr>
    <w:rPr>
      <w:rFonts w:cstheme="majorBidi" w:eastAsiaTheme="majorEastAsia"/>
      <w:b/>
      <w:bCs/>
      <w:color w:themeColor="text1" w:val="000000"/>
      <w:sz w:val="32"/>
      <w:szCs w:val="32"/>
    </w:rPr>
  </w:style>
  <w:style w:styleId="Heading3" w:type="paragraph">
    <w:name w:val="heading 3"/>
    <w:basedOn w:val="Normal"/>
    <w:next w:val="BodyText"/>
    <w:uiPriority w:val="9"/>
    <w:unhideWhenUsed/>
    <w:qFormat/>
    <w:rsid w:val="00752863"/>
    <w:pPr>
      <w:keepNext/>
      <w:keepLines/>
      <w:spacing w:before="200"/>
      <w:outlineLvl w:val="2"/>
    </w:pPr>
    <w:rPr>
      <w:rFonts w:cstheme="majorBidi" w:eastAsiaTheme="majorEastAsia"/>
      <w:b/>
      <w:bCs/>
      <w:color w:themeColor="text1" w:val="000000"/>
      <w:sz w:val="28"/>
      <w:szCs w:val="28"/>
    </w:rPr>
  </w:style>
  <w:style w:styleId="Heading4" w:type="paragraph">
    <w:name w:val="heading 4"/>
    <w:basedOn w:val="Normal"/>
    <w:next w:val="BodyText"/>
    <w:uiPriority w:val="9"/>
    <w:unhideWhenUsed/>
    <w:qFormat/>
    <w:rsid w:val="00D40009"/>
    <w:pPr>
      <w:keepNext/>
      <w:keepLines/>
      <w:spacing w:after="0" w:before="200"/>
      <w:outlineLvl w:val="3"/>
    </w:pPr>
    <w:rPr>
      <w:rFonts w:cstheme="majorBidi" w:eastAsiaTheme="majorEastAsia"/>
      <w:b/>
      <w:bCs/>
      <w:color w:themeColor="text1" w:val="000000"/>
    </w:rPr>
  </w:style>
  <w:style w:styleId="Heading5" w:type="paragraph">
    <w:name w:val="heading 5"/>
    <w:basedOn w:val="Normal"/>
    <w:next w:val="BodyText"/>
    <w:uiPriority w:val="9"/>
    <w:unhideWhenUsed/>
    <w:qFormat/>
    <w:rsid w:val="00D40009"/>
    <w:pPr>
      <w:keepNext/>
      <w:keepLines/>
      <w:spacing w:after="0" w:before="200"/>
      <w:outlineLvl w:val="4"/>
    </w:pPr>
    <w:rPr>
      <w:rFonts w:cstheme="majorBidi" w:eastAsiaTheme="majorEastAsia"/>
      <w:i/>
      <w:iCs/>
      <w:color w:themeColor="text1" w:val="000000"/>
    </w:rPr>
  </w:style>
  <w:style w:styleId="Heading6" w:type="paragraph">
    <w:name w:val="heading 6"/>
    <w:basedOn w:val="Normal"/>
    <w:next w:val="BodyText"/>
    <w:uiPriority w:val="9"/>
    <w:unhideWhenUsed/>
    <w:qFormat/>
    <w:rsid w:val="00D40009"/>
    <w:pPr>
      <w:keepNext/>
      <w:keepLines/>
      <w:spacing w:after="0" w:before="200"/>
      <w:outlineLvl w:val="5"/>
    </w:pPr>
    <w:rPr>
      <w:rFonts w:cstheme="majorBidi" w:eastAsiaTheme="majorEastAsia"/>
      <w:color w:themeColor="text1" w:val="000000"/>
    </w:rPr>
  </w:style>
  <w:style w:styleId="Heading8" w:type="paragraph">
    <w:name w:val="heading 8"/>
    <w:basedOn w:val="Normal"/>
    <w:next w:val="Normal"/>
    <w:link w:val="Heading8Char"/>
    <w:rsid w:val="00C80801"/>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04FBE"/>
    <w:pPr>
      <w:spacing w:after="180" w:before="180" w:line="480" w:lineRule="auto"/>
    </w:pPr>
  </w:style>
  <w:style w:customStyle="1" w:styleId="FirstParagraph" w:type="paragraph">
    <w:name w:val="First Paragraph"/>
    <w:basedOn w:val="BodyText"/>
    <w:next w:val="BodyText"/>
    <w:qFormat/>
    <w:rsid w:val="00D20E66"/>
  </w:style>
  <w:style w:customStyle="1" w:styleId="Compact" w:type="paragraph">
    <w:name w:val="Compact"/>
    <w:basedOn w:val="BodyText"/>
    <w:qFormat/>
    <w:rsid w:val="00452488"/>
    <w:pPr>
      <w:spacing w:after="0" w:before="0" w:line="240" w:lineRule="auto"/>
    </w:pPr>
  </w:style>
  <w:style w:styleId="Title" w:type="paragraph">
    <w:name w:val="Title"/>
    <w:basedOn w:val="Normal"/>
    <w:next w:val="BodyText"/>
    <w:qFormat/>
    <w:rsid w:val="00D4000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9205D"/>
    <w:pPr>
      <w:keepNext/>
      <w:keepLines/>
      <w:jc w:val="center"/>
    </w:pPr>
    <w:rPr>
      <w:rFonts w:ascii="Times New Roman" w:hAnsi="Times New Roman"/>
    </w:rPr>
  </w:style>
  <w:style w:styleId="Date" w:type="paragraph">
    <w:name w:val="Date"/>
    <w:next w:val="BodyText"/>
    <w:qFormat/>
    <w:rsid w:val="00F9205D"/>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747C2"/>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04FBE"/>
    <w:rPr>
      <w:rFonts w:ascii="Times New Roman" w:hAnsi="Times New Roman"/>
    </w:rPr>
  </w:style>
  <w:style w:styleId="ListContinue" w:type="paragraph">
    <w:name w:val="List Continue"/>
    <w:basedOn w:val="Normal"/>
    <w:semiHidden/>
    <w:unhideWhenUsed/>
    <w:rsid w:val="007747C2"/>
    <w:pPr>
      <w:spacing w:after="120"/>
      <w:ind w:left="360"/>
      <w:contextualSpacing/>
    </w:pPr>
  </w:style>
  <w:style w:styleId="ListParagraph" w:type="paragraph">
    <w:name w:val="List Paragraph"/>
    <w:basedOn w:val="Normal"/>
    <w:rsid w:val="007747C2"/>
    <w:pPr>
      <w:ind w:left="720"/>
      <w:contextualSpacing/>
    </w:pPr>
  </w:style>
  <w:style w:styleId="List" w:type="paragraph">
    <w:name w:val="List"/>
    <w:basedOn w:val="Normal"/>
    <w:semiHidden/>
    <w:unhideWhenUsed/>
    <w:rsid w:val="00BD3235"/>
    <w:pPr>
      <w:ind w:hanging="360" w:left="360"/>
      <w:contextualSpacing/>
    </w:pPr>
  </w:style>
  <w:style w:styleId="List2" w:type="paragraph">
    <w:name w:val="List 2"/>
    <w:basedOn w:val="Normal"/>
    <w:semiHidden/>
    <w:unhideWhenUsed/>
    <w:rsid w:val="00BD3235"/>
    <w:pPr>
      <w:ind w:hanging="360" w:left="720"/>
      <w:contextualSpacing/>
    </w:pPr>
  </w:style>
  <w:style w:styleId="List3" w:type="paragraph">
    <w:name w:val="List 3"/>
    <w:basedOn w:val="Normal"/>
    <w:semiHidden/>
    <w:unhideWhenUsed/>
    <w:rsid w:val="00BD3235"/>
    <w:pPr>
      <w:ind w:hanging="360" w:left="1080"/>
      <w:contextualSpacing/>
    </w:pPr>
  </w:style>
  <w:style w:styleId="List4" w:type="paragraph">
    <w:name w:val="List 4"/>
    <w:basedOn w:val="Normal"/>
    <w:semiHidden/>
    <w:unhideWhenUsed/>
    <w:rsid w:val="00BD3235"/>
    <w:pPr>
      <w:ind w:hanging="360" w:left="1440"/>
      <w:contextualSpacing/>
    </w:pPr>
  </w:style>
  <w:style w:styleId="List5" w:type="paragraph">
    <w:name w:val="List 5"/>
    <w:basedOn w:val="Normal"/>
    <w:semiHidden/>
    <w:unhideWhenUsed/>
    <w:rsid w:val="00BD3235"/>
    <w:pPr>
      <w:ind w:hanging="360" w:left="1800"/>
      <w:contextualSpacing/>
    </w:pPr>
  </w:style>
  <w:style w:styleId="Index1" w:type="paragraph">
    <w:name w:val="index 1"/>
    <w:basedOn w:val="Normal"/>
    <w:next w:val="Normal"/>
    <w:autoRedefine/>
    <w:rsid w:val="00C242C7"/>
    <w:pPr>
      <w:spacing w:after="0"/>
      <w:ind w:hanging="240" w:left="240"/>
    </w:pPr>
  </w:style>
  <w:style w:styleId="ListBullet" w:type="paragraph">
    <w:name w:val="List Bullet"/>
    <w:basedOn w:val="Normal"/>
    <w:semiHidden/>
    <w:unhideWhenUsed/>
    <w:rsid w:val="00C242C7"/>
    <w:pPr>
      <w:numPr>
        <w:numId w:val="3"/>
      </w:numPr>
      <w:contextualSpacing/>
    </w:pPr>
  </w:style>
  <w:style w:styleId="ListBullet2" w:type="paragraph">
    <w:name w:val="List Bullet 2"/>
    <w:basedOn w:val="Normal"/>
    <w:rsid w:val="00C242C7"/>
    <w:pPr>
      <w:numPr>
        <w:numId w:val="4"/>
      </w:numPr>
      <w:contextualSpacing/>
    </w:pPr>
  </w:style>
  <w:style w:styleId="ListBullet3" w:type="paragraph">
    <w:name w:val="List Bullet 3"/>
    <w:basedOn w:val="Normal"/>
    <w:semiHidden/>
    <w:unhideWhenUsed/>
    <w:rsid w:val="00C242C7"/>
    <w:pPr>
      <w:numPr>
        <w:numId w:val="5"/>
      </w:numPr>
      <w:contextualSpacing/>
    </w:pPr>
  </w:style>
  <w:style w:styleId="ListBullet4" w:type="paragraph">
    <w:name w:val="List Bullet 4"/>
    <w:basedOn w:val="Normal"/>
    <w:semiHidden/>
    <w:unhideWhenUsed/>
    <w:rsid w:val="00C242C7"/>
    <w:pPr>
      <w:numPr>
        <w:numId w:val="6"/>
      </w:numPr>
      <w:contextualSpacing/>
    </w:pPr>
  </w:style>
  <w:style w:styleId="ListBullet5" w:type="paragraph">
    <w:name w:val="List Bullet 5"/>
    <w:basedOn w:val="Normal"/>
    <w:rsid w:val="008E7A52"/>
    <w:pPr>
      <w:numPr>
        <w:numId w:val="7"/>
      </w:numPr>
      <w:contextualSpacing/>
    </w:pPr>
  </w:style>
  <w:style w:customStyle="1" w:styleId="Heading8Char" w:type="character">
    <w:name w:val="Heading 8 Char"/>
    <w:basedOn w:val="DefaultParagraphFont"/>
    <w:link w:val="Heading8"/>
    <w:rsid w:val="00C80801"/>
    <w:rPr>
      <w:rFonts w:asciiTheme="majorHAnsi" w:cstheme="majorBidi" w:eastAsiaTheme="majorEastAsia" w:hAnsiTheme="majorHAnsi"/>
      <w:color w:themeColor="text1" w:themeTint="D8" w:val="272727"/>
      <w:sz w:val="21"/>
      <w:szCs w:val="21"/>
    </w:rPr>
  </w:style>
  <w:style w:styleId="TOC1" w:type="paragraph">
    <w:name w:val="toc 1"/>
    <w:basedOn w:val="Normal"/>
    <w:next w:val="Normal"/>
    <w:autoRedefine/>
    <w:semiHidden/>
    <w:unhideWhenUsed/>
    <w:rsid w:val="00C80801"/>
    <w:pPr>
      <w:spacing w:after="100"/>
    </w:pPr>
  </w:style>
  <w:style w:styleId="TOC2" w:type="paragraph">
    <w:name w:val="toc 2"/>
    <w:basedOn w:val="Normal"/>
    <w:next w:val="Normal"/>
    <w:autoRedefine/>
    <w:semiHidden/>
    <w:unhideWhenUsed/>
    <w:rsid w:val="00C80801"/>
    <w:pPr>
      <w:spacing w:after="100"/>
      <w:ind w:left="240"/>
    </w:pPr>
  </w:style>
  <w:style w:styleId="TOC3" w:type="paragraph">
    <w:name w:val="toc 3"/>
    <w:basedOn w:val="Normal"/>
    <w:next w:val="Normal"/>
    <w:autoRedefine/>
    <w:semiHidden/>
    <w:unhideWhenUsed/>
    <w:rsid w:val="00C80801"/>
    <w:pPr>
      <w:spacing w:after="100"/>
      <w:ind w:left="480"/>
    </w:pPr>
  </w:style>
  <w:style w:styleId="Header" w:type="paragraph">
    <w:name w:val="header"/>
    <w:basedOn w:val="Normal"/>
    <w:link w:val="HeaderChar"/>
    <w:unhideWhenUsed/>
    <w:rsid w:val="003C73CD"/>
    <w:pPr>
      <w:tabs>
        <w:tab w:pos="4680" w:val="center"/>
        <w:tab w:pos="9360" w:val="right"/>
      </w:tabs>
      <w:spacing w:after="0"/>
    </w:pPr>
  </w:style>
  <w:style w:customStyle="1" w:styleId="HeaderChar" w:type="character">
    <w:name w:val="Header Char"/>
    <w:basedOn w:val="DefaultParagraphFont"/>
    <w:link w:val="Header"/>
    <w:rsid w:val="003C73CD"/>
    <w:rPr>
      <w:rFonts w:ascii="Times New Roman" w:hAnsi="Times New Roman"/>
    </w:rPr>
  </w:style>
  <w:style w:styleId="Footer" w:type="paragraph">
    <w:name w:val="footer"/>
    <w:basedOn w:val="Normal"/>
    <w:link w:val="FooterChar"/>
    <w:uiPriority w:val="99"/>
    <w:unhideWhenUsed/>
    <w:rsid w:val="003C73CD"/>
    <w:pPr>
      <w:tabs>
        <w:tab w:pos="4680" w:val="center"/>
        <w:tab w:pos="9360" w:val="right"/>
      </w:tabs>
      <w:spacing w:after="0"/>
    </w:pPr>
  </w:style>
  <w:style w:customStyle="1" w:styleId="FooterChar" w:type="character">
    <w:name w:val="Footer Char"/>
    <w:basedOn w:val="DefaultParagraphFont"/>
    <w:link w:val="Footer"/>
    <w:uiPriority w:val="99"/>
    <w:rsid w:val="003C73CD"/>
    <w:rPr>
      <w:rFonts w:ascii="Times New Roman" w:hAnsi="Times New Roman"/>
    </w:rPr>
  </w:style>
  <w:style w:styleId="LineNumber" w:type="charact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40" Target="media/rId40.jp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34" Target="media/rId34.png"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hyperlink" Id="rId128" Target="https://biologicaldiversity.org/programs/environmental_health/pdfs/Default-Jugment-Order_HRK_Piney-Point.pdf" TargetMode="External" /><Relationship Type="http://schemas.openxmlformats.org/officeDocument/2006/relationships/hyperlink" Id="rId84" Target="https://ca.dep.state.fl.us/arcgis/rest/services/OpenData/GYPSUMSTACKS/MapServer/0" TargetMode="External" /><Relationship Type="http://schemas.openxmlformats.org/officeDocument/2006/relationships/hyperlink" Id="rId67" Target="https://content.govdelivery.com/attachments/FLDEP/2022/03/31/file_attachments/2118832/ConceptualClosurePlan03252022_revisedsmall.pdf" TargetMode="External" /><Relationship Type="http://schemas.openxmlformats.org/officeDocument/2006/relationships/hyperlink" Id="rId38" Target="https://creativecommons.org/licenses/by-sa/4.0/" TargetMode="External" /><Relationship Type="http://schemas.openxmlformats.org/officeDocument/2006/relationships/hyperlink" Id="rId81" Target="https://doi.org/10.1002/lno.12420" TargetMode="External" /><Relationship Type="http://schemas.openxmlformats.org/officeDocument/2006/relationships/hyperlink" Id="rId90" Target="https://doi.org/10.1007/s00267-005-0079-4" TargetMode="External" /><Relationship Type="http://schemas.openxmlformats.org/officeDocument/2006/relationships/hyperlink" Id="rId117" Target="https://doi.org/10.1007/s00267-013-0179-5" TargetMode="External" /><Relationship Type="http://schemas.openxmlformats.org/officeDocument/2006/relationships/hyperlink" Id="rId74" Target="https://doi.org/10.1007/s12237-019-00619-w" TargetMode="External" /><Relationship Type="http://schemas.openxmlformats.org/officeDocument/2006/relationships/hyperlink" Id="rId72" Target="https://doi.org/10.1007/s12237-024-01385-0" TargetMode="External" /><Relationship Type="http://schemas.openxmlformats.org/officeDocument/2006/relationships/hyperlink" Id="rId114" Target="https://doi.org/10.1016/j.ecolind.2020.107310" TargetMode="External" /><Relationship Type="http://schemas.openxmlformats.org/officeDocument/2006/relationships/hyperlink" Id="rId79" Target="https://doi.org/10.1016/j.ecolind.2025.113329" TargetMode="External" /><Relationship Type="http://schemas.openxmlformats.org/officeDocument/2006/relationships/hyperlink" Id="rId92" Target="https://doi.org/10.1016/j.ecss.2014.10.003" TargetMode="External" /><Relationship Type="http://schemas.openxmlformats.org/officeDocument/2006/relationships/hyperlink" Id="rId77" Target="https://doi.org/10.1016/j.jclepro.2023.137561" TargetMode="External" /><Relationship Type="http://schemas.openxmlformats.org/officeDocument/2006/relationships/hyperlink" Id="rId94" Target="https://doi.org/10.1016/j.jenvman.2016.11.018" TargetMode="External" /><Relationship Type="http://schemas.openxmlformats.org/officeDocument/2006/relationships/hyperlink" Id="rId88" Target="https://doi.org/10.1016/j.marpolbul.2010.11.017" TargetMode="External" /><Relationship Type="http://schemas.openxmlformats.org/officeDocument/2006/relationships/hyperlink" Id="rId69" Target="https://doi.org/10.1016/j.marpolbul.2022.113598" TargetMode="External" /><Relationship Type="http://schemas.openxmlformats.org/officeDocument/2006/relationships/hyperlink" Id="rId105" Target="https://doi.org/10.1016/j.marpolbul.2023.115840" TargetMode="External" /><Relationship Type="http://schemas.openxmlformats.org/officeDocument/2006/relationships/hyperlink" Id="rId119" Target="https://doi.org/10.1016/j.rsma.2015.05.005" TargetMode="External" /><Relationship Type="http://schemas.openxmlformats.org/officeDocument/2006/relationships/hyperlink" Id="rId110" Target="https://doi.org/10.1021/acs.est.1c05311" TargetMode="External" /><Relationship Type="http://schemas.openxmlformats.org/officeDocument/2006/relationships/hyperlink" Id="rId112" Target="https://doi.org/10.1038/s41467-018-03732-9" TargetMode="External" /><Relationship Type="http://schemas.openxmlformats.org/officeDocument/2006/relationships/hyperlink" Id="rId121" Target="https://doi.org/10.1353/sgo.2017.0026" TargetMode="External" /><Relationship Type="http://schemas.openxmlformats.org/officeDocument/2006/relationships/hyperlink" Id="rId108" Target="https://doi.org/10.3389/fevo.2023.1144778" TargetMode="External" /><Relationship Type="http://schemas.openxmlformats.org/officeDocument/2006/relationships/hyperlink" Id="rId123" Target="https://drive.google.com/file/d/12xYfSs-4bxhLa1ZVQbmhQSv5Jo4Jf-oY/view?usp=sharing" TargetMode="External" /><Relationship Type="http://schemas.openxmlformats.org/officeDocument/2006/relationships/hyperlink" Id="rId101" Target="https://drive.google.com/file/d/1KARuSC5fGx05MuT1wiOQFWNXysBokkQl/view?usp=share_link" TargetMode="External" /><Relationship Type="http://schemas.openxmlformats.org/officeDocument/2006/relationships/hyperlink" Id="rId99" Target="https://drive.google.com/file/d/1XMULU8w4syWcSv_ciOUOhnC_G4xt6GIF/view?usp=drivesdk" TargetMode="External" /><Relationship Type="http://schemas.openxmlformats.org/officeDocument/2006/relationships/hyperlink" Id="rId97" Target="https://drive.google.com/file/d/1kZkvuprvsMyN9nPS5PHYvXHyo1KQxKTr/view?usp=drivesdk" TargetMode="External" /><Relationship Type="http://schemas.openxmlformats.org/officeDocument/2006/relationships/hyperlink" Id="rId37" Target="https://ian.umces.edu/media-library" TargetMode="External" /><Relationship Type="http://schemas.openxmlformats.org/officeDocument/2006/relationships/hyperlink" Id="rId86" Target="https://myfwc.com/research/manatee/rescue-mortality-response/statistics/mortality/red-tide/" TargetMode="External" /><Relationship Type="http://schemas.openxmlformats.org/officeDocument/2006/relationships/hyperlink" Id="rId126" Target="https://tbep.org/piney-point/" TargetMode="External" /><Relationship Type="http://schemas.openxmlformats.org/officeDocument/2006/relationships/hyperlink" Id="rId130" Target="https://www.epa.gov/radiation/tenorm-fertilizer-and-fertilizer-production-wastes" TargetMode="External" /><Relationship Type="http://schemas.openxmlformats.org/officeDocument/2006/relationships/hyperlink" Id="rId65" Target="https://www.tampabay28.com/news/region-pinellas/new-report-shows-fish-health-in-tampa-bay-area-at-its-worst-since-2008" TargetMode="External" /><Relationship Type="http://schemas.openxmlformats.org/officeDocument/2006/relationships/hyperlink" Id="rId20" Target="mailto:mbeck@tbep.org" TargetMode="External" /></Relationships>
</file>

<file path=word/_rels/footnotes.xml.rels><?xml version="1.0" encoding="UTF-8"?><Relationships xmlns="http://schemas.openxmlformats.org/package/2006/relationships"><Relationship Type="http://schemas.openxmlformats.org/officeDocument/2006/relationships/hyperlink" Id="rId128" Target="https://biologicaldiversity.org/programs/environmental_health/pdfs/Default-Jugment-Order_HRK_Piney-Point.pdf" TargetMode="External" /><Relationship Type="http://schemas.openxmlformats.org/officeDocument/2006/relationships/hyperlink" Id="rId84" Target="https://ca.dep.state.fl.us/arcgis/rest/services/OpenData/GYPSUMSTACKS/MapServer/0" TargetMode="External" /><Relationship Type="http://schemas.openxmlformats.org/officeDocument/2006/relationships/hyperlink" Id="rId67" Target="https://content.govdelivery.com/attachments/FLDEP/2022/03/31/file_attachments/2118832/ConceptualClosurePlan03252022_revisedsmall.pdf" TargetMode="External" /><Relationship Type="http://schemas.openxmlformats.org/officeDocument/2006/relationships/hyperlink" Id="rId38" Target="https://creativecommons.org/licenses/by-sa/4.0/" TargetMode="External" /><Relationship Type="http://schemas.openxmlformats.org/officeDocument/2006/relationships/hyperlink" Id="rId81" Target="https://doi.org/10.1002/lno.12420" TargetMode="External" /><Relationship Type="http://schemas.openxmlformats.org/officeDocument/2006/relationships/hyperlink" Id="rId90" Target="https://doi.org/10.1007/s00267-005-0079-4" TargetMode="External" /><Relationship Type="http://schemas.openxmlformats.org/officeDocument/2006/relationships/hyperlink" Id="rId117" Target="https://doi.org/10.1007/s00267-013-0179-5" TargetMode="External" /><Relationship Type="http://schemas.openxmlformats.org/officeDocument/2006/relationships/hyperlink" Id="rId74" Target="https://doi.org/10.1007/s12237-019-00619-w" TargetMode="External" /><Relationship Type="http://schemas.openxmlformats.org/officeDocument/2006/relationships/hyperlink" Id="rId72" Target="https://doi.org/10.1007/s12237-024-01385-0" TargetMode="External" /><Relationship Type="http://schemas.openxmlformats.org/officeDocument/2006/relationships/hyperlink" Id="rId114" Target="https://doi.org/10.1016/j.ecolind.2020.107310" TargetMode="External" /><Relationship Type="http://schemas.openxmlformats.org/officeDocument/2006/relationships/hyperlink" Id="rId79" Target="https://doi.org/10.1016/j.ecolind.2025.113329" TargetMode="External" /><Relationship Type="http://schemas.openxmlformats.org/officeDocument/2006/relationships/hyperlink" Id="rId92" Target="https://doi.org/10.1016/j.ecss.2014.10.003" TargetMode="External" /><Relationship Type="http://schemas.openxmlformats.org/officeDocument/2006/relationships/hyperlink" Id="rId77" Target="https://doi.org/10.1016/j.jclepro.2023.137561" TargetMode="External" /><Relationship Type="http://schemas.openxmlformats.org/officeDocument/2006/relationships/hyperlink" Id="rId94" Target="https://doi.org/10.1016/j.jenvman.2016.11.018" TargetMode="External" /><Relationship Type="http://schemas.openxmlformats.org/officeDocument/2006/relationships/hyperlink" Id="rId88" Target="https://doi.org/10.1016/j.marpolbul.2010.11.017" TargetMode="External" /><Relationship Type="http://schemas.openxmlformats.org/officeDocument/2006/relationships/hyperlink" Id="rId69" Target="https://doi.org/10.1016/j.marpolbul.2022.113598" TargetMode="External" /><Relationship Type="http://schemas.openxmlformats.org/officeDocument/2006/relationships/hyperlink" Id="rId105" Target="https://doi.org/10.1016/j.marpolbul.2023.115840" TargetMode="External" /><Relationship Type="http://schemas.openxmlformats.org/officeDocument/2006/relationships/hyperlink" Id="rId119" Target="https://doi.org/10.1016/j.rsma.2015.05.005" TargetMode="External" /><Relationship Type="http://schemas.openxmlformats.org/officeDocument/2006/relationships/hyperlink" Id="rId110" Target="https://doi.org/10.1021/acs.est.1c05311" TargetMode="External" /><Relationship Type="http://schemas.openxmlformats.org/officeDocument/2006/relationships/hyperlink" Id="rId112" Target="https://doi.org/10.1038/s41467-018-03732-9" TargetMode="External" /><Relationship Type="http://schemas.openxmlformats.org/officeDocument/2006/relationships/hyperlink" Id="rId121" Target="https://doi.org/10.1353/sgo.2017.0026" TargetMode="External" /><Relationship Type="http://schemas.openxmlformats.org/officeDocument/2006/relationships/hyperlink" Id="rId108" Target="https://doi.org/10.3389/fevo.2023.1144778" TargetMode="External" /><Relationship Type="http://schemas.openxmlformats.org/officeDocument/2006/relationships/hyperlink" Id="rId123" Target="https://drive.google.com/file/d/12xYfSs-4bxhLa1ZVQbmhQSv5Jo4Jf-oY/view?usp=sharing" TargetMode="External" /><Relationship Type="http://schemas.openxmlformats.org/officeDocument/2006/relationships/hyperlink" Id="rId101" Target="https://drive.google.com/file/d/1KARuSC5fGx05MuT1wiOQFWNXysBokkQl/view?usp=share_link" TargetMode="External" /><Relationship Type="http://schemas.openxmlformats.org/officeDocument/2006/relationships/hyperlink" Id="rId99" Target="https://drive.google.com/file/d/1XMULU8w4syWcSv_ciOUOhnC_G4xt6GIF/view?usp=drivesdk" TargetMode="External" /><Relationship Type="http://schemas.openxmlformats.org/officeDocument/2006/relationships/hyperlink" Id="rId97" Target="https://drive.google.com/file/d/1kZkvuprvsMyN9nPS5PHYvXHyo1KQxKTr/view?usp=drivesdk" TargetMode="External" /><Relationship Type="http://schemas.openxmlformats.org/officeDocument/2006/relationships/hyperlink" Id="rId37" Target="https://ian.umces.edu/media-library" TargetMode="External" /><Relationship Type="http://schemas.openxmlformats.org/officeDocument/2006/relationships/hyperlink" Id="rId86" Target="https://myfwc.com/research/manatee/rescue-mortality-response/statistics/mortality/red-tide/" TargetMode="External" /><Relationship Type="http://schemas.openxmlformats.org/officeDocument/2006/relationships/hyperlink" Id="rId126" Target="https://tbep.org/piney-point/" TargetMode="External" /><Relationship Type="http://schemas.openxmlformats.org/officeDocument/2006/relationships/hyperlink" Id="rId130" Target="https://www.epa.gov/radiation/tenorm-fertilizer-and-fertilizer-production-wastes" TargetMode="External" /><Relationship Type="http://schemas.openxmlformats.org/officeDocument/2006/relationships/hyperlink" Id="rId65" Target="https://www.tampabay28.com/news/region-pinellas/new-report-shows-fish-health-in-tampa-bay-area-at-its-worst-since-2008" TargetMode="External" /><Relationship Type="http://schemas.openxmlformats.org/officeDocument/2006/relationships/hyperlink" Id="rId20" Target="mailto:mbeck@tbe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recovery of Tampa Bay following the 2021 release of phosphate mine wastewater from the Piney Point facility</dc:title>
  <dc:creator>Marcus W Beck1,✉, Sarina J Ergas2, and Jeffrey A Cunningham2</dc:creator>
  <cp:keywords/>
  <dcterms:created xsi:type="dcterms:W3CDTF">2026-05-05T17:30:28Z</dcterms:created>
  <dcterms:modified xsi:type="dcterms:W3CDTF">2026-05-05T17:30:28Z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