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The discharge of untreated wastewater into Tampa Bay was a culprit for many of these maladies. Over the following decades, efforts to restore Tampa Bay were successful in reducing nutrient loads from wastewater and other external sources by 2/3. By 2016, seagrasses had recovered to an all-time recorded high of 41,656 acres, exceeding the management goal by several thousand acres.</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 Focus was primarily on the discharge of untreated sewage directly to the bay, as legislation was ultimately passed that required all wastewater treatment plants to upgrade to advanced technologies to remove excess nutrients before the water was returned to the environment.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the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64" w:name="references"/>
    <w:p>
      <w:pPr>
        <w:pStyle w:val="Heading2"/>
      </w:pPr>
      <w:r>
        <w:t xml:space="preserve">References</w:t>
      </w:r>
    </w:p>
    <w:bookmarkStart w:id="63"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4">
        <w:r>
          <w:rPr>
            <w:rStyle w:val="Hyperlink"/>
          </w:rPr>
          <w:t xml:space="preserve">https://doi.org/10.1007/s12237-019-00619-w</w:t>
        </w:r>
      </w:hyperlink>
    </w:p>
    <w:bookmarkEnd w:id="55"/>
    <w:bookmarkStart w:id="57"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6">
        <w:r>
          <w:rPr>
            <w:rStyle w:val="Hyperlink"/>
          </w:rPr>
          <w:t xml:space="preserve">https://doi.org/10.1016/j.ecolind.2025.113329</w:t>
        </w:r>
      </w:hyperlink>
    </w:p>
    <w:bookmarkEnd w:id="57"/>
    <w:bookmarkStart w:id="59"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58">
        <w:r>
          <w:rPr>
            <w:rStyle w:val="Hyperlink"/>
          </w:rPr>
          <w:t xml:space="preserve">https://doi.org/10.3389/fevo.2023.1144778</w:t>
        </w:r>
      </w:hyperlink>
    </w:p>
    <w:bookmarkEnd w:id="59"/>
    <w:bookmarkStart w:id="61"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60">
        <w:r>
          <w:rPr>
            <w:rStyle w:val="Hyperlink"/>
          </w:rPr>
          <w:t xml:space="preserve">https://doi.org/10.1038/s41467-018-03732-9</w:t>
        </w:r>
      </w:hyperlink>
    </w:p>
    <w:bookmarkEnd w:id="61"/>
    <w:bookmarkStart w:id="62"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62"/>
    <w:bookmarkEnd w:id="63"/>
    <w:bookmarkEnd w:id="6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6" Target="https://doi.org/10.1016/j.ecolind.2025.113329" TargetMode="External" /><Relationship Type="http://schemas.openxmlformats.org/officeDocument/2006/relationships/hyperlink" Id="rId50" Target="https://doi.org/10.1016/j.marpolbul.2022.113598" TargetMode="External" /><Relationship Type="http://schemas.openxmlformats.org/officeDocument/2006/relationships/hyperlink" Id="rId60" Target="https://doi.org/10.1038/s41467-018-03732-9" TargetMode="External" /><Relationship Type="http://schemas.openxmlformats.org/officeDocument/2006/relationships/hyperlink" Id="rId58" Target="https://doi.org/10.3389/fevo.2023.1144778"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2025-04-25T16:02:59Z</dcterms:created>
  <dcterms:modified xsi:type="dcterms:W3CDTF">2025-04-25T16:02:59Z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