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numPr>
          <w:ilvl w:val="0"/>
          <w:numId w:val="1001"/>
        </w:numPr>
      </w:pPr>
      <w:r>
        <w:t xml:space="preserve">an ability to identify, formulate, and solve complex engineering problems by applying principles of engineering, science, and mathematics.</w:t>
      </w:r>
    </w:p>
    <w:p>
      <w:pPr>
        <w:numPr>
          <w:ilvl w:val="0"/>
          <w:numId w:val="1001"/>
        </w:numPr>
      </w:pPr>
      <w:r>
        <w:t xml:space="preserve">an ability to apply engineering design to produce solutions that meet specified needs with consideration of public health, safety, and welfare, as well as global, cultural, social, environmental, and economic factors.</w:t>
      </w:r>
    </w:p>
    <w:p>
      <w:pPr>
        <w:numPr>
          <w:ilvl w:val="0"/>
          <w:numId w:val="1001"/>
        </w:numPr>
      </w:pPr>
      <w:r>
        <w:t xml:space="preserve">an ability to communicate effectively with a range of audiences.</w:t>
      </w:r>
    </w:p>
    <w:p>
      <w:pPr>
        <w:numPr>
          <w:ilvl w:val="0"/>
          <w:numId w:val="1001"/>
        </w:numPr>
      </w:pPr>
      <w:r>
        <w:t xml:space="preserve">an ability to recognize ethical and professional responsibilities in engineering situations and make informed judgments, which must consider the impact of engineering solutions in global, economic, environmental, and societal contexts.</w:t>
      </w:r>
    </w:p>
    <w:p>
      <w:pPr>
        <w:numPr>
          <w:ilvl w:val="0"/>
          <w:numId w:val="1001"/>
        </w:numPr>
      </w:pPr>
      <w:r>
        <w:t xml:space="preserve">an ability to function effectively on a team whose members together provide leadership, create a collaborative and inclusive environment, establish goals, plan tasks, and meet objectives.</w:t>
      </w:r>
    </w:p>
    <w:p>
      <w:pPr>
        <w:numPr>
          <w:ilvl w:val="0"/>
          <w:numId w:val="1001"/>
        </w:numPr>
      </w:pPr>
      <w:r>
        <w:t xml:space="preserve">an ability to develop and conduct appropriate experimentation, analyze and interpret data, and use engineering judgment to draw conclusions.</w:t>
      </w:r>
    </w:p>
    <w:p>
      <w:pPr>
        <w:numPr>
          <w:ilvl w:val="0"/>
          <w:numId w:val="1001"/>
        </w:numPr>
      </w:pPr>
      <w:r>
        <w:t xml:space="preserve">an ability to acquire and apply new knowledge as needed, using appropriate learning strategies.</w:t>
      </w:r>
    </w:p>
    <w:p>
      <w:pPr>
        <w:pStyle w:val="FirstParagraph"/>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p>
      <w:pPr>
        <w:pStyle w:val="BodyText"/>
      </w:pPr>
      <w:r>
        <w:t xml:space="preserve">My notes:</w:t>
      </w:r>
    </w:p>
    <w:p>
      <w:pPr>
        <w:pStyle w:val="BodyText"/>
      </w:pPr>
      <w:r>
        <w:t xml:space="preserve">This is about bay management as the engineering challenge - strength of partnerships, key players, and how they work together to manage the bay. What are the threats and challenges to bay management? How has it been effective in the past? What is the role of TBEP and, more generally, research/volunteerism/regulation? This is the engineering problem.</w:t>
      </w:r>
    </w:p>
    <w:p>
      <w:pPr>
        <w:pStyle w:val="BodyText"/>
      </w:pPr>
      <w:r>
        <w:t xml:space="preserve">Managing the bay and protecting water quality is the design process, constraints to this are economic, political, and social forces that are at odds with environmental protection</w:t>
      </w:r>
    </w:p>
    <w:p>
      <w:pPr>
        <w:pStyle w:val="BodyText"/>
      </w:pPr>
      <w:r>
        <w:t xml:space="preserve">Role of data/monitoring to support bay management - make this a key concept that relates to Piney Point.</w:t>
      </w:r>
    </w:p>
    <w:p>
      <w:pPr>
        <w:pStyle w:val="BodyText"/>
      </w:pPr>
      <w:r>
        <w:t xml:space="preserve">Introduce mining as an economic driver in Central Florida, highlight past environmental issues with mining in the region (earlier Piney Point spills, Mosaic/Alafia), also chronic issues with port facilities and fertilizer losses</w:t>
      </w:r>
    </w:p>
    <w:p>
      <w:pPr>
        <w:pStyle w:val="BodyText"/>
      </w:pPr>
      <w:r>
        <w:t xml:space="preserve">What is it about fertilizer mining that creates problems? A waste-intensive process… many facilities located near critical infrastructure to support transport (ports)</w:t>
      </w:r>
    </w:p>
    <w:p>
      <w:pPr>
        <w:pStyle w:val="BodyText"/>
      </w:pPr>
      <w:r>
        <w:t xml:space="preserve">Introduce Piney Point and events of 2021</w:t>
      </w:r>
    </w:p>
    <w:p>
      <w:pPr>
        <w:pStyle w:val="BodyText"/>
      </w:pPr>
      <w:r>
        <w:t xml:space="preserve">In February 1974, a news segment airing on Sixty Minutes drew national attention on the effects of unchecked growth in the Tampa Bay region. Noxious macroalgal blooms, loss of seagrass, and a decline in fisheries were evidence of the effects of this growth as water quality resources were stressed by an increasing human population. The discharge of untreated wastewater into Tampa Bay was a culprit for many of these maladies. Several decades later, external nutrient loads to the bay have been reduced by 2/3 and seagrasses recovered to an all-time high (since recorded) of 41,656 acres in 2016, exceeding the management goal by several thousand acres. Effective management of the natural environment requires dedicated public and private efforts to balance competing interests for how human activities affect natural resources. The contemporary history of Tampa Bay, Florida is an exemplary model for how collaborative efforts can successfully recover a degraded aquatic environment.</w:t>
      </w:r>
    </w:p>
    <w:p>
      <w:pPr>
        <w:pStyle w:val="BodyText"/>
      </w:pPr>
      <w:r>
        <w:t xml:space="preserve">The events leading up to the recovery of Tampa Bay are the product of multiple factors, some of which were opportune while others were more intentional. In the 1960s, a growing nationwide environmental movement influenced public sentiment on how unchecked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unfettered growth lead to public calls for regulatory reform and environmental restoration. No longer was it considered acceptable to discharge untreated sewage directly to the bay, as legislation was ultimately passed that required all wastewater treatment plants to upgrade to advanced treatment technologies, in addition to tighter controls on stormwater pollution. These efforts were reinforced at the federal level with enactment of the Clean Water Act in the same year. Gradually and over several decades, water quality in the bay improved and the seagrasses returned.</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Tampa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local/state government to work towards the common good of a healthy Tampa Bay. The TBEP also manages the Tampa Bay Nitrogen Management Consortium that has worked to reduce nitrogen loads as a key pollutant to the Bay, with a primary source being wastewater and stormwater. The management approach is simple; reduced nitrogen loads will lower algal growth, promoting a light environment in the water that is supportive of seagrass growth. The TBNMC has quantified and allocated sources of nitrogen among public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success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 These additional stressors mean that further improvements in water quality may be needed to account for external climate factors that are difficult, if not impossible, to control at the local scale. Resilience of the bay to assimilate nutrient inputs has likely been reduced as shifting baselines as a result of climate change cause regional managers to reconsider the effectiveness of past targets and thresholds.</w:t>
      </w:r>
    </w:p>
    <w:p>
      <w:pPr>
        <w:pStyle w:val="BodyText"/>
      </w:pPr>
      <w:r>
        <w:t xml:space="preserve">Reduced resilience of Tampa Bay to respond to management efforts threatens to undo the years of collaborative efforts in restoring seagrasses. Unanticipated events may push the bay beyond a tipping point to a condition similar to those in the past as the bay may no longer have the capacity to process excess nutrient inputs. The events of March 2021 were a substantial test for the management of Tampa Bay that provided an unintentional system-wide experiment for the bay’s resources respond to acute nutrient inputs. The Piney Point facility is located on the southwest edge of Tampa Bay and is a remnant phosphorus fertilizer processing facility that has been inactive for over twenty years. Central Florida has had a long and complicated history with fertilizer mining that provides a source of economic growth while also having unintended consequence for the natural environment. Piney Point embodies this relationship, as thousands of tons of phosphorus fertilizer has been exported from Port Manatee but unintentional wastewater releases from the facility have harmed the bay’s resources.</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was released, introducing 205 tons of nutrients to lower Tampa over a ten day period, exceeding the amount that is typically introduced in a year.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Cs/>
          <w:i/>
        </w:rPr>
        <w:t xml:space="preserve">Karenia brevis</w:t>
      </w:r>
      <w:r>
        <w:t xml:space="preserve"> </w:t>
      </w:r>
      <w:r>
        <w:t xml:space="preserve">that was likely fueled by the nutrient-rich wastewater. Red tide blooms produce a potent neurotoxin that is fatal for wildlife exposed to it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influenced the decision to release wastewater to Tampa Bay and what actions can be taken in the future to prevent similar events from occurring. The role of TBEP as a facilitator for bay management will be emphasized and the reader should reflect on how the past activities of the program were important for responding to the Piney Point event, in addition to future challenges for managing bay resources in light of the details presented here.</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p>
      <w:pPr>
        <w:pStyle w:val="BodyText"/>
      </w:pPr>
      <w:r>
        <w:t xml:space="preserve">My notes:</w:t>
      </w:r>
    </w:p>
    <w:p>
      <w:pPr>
        <w:pStyle w:val="BodyText"/>
      </w:pPr>
      <w:r>
        <w:t xml:space="preserve">History of Piney Point - emphasis on facility management, oversight (or lack of), multiple owners.</w:t>
      </w:r>
    </w:p>
    <w:p>
      <w:pPr>
        <w:pStyle w:val="BodyText"/>
      </w:pPr>
      <w:r>
        <w:t xml:space="preserve">Why was there an emergency discharge?</w:t>
      </w:r>
    </w:p>
    <w:p>
      <w:pPr>
        <w:pStyle w:val="BodyText"/>
      </w:pPr>
      <w:r>
        <w:t xml:space="preserve">What was the response - monitoring effort and environmental (short-term, red tide, present), legal outcomes</w:t>
      </w:r>
    </w:p>
    <w:p>
      <w:pPr>
        <w:pStyle w:val="BodyText"/>
      </w:pPr>
      <w:r>
        <w:t xml:space="preserve">What did TBEP do? updates, facilitate monitoring, dashboard, media requests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Figures:</w:t>
      </w:r>
    </w:p>
    <w:p>
      <w:pPr>
        <w:numPr>
          <w:ilvl w:val="0"/>
          <w:numId w:val="1002"/>
        </w:numPr>
        <w:pStyle w:val="Compact"/>
      </w:pPr>
      <w:r>
        <w:t xml:space="preserve">map</w:t>
      </w:r>
    </w:p>
    <w:p>
      <w:pPr>
        <w:numPr>
          <w:ilvl w:val="0"/>
          <w:numId w:val="1002"/>
        </w:numPr>
        <w:pStyle w:val="Compact"/>
      </w:pPr>
      <w:r>
        <w:t xml:space="preserve">water quality</w:t>
      </w:r>
    </w:p>
    <w:p>
      <w:pPr>
        <w:numPr>
          <w:ilvl w:val="0"/>
          <w:numId w:val="1002"/>
        </w:numPr>
        <w:pStyle w:val="Compact"/>
      </w:pPr>
      <w:r>
        <w:t xml:space="preserve">red tide</w:t>
      </w:r>
    </w:p>
    <w:p>
      <w:pPr>
        <w:numPr>
          <w:ilvl w:val="0"/>
          <w:numId w:val="1002"/>
        </w:numPr>
        <w:pStyle w:val="Compact"/>
      </w:pPr>
      <w:r>
        <w:t xml:space="preserve">seagrass/macro?</w:t>
      </w:r>
    </w:p>
    <w:p>
      <w:pPr>
        <w:numPr>
          <w:ilvl w:val="0"/>
          <w:numId w:val="1002"/>
        </w:numPr>
        <w:pStyle w:val="Compact"/>
      </w:pPr>
      <w:r>
        <w:t xml:space="preserve">fisheries (we now have good nekton data to report)</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2025-03-31T20:46:36Z</dcterms:created>
  <dcterms:modified xsi:type="dcterms:W3CDTF">2025-03-31T20:46:36Z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