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The long-term recovery of Tampa Bay over the last 30 years has demonstrated that coordination among public and private entities can lead to improved environmental health.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pStyle w:val="BodyText"/>
      </w:pPr>
      <w:r>
        <w:t xml:space="preserve">1. an ability to identify, formulate, and solve complex engineering problems by applying principles of engineering, science, and mathematics.</w:t>
      </w:r>
    </w:p>
    <w:p>
      <w:pPr>
        <w:pStyle w:val="BodyText"/>
      </w:pPr>
      <w:r>
        <w:t xml:space="preserve">1. an ability to apply engineering design to produce solutions that meet specified needs with consideration of public health, safety, and welfare, as well as global, cultural, social, environmental, and economic factors.</w:t>
      </w:r>
    </w:p>
    <w:p>
      <w:pPr>
        <w:pStyle w:val="BodyText"/>
      </w:pPr>
      <w:r>
        <w:t xml:space="preserve">1. an ability to communicate effectively with a range of audiences.</w:t>
      </w:r>
    </w:p>
    <w:p>
      <w:pPr>
        <w:pStyle w:val="BodyText"/>
      </w:pPr>
      <w:r>
        <w:t xml:space="preserve">1. an ability to recognize ethical and professional responsibilities in engineering situations and make informed judgments, which must consider the impact of engineering solutions in global, economic, environmental, and societal contexts.</w:t>
      </w:r>
    </w:p>
    <w:p>
      <w:pPr>
        <w:pStyle w:val="BodyText"/>
      </w:pPr>
      <w:r>
        <w:t xml:space="preserve">1. an ability to function effectively on a team whose members together provide leadership, create a collaborative and inclusive environment, establish goals, plan tasks, and meet objectives.</w:t>
      </w:r>
    </w:p>
    <w:p>
      <w:pPr>
        <w:pStyle w:val="BodyText"/>
      </w:pPr>
      <w:r>
        <w:t xml:space="preserve">1. an ability to develop and conduct appropriate experimentation, analyze and interpret data, and use engineering judgment to draw conclusions.</w:t>
      </w:r>
    </w:p>
    <w:p>
      <w:pPr>
        <w:pStyle w:val="BodyText"/>
      </w:pPr>
      <w:r>
        <w:t xml:space="preserve">1. an ability to acquire and apply new knowledge as needed, using appropriate learning strategies.</w:t>
      </w:r>
    </w:p>
    <w:p>
      <w:pPr>
        <w:pStyle w:val="BodyText"/>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bookmarkEnd w:id="23"/>
    <w:bookmarkStart w:id="24"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bookmarkEnd w:id="28"/>
    <w:bookmarkStart w:id="29" w:name="references"/>
    <w:p>
      <w:pPr>
        <w:pStyle w:val="Heading2"/>
      </w:pPr>
      <w:r>
        <w:t xml:space="preserve">References</w:t>
      </w:r>
    </w:p>
    <w:bookmarkEnd w:id="29"/>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2025-01-31T16:32:45Z</dcterms:created>
  <dcterms:modified xsi:type="dcterms:W3CDTF">2025-01-31T16:32:45Z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