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33.png" ContentType="image/png"/>
  <Override PartName="/word/media/rId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The discharge of untreated wastewater into Tampa Bay was a culprit for many of these maladies. Over the following decades, efforts to restore Tampa Bay were successful in reducing nutrient loads from wastewater and other external sources by 2/3. By 2016, seagrasses had recovered to an all-time recorded high of 41,656 acres, exceeding the management goal by several thousand acres.</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 Focus was primarily on the discharge of untreated sewage directly to the bay, as legislation was ultimately passed that required all wastewater treatment plants to upgrade to advanced technologies to remove excess nutrients before the water was returned to the environment.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that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 The TBNMC has quantified and allocated sources of nitrogen among public and private entities that directly or indirectly discharge to the bay, with totals not to exceed based on the capacity of the Bay to assimilate these nutrients.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over 1600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prior to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other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1600 metric tons of dead fish were recovered. Numerous reports of marine mammal mortalities were also received during this time.</w:t>
      </w:r>
    </w:p>
    <w:p>
      <w:pPr>
        <w:pStyle w:val="BodyText"/>
      </w:pPr>
      <w:r>
        <w:t xml:space="preserve">By September 2021, conditions in the bay were visibly similar to those prior to the release from Piney Point,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Wastewater was also sent to local treatment plants to expedite the process. Once all wastewater is removed, the remaining gypstacks will be filled and capped to reduce future stormwater management needs at the site.</w:t>
      </w:r>
      <w:r>
        <w:t xml:space="preserve"> </w:t>
      </w:r>
      <w:hyperlink w:anchor="fig-capacity">
        <w:r>
          <w:rPr>
            <w:rStyle w:val="Hyperlink"/>
          </w:rPr>
          <w:t xml:space="preserve">Figure 3</w:t>
        </w:r>
      </w:hyperlink>
      <w:r>
        <w:t xml:space="preserve"> </w:t>
      </w:r>
      <w:r>
        <w:t xml:space="preserve">shows progress to date for the removal of water from NGS-S, as well as the ability of Piney Point to accommodate additional rainfall contributing to stormwater capacity onsite. This capacity has increased as NGS_S is drained, although as of writing, only one of the four holding ponds at Piney Point has been successfully filled.</w:t>
      </w:r>
    </w:p>
    <w:p>
      <w:pPr>
        <w:pStyle w:val="BodyText"/>
      </w:pPr>
      <w:r>
        <w:t xml:space="preserve">Figures:</w:t>
      </w:r>
    </w:p>
    <w:p>
      <w:pPr>
        <w:pStyle w:val="Compact"/>
        <w:numPr>
          <w:ilvl w:val="0"/>
          <w:numId w:val="1001"/>
        </w:numPr>
      </w:pPr>
      <w:r>
        <w:t xml:space="preserve">map</w:t>
      </w:r>
    </w:p>
    <w:p>
      <w:pPr>
        <w:pStyle w:val="Compact"/>
        <w:numPr>
          <w:ilvl w:val="0"/>
          <w:numId w:val="1001"/>
        </w:numPr>
      </w:pPr>
      <w:r>
        <w:t xml:space="preserve">water quality</w:t>
      </w:r>
    </w:p>
    <w:p>
      <w:pPr>
        <w:pStyle w:val="Compact"/>
        <w:numPr>
          <w:ilvl w:val="0"/>
          <w:numId w:val="1001"/>
        </w:numPr>
      </w:pPr>
      <w:r>
        <w:t xml:space="preserve">red tide</w:t>
      </w:r>
    </w:p>
    <w:p>
      <w:pPr>
        <w:pStyle w:val="Compact"/>
        <w:numPr>
          <w:ilvl w:val="0"/>
          <w:numId w:val="1001"/>
        </w:numPr>
      </w:pPr>
      <w:r>
        <w:t xml:space="preserve">seagrass/macro?</w:t>
      </w:r>
    </w:p>
    <w:p>
      <w:pPr>
        <w:pStyle w:val="Compact"/>
        <w:numPr>
          <w:ilvl w:val="0"/>
          <w:numId w:val="1001"/>
        </w:numPr>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1"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fig-seagrasschange"/>
          <w:p>
            <w:pPr>
              <w:pStyle w:val="Compact"/>
              <w:jc w:val="center"/>
            </w:pPr>
            <w:r>
              <w:drawing>
                <wp:inline>
                  <wp:extent cx="5943600" cy="3962400"/>
                  <wp:effectExtent b="0" l="0" r="0" t="0"/>
                  <wp:docPr descr="" title="" id="34" name="Picture"/>
                  <a:graphic>
                    <a:graphicData uri="http://schemas.openxmlformats.org/drawingml/2006/picture">
                      <pic:pic>
                        <pic:nvPicPr>
                          <pic:cNvPr descr="figs/seagrasschange.png" id="35" name="Picture"/>
                          <pic:cNvPicPr>
                            <a:picLocks noChangeArrowheads="1" noChangeAspect="1"/>
                          </pic:cNvPicPr>
                        </pic:nvPicPr>
                        <pic:blipFill>
                          <a:blip r:embed="rId33"/>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 from 2020 to 2022 for selected seagrass management areas identified by the Tampa Bay Estuary Program. The left map shows the overall acreage change by management area and the right map shows the areas where seagrass was lost or gained. See Figure</w:t>
            </w:r>
            <w:r>
              <w:t xml:space="preserve"> </w:t>
            </w:r>
            <w:hyperlink w:anchor="fig-map">
              <w:r>
                <w:rPr>
                  <w:rStyle w:val="Hyperlink"/>
                </w:rPr>
                <w:t xml:space="preserve">Figure 1</w:t>
              </w:r>
            </w:hyperlink>
            <w:r>
              <w:t xml:space="preserve"> </w:t>
            </w:r>
            <w:r>
              <w:t xml:space="preserve">for the locational context.</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capacity"/>
          <w:p>
            <w:pPr>
              <w:pStyle w:val="Compact"/>
              <w:jc w:val="center"/>
            </w:pPr>
            <w:r>
              <w:drawing>
                <wp:inline>
                  <wp:extent cx="5943600" cy="2641600"/>
                  <wp:effectExtent b="0" l="0" r="0" t="0"/>
                  <wp:docPr descr="" title="" id="38" name="Picture"/>
                  <a:graphic>
                    <a:graphicData uri="http://schemas.openxmlformats.org/drawingml/2006/picture">
                      <pic:pic>
                        <pic:nvPicPr>
                          <pic:cNvPr descr="figs/siteclose.png" id="39" name="Picture"/>
                          <pic:cNvPicPr>
                            <a:picLocks noChangeArrowheads="1" noChangeAspect="1"/>
                          </pic:cNvPicPr>
                        </pic:nvPicPr>
                        <pic:blipFill>
                          <a:blip r:embed="rId3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3: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w:t>
            </w:r>
          </w:p>
          <w:bookmarkEnd w:id="40"/>
        </w:tc>
      </w:tr>
    </w:tbl>
    <w:p>
      <w:r>
        <w:br w:type="page"/>
      </w:r>
    </w:p>
    <w:bookmarkEnd w:id="41"/>
    <w:bookmarkStart w:id="56" w:name="references"/>
    <w:p>
      <w:pPr>
        <w:pStyle w:val="Heading2"/>
      </w:pPr>
      <w:r>
        <w:t xml:space="preserve">References</w:t>
      </w:r>
    </w:p>
    <w:bookmarkStart w:id="55" w:name="refs"/>
    <w:bookmarkStart w:id="43"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42">
        <w:r>
          <w:rPr>
            <w:rStyle w:val="Hyperlink"/>
          </w:rPr>
          <w:t xml:space="preserve">https://doi.org/10.1016/j.marpolbul.2022.113598</w:t>
        </w:r>
      </w:hyperlink>
    </w:p>
    <w:bookmarkEnd w:id="43"/>
    <w:bookmarkStart w:id="4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44">
        <w:r>
          <w:rPr>
            <w:rStyle w:val="Hyperlink"/>
          </w:rPr>
          <w:t xml:space="preserve">https://doi.org/10.1007/s12237-024-01385-0</w:t>
        </w:r>
      </w:hyperlink>
    </w:p>
    <w:bookmarkEnd w:id="45"/>
    <w:bookmarkStart w:id="4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46">
        <w:r>
          <w:rPr>
            <w:rStyle w:val="Hyperlink"/>
          </w:rPr>
          <w:t xml:space="preserve">https://doi.org/10.1007/s12237-019-00619-w</w:t>
        </w:r>
      </w:hyperlink>
    </w:p>
    <w:bookmarkEnd w:id="47"/>
    <w:bookmarkStart w:id="49"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48">
        <w:r>
          <w:rPr>
            <w:rStyle w:val="Hyperlink"/>
          </w:rPr>
          <w:t xml:space="preserve">https://doi.org/10.1016/j.ecolind.2025.113329</w:t>
        </w:r>
      </w:hyperlink>
    </w:p>
    <w:bookmarkEnd w:id="49"/>
    <w:bookmarkStart w:id="51"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50">
        <w:r>
          <w:rPr>
            <w:rStyle w:val="Hyperlink"/>
          </w:rPr>
          <w:t xml:space="preserve">https://doi.org/10.3389/fevo.2023.1144778</w:t>
        </w:r>
      </w:hyperlink>
    </w:p>
    <w:bookmarkEnd w:id="51"/>
    <w:bookmarkStart w:id="53"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52">
        <w:r>
          <w:rPr>
            <w:rStyle w:val="Hyperlink"/>
          </w:rPr>
          <w:t xml:space="preserve">https://doi.org/10.1038/s41467-018-03732-9</w:t>
        </w:r>
      </w:hyperlink>
    </w:p>
    <w:bookmarkEnd w:id="53"/>
    <w:bookmarkStart w:id="54"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54"/>
    <w:bookmarkEnd w:id="55"/>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jp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46" Target="https://doi.org/10.1007/s12237-019-00619-w" TargetMode="External" /><Relationship Type="http://schemas.openxmlformats.org/officeDocument/2006/relationships/hyperlink" Id="rId44" Target="https://doi.org/10.1007/s12237-024-01385-0" TargetMode="External" /><Relationship Type="http://schemas.openxmlformats.org/officeDocument/2006/relationships/hyperlink" Id="rId48" Target="https://doi.org/10.1016/j.ecolind.2025.113329" TargetMode="External" /><Relationship Type="http://schemas.openxmlformats.org/officeDocument/2006/relationships/hyperlink" Id="rId42" Target="https://doi.org/10.1016/j.marpolbul.2022.113598" TargetMode="External" /><Relationship Type="http://schemas.openxmlformats.org/officeDocument/2006/relationships/hyperlink" Id="rId52" Target="https://doi.org/10.1038/s41467-018-03732-9" TargetMode="External" /><Relationship Type="http://schemas.openxmlformats.org/officeDocument/2006/relationships/hyperlink" Id="rId50" Target="https://doi.org/10.3389/fevo.2023.1144778"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46" Target="https://doi.org/10.1007/s12237-019-00619-w" TargetMode="External" /><Relationship Type="http://schemas.openxmlformats.org/officeDocument/2006/relationships/hyperlink" Id="rId44" Target="https://doi.org/10.1007/s12237-024-01385-0" TargetMode="External" /><Relationship Type="http://schemas.openxmlformats.org/officeDocument/2006/relationships/hyperlink" Id="rId48" Target="https://doi.org/10.1016/j.ecolind.2025.113329" TargetMode="External" /><Relationship Type="http://schemas.openxmlformats.org/officeDocument/2006/relationships/hyperlink" Id="rId42" Target="https://doi.org/10.1016/j.marpolbul.2022.113598" TargetMode="External" /><Relationship Type="http://schemas.openxmlformats.org/officeDocument/2006/relationships/hyperlink" Id="rId52" Target="https://doi.org/10.1038/s41467-018-03732-9" TargetMode="External" /><Relationship Type="http://schemas.openxmlformats.org/officeDocument/2006/relationships/hyperlink" Id="rId50" Target="https://doi.org/10.3389/fevo.2023.1144778"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2025-04-24T21:24:35Z</dcterms:created>
  <dcterms:modified xsi:type="dcterms:W3CDTF">2025-04-24T21:24:35Z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