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34.jpg" ContentType="image/jpeg"/>
  <Override PartName="/word/media/rId38.png" ContentType="image/png"/>
  <Override PartName="/word/media/rId50.png" ContentType="image/png"/>
  <Override PartName="/word/media/rId28.png" ContentType="image/png"/>
  <Override PartName="/word/media/rId54.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 recovery of Tampa Bay following the 2021 release of phosphate mine wastewater from the Piney Point facility</w:t>
      </w:r>
    </w:p>
    <w:p>
      <w:pPr>
        <w:pStyle w:val="Author"/>
      </w:pPr>
      <w:r>
        <w:t xml:space="preserve">Marcus W Beck</w:t>
      </w:r>
      <w:r>
        <w:rPr>
          <w:vertAlign w:val="superscript"/>
        </w:rPr>
        <w:t xml:space="preserve">1,✉</w:t>
      </w:r>
      <w:r>
        <w:t xml:space="preserve">, Sarina J Ergas</w:t>
      </w:r>
      <w:r>
        <w:rPr>
          <w:vertAlign w:val="superscript"/>
        </w:rPr>
        <w:t xml:space="preserve">2</w:t>
      </w:r>
      <w:r>
        <w:t xml:space="preserve">, and Jeffrey A Cunningham</w:t>
      </w:r>
      <w:r>
        <w:rPr>
          <w:vertAlign w:val="superscript"/>
        </w:rPr>
        <w:t xml:space="preserve">2</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and documented subsequent ecosystem impacts. Short-term declines in water quality were observed, with a notable harmful algal bloom and substantial fish kills occurring three months after the initial wastewater release. Acute spills such as the 2021 event threaten to reverse past successes in seagrass and ecosystem recovery in Tampa Bay. Currently, the site is being closed and efforts to mitigate or prevent future impacts are ongoing. This chapter will present the historical context and management of Piney Point as a precursor to the events of 2021, while providing quantitative examples of the Bay’s response relative to the long-term recovery of the Bay. The role of the Tampa Bay Estuary Program (TBEP) as a non-regulatory institution that works to build public and private partnerships for environmental management will also be explored, with emphasis on TBEP’s role coordinating monitoring efforts and disseminating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the television program Sixty Minutes drew national attention to the effects of population growth and unchecked development in the Tampa Bay region. Nutrient discharges, particularly nitrogen, trigger algal blooms that reduce light penetration resulting in loss of seagrasses (</w:t>
      </w:r>
      <w:hyperlink w:anchor="fig-seagrassnutrients">
        <w:r>
          <w:rPr>
            <w:rStyle w:val="Hyperlink"/>
          </w:rPr>
          <w:t xml:space="preserve">Figure 1</w:t>
        </w:r>
      </w:hyperlink>
      <w:r>
        <w:t xml:space="preserve">). The Bay’s natural resources, including key fisheries dependent upon healthy estuarine habitats like seagrass, showed evidence of stress from an increasing human population in the watershed. The discharge of minimally treated wastewater into Tampa Bay was a culprit for many of these issues. Over the following decades, efforts to restore Tampa Bay were successful in reducing nutrient loads from wastewater and other external sources by 2/3 of levels observed in the 1970s</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“Silent Spring”</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Initial focus was primarily on the discharge of poorly treated sewage directly to the Bay, as legislation was ultimately passed that required all wastewater treatment plants to upgrade to advanced technologies to remove excess nutrients before the water was returned to the environment or beneficially reuse 100% of the treated water</w:t>
      </w:r>
      <w:r>
        <w:t xml:space="preserve"> </w:t>
      </w:r>
      <w:r>
        <w:t xml:space="preserve">(Johansson, 1991)</w:t>
      </w:r>
      <w:r>
        <w:t xml:space="preserve">. By the 1980s, additional state legislation led to tighter controls on stormwater pollution to remediate additional sources of nutrients. These efforts were reinforced at the federal level with enactment of the Clean Water Act in 1972 combined with access to federal grants to construct municipal wastewater treatment plants. Gradually and over several decades, tighter regulation of pollution – motivated by public concern over the effects of population growth – produced water quality improvements and the seagrasses returned. Baywide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protect water and sediment quality, fish and wildlife, and the community. The TBEP is part of a broader National Estuary Program consisting of 28 similar programs around the country that have been established as Congressionally-recognized</w:t>
      </w:r>
      <w:r>
        <w:t xml:space="preserve"> </w:t>
      </w:r>
      <w:r>
        <w:t xml:space="preserve">“estuaries of national significance”</w:t>
      </w:r>
      <w:r>
        <w:t xml:space="preserve">, each with their own local mission. Since 1991, the TBEP has worked to engage communities, private businesses, and local governments to work towards the common goal of a healthy Tampa Bay. The TBEP also facilitates the Tampa Bay Nitrogen Management Consortium (TBNMC), with representatives from public and private entities that have a shared responsibility to control nutrient pollution sources to Tampa Bay. The TBNMC has worked to reduce nitrogen loads as a key water quality pollutant since the mid-1990s, with private and public permitted wastewater and stormwater sources being the primary participants. The management approach is simple; reduced nitrogen loads will reduce algal growth, promoting a light environment in the water that is supportive of seagrass growth (</w:t>
      </w:r>
      <w:hyperlink w:anchor="fig-seagrassnutrients">
        <w:r>
          <w:rPr>
            <w:rStyle w:val="Hyperlink"/>
          </w:rPr>
          <w:t xml:space="preserve">Figure 1</w:t>
        </w:r>
      </w:hyperlink>
      <w:r>
        <w:t xml:space="preserve">)</w:t>
      </w:r>
      <w:r>
        <w:t xml:space="preserve">(Janicki et al., 2000; Johansson &amp; Greening, 1999)</w:t>
      </w:r>
      <w:r>
        <w:t xml:space="preserve">. The TBNMC has quantified and allocated sources of nitrogen among entities that directly or indirectly discharge to the Bay, with total allocations not to exceed the capacity of the Bay to assimilate these nutrients</w:t>
      </w:r>
      <w:r>
        <w:t xml:space="preserve"> </w:t>
      </w:r>
      <w:r>
        <w:t xml:space="preserve">(Janicki &amp; Wade, 1996)</w:t>
      </w:r>
      <w:r>
        <w:t xml:space="preserve">. The Florida Department of Environmental Protection (FDEP) and US Environmental Protection Agency (USEPA) maintain regulatory oversight.</w:t>
      </w:r>
    </w:p>
    <w:p>
      <w:pPr>
        <w:pStyle w:val="BodyText"/>
      </w:pPr>
      <w:r>
        <w:t xml:space="preserve">Despite the nationally recognized success story of Tampa Bay, current challenges have emerged that threaten past achievements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generally met in successive years of seagrass decline, suggesting that additional factors beyond established water-quality targets and regulatory thresholds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ecological baselines from climate change cause regional managers to reconsider the effectiveness of previously-established water quality targets and thresholds.</w:t>
      </w:r>
    </w:p>
    <w:p>
      <w:pPr>
        <w:pStyle w:val="BodyText"/>
      </w:pPr>
      <w:r>
        <w:t xml:space="preserve">Reduced resilience of Tampa Bay to respond to management efforts that control nitrogen loads threatens to undo the years of collaborative work in restoring seagrasses. Further, unanticipated events may push the Bay beyond a tipping point to undesirable conditions similar to the past as the Bay may no longer have the capacity and resilience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2</w:t>
        </w:r>
      </w:hyperlink>
      <w:r>
        <w:t xml:space="preserve">). Large amounts of wastewater – a byproduct of historical processing and closure activities – remain on site with no useful application given the chemical characteristics of the water and the challenging logistics of its safe removal. Central Florida has a long and complicated relationship with phosphate mining and fertilizer production</w:t>
      </w:r>
      <w:r>
        <w:t xml:space="preserve"> </w:t>
      </w:r>
      <w:r>
        <w:t xml:space="preserve">(Nelson et al., 2021)</w:t>
      </w:r>
      <w:r>
        <w:t xml:space="preserve">. While these activities support economic growth and agricultural productivity, there are often direct and unintended consequences for the natural environment. Piney Point embodies this relationship, as fertilizer exported outside of the region has had societial and economic benefits, whereas wastewater stored on site has been released to Tampa Bay on more than one occasion with negative impacts (</w:t>
      </w:r>
      <w:hyperlink w:anchor="fig-map">
        <w:r>
          <w:rPr>
            <w:rStyle w:val="Hyperlink"/>
          </w:rPr>
          <w:t xml:space="preserve">Figure 2</w:t>
        </w:r>
      </w:hyperlink>
      <w:r>
        <w:t xml:space="preserve">).</w:t>
      </w:r>
    </w:p>
    <w:p>
      <w:pPr>
        <w:pStyle w:val="BodyText"/>
      </w:pPr>
      <w:r>
        <w:t xml:space="preserve">In April 2021, a tear in the plastic liner of the southeastern holding stack (NGS-S) at Piney Point (</w:t>
      </w:r>
      <w:hyperlink w:anchor="fig-photos">
        <w:r>
          <w:rPr>
            <w:rStyle w:val="Hyperlink"/>
          </w:rPr>
          <w:t xml:space="preserve">Figure 3</w:t>
        </w:r>
      </w:hyperlink>
      <w:r>
        <w:t xml:space="preserve">) was detected, and the release of wastewater into Tampa Bay was authorized by FDEP to prevent catastrophic failure of the holding walls</w:t>
      </w:r>
      <w:r>
        <w:t xml:space="preserve"> </w:t>
      </w:r>
      <w:r>
        <w:t xml:space="preserve">(Beck et al., 2022; Morrison et al., 2023; Nelson et al., 2021)</w:t>
      </w:r>
      <w:r>
        <w:t xml:space="preserve">. The decision to discharge millions of gallons of wastewater into Tampa Bay from Piney Point was needed to safeguard property and human life near Piney Point, despite the anticipated environmental consequences. Over 215 million gallons of wastewater were released, introducing 205 tons of nutrients to lower Tampa Bay over a ten-day period, exceeding the amount that is typically introduced annually from all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that continued to circulate in the Bay following the emergency release</w:t>
      </w:r>
      <w:r>
        <w:t xml:space="preserve"> </w:t>
      </w:r>
      <w:r>
        <w:t xml:space="preserve">(Chen et al., 2023)</w:t>
      </w:r>
      <w:r>
        <w:t xml:space="preserve">. Red tide blooms produce a potent neurotoxin that is fatal for wildlife exposed for sustained periods. As a result, more than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incidents that occurred before 2021. This information is presented in the context of the long-term recovery of Tampa Bay, the effects on seagrass resources, and how the history of local partnerships were important for the response-based effort. The reader should gain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based on the details presented herein.</w:t>
      </w:r>
    </w:p>
    <w:bookmarkEnd w:id="22"/>
    <w:bookmarkStart w:id="23" w:name="background-1000-2000-words"/>
    <w:p>
      <w:pPr>
        <w:pStyle w:val="Heading2"/>
      </w:pPr>
      <w:r>
        <w:t xml:space="preserve">2 Background (1000-2000 words)</w:t>
      </w:r>
    </w:p>
    <w:p>
      <w:pPr>
        <w:pStyle w:val="FirstParagraph"/>
      </w:pPr>
      <w:r>
        <w:t xml:space="preserve">The</w:t>
      </w:r>
      <w:r>
        <w:t xml:space="preserve"> </w:t>
      </w:r>
      <w:r>
        <w:t xml:space="preserve">“Bone Valley”</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limestone base overlying a freshwater aquifer. This limestone is rich in phosphorus deposits, which are mined for use as a main ingredient of commercially available fertilizer, either for residential use or large-scale agricultural production. Consequently, Tampa Bay waters have relatively high concentrations of phosphorus to which aquatic organisms have adapted over geologic time scales</w:t>
      </w:r>
      <w:r>
        <w:t xml:space="preserve"> </w:t>
      </w:r>
      <w:r>
        <w:t xml:space="preserve">(Wang et al., 1999)</w:t>
      </w:r>
      <w:r>
        <w:t xml:space="preserve">. Additions of historically scarce nutrients, like nitrogen, can substantially alter the balance and pace of primary production in the estuary. Because Tampa Bay is</w:t>
      </w:r>
      <w:r>
        <w:t xml:space="preserve"> </w:t>
      </w:r>
      <w:r>
        <w:t xml:space="preserve">“nitrogen-limited”</w:t>
      </w:r>
      <w:r>
        <w:t xml:space="preserve">, water quality improvements have focused on reducing external sources of nitrogen inputs to the Bay</w:t>
      </w:r>
      <w:r>
        <w:t xml:space="preserve"> </w:t>
      </w:r>
      <w:r>
        <w:t xml:space="preserve">(Greening et al., 2014)</w:t>
      </w:r>
      <w:r>
        <w:t xml:space="preserve">. However, byproducts from fertilizer production and the resulting fertilizer products themselves are rich in both phosphorus and nitrogen. Fertilizer processing facilities are often located near distribution centers like marine ports, and the export of fertilizer is a primary function that the ports of Tampa Bay support. As such, both the production and export of fertilizer can introduce significant external nutrients that affect the Bay’s water quality.</w:t>
      </w:r>
    </w:p>
    <w:p>
      <w:pPr>
        <w:pStyle w:val="BodyText"/>
      </w:pPr>
      <w:r>
        <w:t xml:space="preserve">The production and distribution of fertilizer is a waste-intensive process. For every one kilogram of useful fertilizer that is produced from raw phosphorus ore, five kilograms of waste are created</w:t>
      </w:r>
      <w:r>
        <w:t xml:space="preserve"> </w:t>
      </w:r>
      <w:r>
        <w:t xml:space="preserve">(U.S. Environmental Protection Agency, 2025)</w:t>
      </w:r>
      <w:r>
        <w:t xml:space="preserve">. This waste is called phosphogypsum and it has minimal commercial applications, owing primarily to its radioactive characteristics and regulatory controls that limit its use after production. Phosphogypsum is typically stored on-site as large stacks (or</w:t>
      </w:r>
      <w:r>
        <w:t xml:space="preserve"> </w:t>
      </w:r>
      <w:r>
        <w:t xml:space="preserve">“gypstacks”</w:t>
      </w:r>
      <w:r>
        <w:t xml:space="preserve">) that are visible from miles away and are often the only topographical features on the flat Florida landscape (</w:t>
      </w:r>
      <w:hyperlink w:anchor="fig-photos">
        <w:r>
          <w:rPr>
            <w:rStyle w:val="Hyperlink"/>
          </w:rPr>
          <w:t xml:space="preserve">Figure 3</w:t>
        </w:r>
      </w:hyperlink>
      <w:r>
        <w:t xml:space="preserve">). Phosphogypsum is initially produced as a slurry during fertilizer production. The gypstacks are formed as the solid materials settle out of the slurry, leaving a low-pH wastewater with similar chemical characteristics as the solid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 after fertilizer production stops, with 17 such examples in the Tampa Bay watershed [25 total in Florida;</w:t>
      </w:r>
      <w:r>
        <w:t xml:space="preserve"> </w:t>
      </w:r>
      <w:r>
        <w:t xml:space="preserve">Florida Department of Environmental Protection (2025)</w:t>
      </w:r>
      <w:r>
        <w:t xml:space="preserve">]. Distribution of fertilizer at port facilities can also introduce substantial nutrients to surface waters primarily through losses during physical transport on or off a vessel. Although regulation and adoption of best practices has greatly reduced</w:t>
      </w:r>
      <w:r>
        <w:t xml:space="preserve"> </w:t>
      </w:r>
      <w:r>
        <w:t xml:space="preserve">“material losses”</w:t>
      </w:r>
      <w:r>
        <w:t xml:space="preserve"> </w:t>
      </w:r>
      <w:r>
        <w:t xml:space="preserve">directly to the Bay 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fertilizer production. Mulberry Phosphates, Inc. acquired the facility in 1993 and operated it until 2001 when the company declared bankruptcy, after which closure and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Similarly, wastewater from Piney Point was released to Bishop Harbor in 2001 due to tropical storm activity and again from late 2003 to early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continued oversight by FDEP, HRK agreed to maintain Piney Point such that any future uses must protect and be compatible with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2</w:t>
        </w:r>
      </w:hyperlink>
      <w:r>
        <w:t xml:space="preserve">), further reducing holding capacity of the facility. Wastewater was again released in 2011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nutrient inputs entered lower Tampa Bay during this ten-day period. Given anticipated environmental impacts, the TBEP coordinated a multi-agency, event-response monitoring program to document the effects of the release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 summaries that distilled complex environmental data into the most meaningful observations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4</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 within several months of the initial release</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concentrations considered to be a bloom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4</w:t>
        </w:r>
      </w:hyperlink>
      <w:r>
        <w:t xml:space="preserve">). Red tide is typically limited in Tampa Bay as freshwater inputs from major rivers lower salinity below the optimal tolerance range for these organisms.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and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5</w:t>
        </w:r>
      </w:hyperlink>
      <w:r>
        <w:t xml:space="preserve">). Compared to other years, 2021 was a distinct outlier in the number of reported fish kills. Numerous reports of manatee mortalities were also received during this time</w:t>
      </w:r>
      <w:r>
        <w:t xml:space="preserve"> </w:t>
      </w:r>
      <w:r>
        <w:t xml:space="preserve">(Florida Fish and Wildlife Conservation Commission, 2025)</w:t>
      </w:r>
      <w:r>
        <w:t xml:space="preserve">.</w:t>
      </w:r>
    </w:p>
    <w:p>
      <w:pPr>
        <w:pStyle w:val="BodyText"/>
      </w:pPr>
      <w:r>
        <w:t xml:space="preserve">By September 2021, conditions in the Bay were visibly similar to those prior to the release from Piney Point (</w:t>
      </w:r>
      <w:hyperlink w:anchor="fig-wqchange">
        <w:r>
          <w:rPr>
            <w:rStyle w:val="Hyperlink"/>
          </w:rPr>
          <w:t xml:space="preserve">Figure 4</w:t>
        </w:r>
      </w:hyperlink>
      <w:r>
        <w:t xml:space="preserve">), although monitoring and additional research continued to better understand long-term effects. A study published two years later demonstrated that wastewater from Piney Point dispersed much further than anticipated, with seawater at a control site over 30 miles to the north of the mouth of Tampa Bay having a chemical signature similar to the discharge</w:t>
      </w:r>
      <w:r>
        <w:t xml:space="preserve"> </w:t>
      </w:r>
      <w:r>
        <w:t xml:space="preserve">(Morrison et al., 2023)</w:t>
      </w:r>
      <w:r>
        <w:t xml:space="preserve">. Seagrasses, although not showing any notable changes in 2021,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6</w:t>
        </w:r>
      </w:hyperlink>
      <w:r>
        <w:t xml:space="preserve">). However, seagrasses consistently declined baywide since 2016 and it is difficult to assess the role of Piney Point in the observed 2022 decline. Further work has demonstrated that phosphorus and nitrogen from wastewater discharge from Piney Point, 2021 and previous, can be stored in bottom sediments as a potential source of nutrients</w:t>
      </w:r>
      <w:r>
        <w:t xml:space="preserve"> </w:t>
      </w:r>
      <w:r>
        <w:t xml:space="preserve">(Chappel et al., 2025)</w:t>
      </w:r>
      <w:r>
        <w:t xml:space="preserve">. These findings highlight the need to better quantify sediment nutrient sources that have likely been influenced by Piney Point discharges, especially when stored nutrients can stimulate algal blooms in the water column during storm events that resuspend sediments. Lastly, the fate and effects of lesser studied contaminants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closure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 HRK was in violation of the federal US Clean Water Act, despite receiving a permit from FDEP to discharge the wastewater</w:t>
      </w:r>
      <w:r>
        <w:t xml:space="preserve"> </w:t>
      </w:r>
      <w:r>
        <w:t xml:space="preserve">(United States District Court, Middle District of Florida, 2024)</w:t>
      </w:r>
      <w:r>
        <w:t xml:space="preserve">. This ruling ordered HRK to pay $56,460 for each day wastewater was released to public waters, totaling $846,900 for the duration of the event. FDEP concurrently agreed to fund additional monitoring to assess long-term impacts, with $75,000 paid to the TBEP to organize these efforts. During litigation, public calls for the closure of Piney Point led to the development and implementation of a full closure plan for the facility as adopted and implemented by FDEP</w:t>
      </w:r>
      <w:r>
        <w:t xml:space="preserve"> </w:t>
      </w:r>
      <w:r>
        <w:t xml:space="preserve">(Ardaman &amp; Associates, Inc., 2022)</w:t>
      </w:r>
      <w:r>
        <w:t xml:space="preserve">. These plans included using an independent third party as a court-appointed receiver to oversee the closure process, with specific actions to treat the wastewater onsite prior to pumping the water underground using a newly constructed deep-well injection site that was fully functioning by April 2023. Wastewater was also sent to local treatment plants to expedite the process. Once all wastewater is removed, the remaining ponds will be filled and capped with soil to reduce future stormwater management needs at the site. As an example of closure progress,</w:t>
      </w:r>
      <w:r>
        <w:t xml:space="preserve"> </w:t>
      </w:r>
      <w:hyperlink w:anchor="fig-capacity">
        <w:r>
          <w:rPr>
            <w:rStyle w:val="Hyperlink"/>
          </w:rPr>
          <w:t xml:space="preserve">Figure 7</w:t>
        </w:r>
      </w:hyperlink>
      <w:r>
        <w:t xml:space="preserve"> </w:t>
      </w:r>
      <w:r>
        <w:t xml:space="preserve">shows the removal of water from NGS-S over time, as well as the ability of Piney Point to accommodate additional rainfall contributing to stormwater capacity onsite as wastewater is treated and removed. As of this writing, only one of the four holding ponds at Piney Point has been successfully closed.</w:t>
      </w:r>
    </w:p>
    <w:p>
      <w:pPr>
        <w:pStyle w:val="BodyText"/>
      </w:pPr>
      <w:r>
        <w:t xml:space="preserve">Piney Point has brought additional attention to the impacts of phosphate-mining facilities on the environment, with a renewed focus on the risks from other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deep-well injection at Piney Point may set a precedent for future closure activities since long-term plans for many of these facilities have not been established. Deep-well injection has been proposed in the past to facilitate closures of inactive phosphate mining sites, although the method has not been viewed favorably by the public given uncertainty about the associated risks or simply misinformation about deep-well injection. Although wastewater is pumped much lower than the freshwater aquifer that serves as a source of drinking water for many in the state, the extent to which this water could migrate to other aquifers or surface waters is not well understood. Perhaps a larger risk is integrity of the injection site since leaks at more shallow depths could also introduce the wastewater into drinking water sources. Phosphogypsum has also been proposed for use as a base material for road construction and FDEP has allowed a preliminary test site to assess the risks of doing so. Critics argue these materials may pose safety risks to road workers and serve as an additional source of contamination for surface water. Regardless of whether these methods are a practical means of safely and responsibly closing inactive mining facilities, their proposal does suggest recognition by fertilizer producers that these facilities are substantial liabilities that require more attention to mitigate their external impacts. It is unclear whether current state and federal regulatory requirements appropriately factor in the full scope of the environmental and financial liabilities that these facilities pose in Florida.</w:t>
      </w:r>
    </w:p>
    <w:bookmarkEnd w:id="23"/>
    <w:bookmarkStart w:id="26" w:name="student-activities-500-1000-words"/>
    <w:p>
      <w:pPr>
        <w:pStyle w:val="Heading2"/>
      </w:pPr>
      <w:r>
        <w:t xml:space="preserve">3 Student Activities (500-1000 words)</w:t>
      </w:r>
    </w:p>
    <w:bookmarkStart w:id="24"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The ability of environmental managers to respond to changes in the Bay and document the impacts throughout 2021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Do you agree with the statement</w:t>
      </w:r>
      <w:r>
        <w:t xml:space="preserve"> </w:t>
      </w:r>
      <w:r>
        <w:t xml:space="preserve">“Piney Point was a disaster waiting to happen”</w:t>
      </w:r>
      <w:r>
        <w:t xml:space="preserve">? Why or why not?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represented that could have influenced their choices on factors contributing to the events of 2021. Do you think any one party was to blame? How can more proactive measures be taken in the future to prevent similar events from occurring?</w:t>
      </w:r>
    </w:p>
    <w:bookmarkEnd w:id="24"/>
    <w:bookmarkStart w:id="25"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4</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5</w:t>
        </w:r>
      </w:hyperlink>
      <w:r>
        <w:t xml:space="preserve"> </w:t>
      </w:r>
      <w:r>
        <w:t xml:space="preserve">and</w:t>
      </w:r>
      <w:r>
        <w:t xml:space="preserve"> </w:t>
      </w:r>
      <w:hyperlink w:anchor="fig-seagrasschange">
        <w:r>
          <w:rPr>
            <w:rStyle w:val="Hyperlink"/>
          </w:rPr>
          <w:t xml:space="preserve">Figure 6</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Nutrient sources to surface waters are often described as point or non-point. Point sources of nutrients have declined in Tampa Bay whereas non-point sources continue to increase. What mechanisms have been used historically to effectively control point sources of nutrients? How would these approaches differ from controls on non-point sources? Consider identifying specific sources and evaluate strategies in other regions that have been successful.</w:t>
      </w:r>
    </w:p>
    <w:p>
      <w:pPr>
        <w:numPr>
          <w:ilvl w:val="0"/>
          <w:numId w:val="1002"/>
        </w:numPr>
      </w:pPr>
      <w:r>
        <w:t xml:space="preserve">Many options were considered to process and remove wastewater from Piney Point as part of the long-term closure plan. Ultimately, deep-well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must managers consider for protecting water quality?</w:t>
      </w:r>
    </w:p>
    <w:bookmarkEnd w:id="25"/>
    <w:bookmarkEnd w:id="26"/>
    <w:bookmarkStart w:id="27" w:name="conclusion-500-1000-words"/>
    <w:p>
      <w:pPr>
        <w:pStyle w:val="Heading2"/>
      </w:pPr>
      <w:r>
        <w:t xml:space="preserve">4 Conclusion (500-1000 words)</w:t>
      </w:r>
    </w:p>
    <w:p>
      <w:pPr>
        <w:pStyle w:val="FirstParagraph"/>
      </w:pPr>
      <w:r>
        <w:t xml:space="preserve">This chapter provided an in-depth summary of factors influencing the decision to release 215 million gallons of wastewater from Piney Point, and how that release negatively affected the natural resources of Tampa Bay. This decision and its impacts were provided in the context of the history of the Piney Point facility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 Bay, with representatives from dozens of regulated and regulatory entities in the region. Of note is the participation of Mosaic Co., the last remaining major mining interest in the region that has been and will continue to be a part of the TBNMC. Mosaic Co. is currently responsible for all active mines and gypstack closures in the Bone Valley, including mitigation of any future impacts to the Bay. Adoption of more concrete plans for the permanent closure of inactive phosphate mining sites, particularly plans that consider deep-well injection, is recognition that unintended wastewater releases into surface waters is a far worse outcome than inaction or adopting plans with some level of risk. The public may be ready to accept the risks associated with deep-well injection as a more desirable alternative than emergency release to the environment.</w:t>
      </w:r>
    </w:p>
    <w:p>
      <w:pPr>
        <w:pStyle w:val="BodyText"/>
      </w:pPr>
      <w:r>
        <w:t xml:space="preserve">Countless examples exist worldwide that demonstrate the tradeoffs of human use of natural resources and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of Tampa Bay continues to grow while water quality is much improved from historical conditions when development and its impacts occurred unchecked. Despite this success, challenges still remain, and the events of 2021 further demonstrate the need for greater regulatory oversight and responsibility of regulated parties. In many cases, these challenges are not fully known or they are simply ignored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a common good. Development and resource use cannot occur unabated and it is in everyone’s best interest to responsibly balance societal needs with environmental health, whether in Tampa Bay or elsewhere.</w:t>
      </w:r>
    </w:p>
    <w:p>
      <w:r>
        <w:br w:type="page"/>
      </w:r>
    </w:p>
    <w:bookmarkEnd w:id="27"/>
    <w:bookmarkStart w:id="58"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3" w:name="fig-seagrassnutrients"/>
          <w:p>
            <w:pPr>
              <w:pStyle w:val="Compact"/>
              <w:jc w:val="center"/>
            </w:pPr>
            <w:r>
              <w:drawing>
                <wp:inline>
                  <wp:extent cx="5943600" cy="1551279"/>
                  <wp:effectExtent b="0" l="0" r="0" t="0"/>
                  <wp:docPr descr="" title="" id="29" name="Picture"/>
                  <a:graphic>
                    <a:graphicData uri="http://schemas.openxmlformats.org/drawingml/2006/picture">
                      <pic:pic>
                        <pic:nvPicPr>
                          <pic:cNvPr descr="figs/seagrassnutrients.png" id="30" name="Picture"/>
                          <pic:cNvPicPr>
                            <a:picLocks noChangeArrowheads="1" noChangeAspect="1"/>
                          </pic:cNvPicPr>
                        </pic:nvPicPr>
                        <pic:blipFill>
                          <a:blip r:embed="rId28"/>
                          <a:stretch>
                            <a:fillRect/>
                          </a:stretch>
                        </pic:blipFill>
                        <pic:spPr bwMode="auto">
                          <a:xfrm>
                            <a:off x="0" y="0"/>
                            <a:ext cx="5943600" cy="1551279"/>
                          </a:xfrm>
                          <a:prstGeom prst="rect">
                            <a:avLst/>
                          </a:prstGeom>
                          <a:noFill/>
                          <a:ln w="9525">
                            <a:noFill/>
                            <a:headEnd/>
                            <a:tailEnd/>
                          </a:ln>
                        </pic:spPr>
                      </pic:pic>
                    </a:graphicData>
                  </a:graphic>
                </wp:inline>
              </w:drawing>
            </w:r>
          </w:p>
          <w:p>
            <w:pPr>
              <w:jc w:val="center"/>
            </w:pPr>
            <w:pPr>
              <w:jc w:val="start"/>
              <w:spacing w:before="200"/>
              <w:pStyle w:val="ImageCaption"/>
            </w:pPr>
            <w:r>
              <w:t xml:space="preserve">Fig. 1: Conceptual relationship of seagrasses with light availability and nutrient loading. The optimal condition is in the center. The left side shows an uncommon scenario of low nutrients limiting seagrass growth. The right side shows excess nutrients where seagrasses are light-limited due to shading from phytoplankton, macroalgae, and epiphyte growth. Source attribution: Jane Thomas, Integration and Application Network (</w:t>
            </w:r>
            <w:hyperlink r:id="rId31">
              <w:r>
                <w:rPr>
                  <w:rStyle w:val="Hyperlink"/>
                </w:rPr>
                <w:t xml:space="preserve">https://ian.umces.edu/media-library</w:t>
              </w:r>
            </w:hyperlink>
            <w:r>
              <w:t xml:space="preserve">). Image slightly modified under License CC BY-SA 4.0 (</w:t>
            </w:r>
            <w:hyperlink r:id="rId32">
              <w:r>
                <w:rPr>
                  <w:rStyle w:val="Hyperlink"/>
                </w:rPr>
                <w:t xml:space="preserve">https://creativecommons.org/licenses/by-sa/4.0/</w:t>
              </w:r>
            </w:hyperlink>
            <w:r>
              <w:t xml:space="preserve">).</w:t>
            </w:r>
          </w:p>
          <w:bookmarkEnd w:id="33"/>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fig-map"/>
          <w:p>
            <w:pPr>
              <w:pStyle w:val="Compact"/>
              <w:jc w:val="center"/>
            </w:pPr>
            <w:r>
              <w:drawing>
                <wp:inline>
                  <wp:extent cx="5916168" cy="7070598"/>
                  <wp:effectExtent b="0" l="0" r="0" t="0"/>
                  <wp:docPr descr="" title="" id="35" name="Picture"/>
                  <a:graphic>
                    <a:graphicData uri="http://schemas.openxmlformats.org/drawingml/2006/picture">
                      <pic:pic>
                        <pic:nvPicPr>
                          <pic:cNvPr descr="figs/map.jpg" id="36" name="Picture"/>
                          <pic:cNvPicPr>
                            <a:picLocks noChangeArrowheads="1" noChangeAspect="1"/>
                          </pic:cNvPicPr>
                        </pic:nvPicPr>
                        <pic:blipFill>
                          <a:blip r:embed="rId34"/>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2: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7"/>
        </w:tc>
      </w:tr>
    </w:tbl>
    <w:p>
      <w:r>
        <w:br w:type="page"/>
      </w:r>
    </w:p>
    <w:tbl>
      <w:tblPr>
        <w:tblStyle w:val="Table"/>
        <w:tblW w:type="pct" w:w="5000"/>
        <w:tblLayout w:type="fixed"/>
        <w:tblLook w:firstRow="0" w:lastRow="0" w:firstColumn="0" w:lastColumn="0" w:noHBand="0" w:noVBand="0" w:val="0000"/>
      </w:tblPr>
      <w:tblGrid>
        <w:gridCol w:w="7920"/>
      </w:tblGrid>
      <w:tr>
        <w:tc>
          <w:tcPr/>
          <w:bookmarkStart w:id="41" w:name="fig-photos"/>
          <w:p>
            <w:pPr>
              <w:pStyle w:val="Compact"/>
              <w:jc w:val="center"/>
            </w:pPr>
            <w:r>
              <w:drawing>
                <wp:inline>
                  <wp:extent cx="5943600" cy="3080612"/>
                  <wp:effectExtent b="0" l="0" r="0" t="0"/>
                  <wp:docPr descr="" title="" id="39" name="Picture"/>
                  <a:graphic>
                    <a:graphicData uri="http://schemas.openxmlformats.org/drawingml/2006/picture">
                      <pic:pic>
                        <pic:nvPicPr>
                          <pic:cNvPr descr="figs/photos.png" id="40" name="Picture"/>
                          <pic:cNvPicPr>
                            <a:picLocks noChangeArrowheads="1" noChangeAspect="1"/>
                          </pic:cNvPicPr>
                        </pic:nvPicPr>
                        <pic:blipFill>
                          <a:blip r:embed="rId38"/>
                          <a:stretch>
                            <a:fillRect/>
                          </a:stretch>
                        </pic:blipFill>
                        <pic:spPr bwMode="auto">
                          <a:xfrm>
                            <a:off x="0" y="0"/>
                            <a:ext cx="5943600" cy="3080612"/>
                          </a:xfrm>
                          <a:prstGeom prst="rect">
                            <a:avLst/>
                          </a:prstGeom>
                          <a:noFill/>
                          <a:ln w="9525">
                            <a:noFill/>
                            <a:headEnd/>
                            <a:tailEnd/>
                          </a:ln>
                        </pic:spPr>
                      </pic:pic>
                    </a:graphicData>
                  </a:graphic>
                </wp:inline>
              </w:drawing>
            </w:r>
          </w:p>
          <w:p>
            <w:pPr>
              <w:jc w:val="center"/>
            </w:pPr>
            <w:pPr>
              <w:jc w:val="start"/>
              <w:spacing w:before="200"/>
              <w:pStyle w:val="ImageCaption"/>
            </w:pPr>
            <w:r>
              <w:t xml:space="preserve">Fig. 3: Images of Piney Point as shown from the air (a) looking to the northeast and on the ground showing the (b) NGS-S holding pond where the leak in 2021 orginated. The currently closed OGS-S holding is in the foreground of (a) with (from left to right) NGS-N, OGS-N, and NGS-S in the background. The plastic linear of NGS-S is visible in (b). Refer to the caption in</w:t>
            </w:r>
            <w:r>
              <w:t xml:space="preserve"> </w:t>
            </w:r>
            <w:hyperlink w:anchor="fig-map">
              <w:r>
                <w:rPr>
                  <w:rStyle w:val="Hyperlink"/>
                </w:rPr>
                <w:t xml:space="preserve">Figure 2</w:t>
              </w:r>
            </w:hyperlink>
            <w:r>
              <w:t xml:space="preserve"> </w:t>
            </w:r>
            <w:r>
              <w:t xml:space="preserve">for abbreviations for the holding ponds. Source: (a) Florida Department of Environmental Protection and (b) author.</w:t>
            </w:r>
          </w:p>
          <w:bookmarkEnd w:id="41"/>
        </w:tc>
      </w:tr>
    </w:tbl>
    <w:p>
      <w:r>
        <w:br w:type="page"/>
      </w:r>
    </w:p>
    <w:tbl>
      <w:tblPr>
        <w:tblStyle w:val="Table"/>
        <w:tblW w:type="pct" w:w="5000"/>
        <w:tblLayout w:type="fixed"/>
        <w:tblLook w:firstRow="0" w:lastRow="0" w:firstColumn="0" w:lastColumn="0" w:noHBand="0" w:noVBand="0" w:val="0000"/>
      </w:tblPr>
      <w:tblGrid>
        <w:gridCol w:w="7920"/>
      </w:tblGrid>
      <w:tr>
        <w:tc>
          <w:tcPr/>
          <w:bookmarkStart w:id="45" w:name="fig-wqchange"/>
          <w:p>
            <w:pPr>
              <w:pStyle w:val="Compact"/>
              <w:jc w:val="center"/>
            </w:pPr>
            <w:r>
              <w:drawing>
                <wp:inline>
                  <wp:extent cx="5943600" cy="5943600"/>
                  <wp:effectExtent b="0" l="0" r="0" t="0"/>
                  <wp:docPr descr="" title="" id="43" name="Picture"/>
                  <a:graphic>
                    <a:graphicData uri="http://schemas.openxmlformats.org/drawingml/2006/picture">
                      <pic:pic>
                        <pic:nvPicPr>
                          <pic:cNvPr descr="figs/wqchange.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Water quality changes from March to September 2021 near Port Manatee at the discharge point. Monitoring data are shown for (a) total nitrogen for nutrients, (b) chlorophyll-a as an indicator of algal production,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fishkill"/>
          <w:p>
            <w:pPr>
              <w:pStyle w:val="Compact"/>
              <w:jc w:val="center"/>
            </w:pPr>
            <w:r>
              <w:drawing>
                <wp:inline>
                  <wp:extent cx="5943600" cy="3343274"/>
                  <wp:effectExtent b="0" l="0" r="0" t="0"/>
                  <wp:docPr descr="" title="" id="47" name="Picture"/>
                  <a:graphic>
                    <a:graphicData uri="http://schemas.openxmlformats.org/drawingml/2006/picture">
                      <pic:pic>
                        <pic:nvPicPr>
                          <pic:cNvPr descr="figs/fishkill.png" id="48" name="Picture"/>
                          <pic:cNvPicPr>
                            <a:picLocks noChangeArrowheads="1" noChangeAspect="1"/>
                          </pic:cNvPicPr>
                        </pic:nvPicPr>
                        <pic:blipFill>
                          <a:blip r:embed="rId46"/>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5: Fish kill reports for Hillsborough, Manatee, and Pinellas Counties that border Tampa Bay. Plot (a) shows reports by year and plot (b) shows reports by week for 2021. Data from Florida Fish and Wildlife Commission fish kill hotline.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grasschange"/>
          <w:p>
            <w:pPr>
              <w:pStyle w:val="Compact"/>
              <w:jc w:val="center"/>
            </w:pPr>
            <w:r>
              <w:drawing>
                <wp:inline>
                  <wp:extent cx="5943600" cy="3962400"/>
                  <wp:effectExtent b="0" l="0" r="0" t="0"/>
                  <wp:docPr descr="" title="" id="51" name="Picture"/>
                  <a:graphic>
                    <a:graphicData uri="http://schemas.openxmlformats.org/drawingml/2006/picture">
                      <pic:pic>
                        <pic:nvPicPr>
                          <pic:cNvPr descr="figs/seagrasschange.png" id="52"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6: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2</w:t>
              </w:r>
            </w:hyperlink>
            <w:r>
              <w:t xml:space="preserve"> </w:t>
            </w:r>
            <w:r>
              <w:t xml:space="preserve">for the locational context. Data from the Southwest Florida Water Management District.</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capacity"/>
          <w:p>
            <w:pPr>
              <w:pStyle w:val="Compact"/>
              <w:jc w:val="center"/>
            </w:pPr>
            <w:r>
              <w:drawing>
                <wp:inline>
                  <wp:extent cx="5943600" cy="2641600"/>
                  <wp:effectExtent b="0" l="0" r="0" t="0"/>
                  <wp:docPr descr="" title="" id="55" name="Picture"/>
                  <a:graphic>
                    <a:graphicData uri="http://schemas.openxmlformats.org/drawingml/2006/picture">
                      <pic:pic>
                        <pic:nvPicPr>
                          <pic:cNvPr descr="figs/siteclose.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7: Progress to date closing the NGS-S holding pond at Piney Point. The top plot shows the volume of water in the pond and the bottom plot shows the overall capacity of Piney Point to accommodate additional stormwater, inclusive of the volume of water onsite and rainfall. Key events affecting the closure process are shown by the horizontal lines. Data from the Florida Department of Environmental Protection.</w:t>
            </w:r>
          </w:p>
          <w:bookmarkEnd w:id="57"/>
        </w:tc>
      </w:tr>
    </w:tbl>
    <w:p>
      <w:r>
        <w:br w:type="page"/>
      </w:r>
    </w:p>
    <w:bookmarkEnd w:id="58"/>
    <w:bookmarkStart w:id="125" w:name="references"/>
    <w:p>
      <w:pPr>
        <w:pStyle w:val="Heading2"/>
      </w:pPr>
      <w:r>
        <w:t xml:space="preserve">References</w:t>
      </w:r>
    </w:p>
    <w:bookmarkStart w:id="124" w:name="refs"/>
    <w:bookmarkStart w:id="60" w:name="ref-ardaman2022"/>
    <w:p>
      <w:pPr>
        <w:pStyle w:val="Bibliography"/>
      </w:pPr>
      <w:r>
        <w:t xml:space="preserve">Ardaman &amp; Associates, Inc. (2022).</w:t>
      </w:r>
      <w:r>
        <w:t xml:space="preserve"> </w:t>
      </w:r>
      <w:r>
        <w:rPr>
          <w:i/>
          <w:iCs/>
        </w:rPr>
        <w:t xml:space="preserve">Updated conceptual closure plan for ponds</w:t>
      </w:r>
      <w:r>
        <w:rPr>
          <w:i/>
          <w:iCs/>
        </w:rPr>
        <w:t xml:space="preserve"> </w:t>
      </w:r>
      <w:r>
        <w:rPr>
          <w:i/>
          <w:iCs/>
        </w:rPr>
        <w:t xml:space="preserve">NGS-N</w:t>
      </w:r>
      <w:r>
        <w:rPr>
          <w:i/>
          <w:iCs/>
        </w:rPr>
        <w:t xml:space="preserve">,</w:t>
      </w:r>
      <w:r>
        <w:rPr>
          <w:i/>
          <w:iCs/>
        </w:rPr>
        <w:t xml:space="preserve"> </w:t>
      </w:r>
      <w:r>
        <w:rPr>
          <w:i/>
          <w:iCs/>
        </w:rPr>
        <w:t xml:space="preserve">NGS-S</w:t>
      </w:r>
      <w:r>
        <w:rPr>
          <w:i/>
          <w:iCs/>
        </w:rPr>
        <w:t xml:space="preserve">,</w:t>
      </w:r>
      <w:r>
        <w:rPr>
          <w:i/>
          <w:iCs/>
        </w:rPr>
        <w:t xml:space="preserve"> </w:t>
      </w:r>
      <w:r>
        <w:rPr>
          <w:i/>
          <w:iCs/>
        </w:rPr>
        <w:t xml:space="preserve">OGS-S</w:t>
      </w:r>
      <w:r>
        <w:rPr>
          <w:i/>
          <w:iCs/>
        </w:rPr>
        <w:t xml:space="preserve">, and</w:t>
      </w:r>
      <w:r>
        <w:rPr>
          <w:i/>
          <w:iCs/>
        </w:rPr>
        <w:t xml:space="preserve"> </w:t>
      </w:r>
      <w:r>
        <w:rPr>
          <w:i/>
          <w:iCs/>
        </w:rPr>
        <w:t xml:space="preserve">OGS-N</w:t>
      </w:r>
      <w:r>
        <w:rPr>
          <w:i/>
          <w:iCs/>
        </w:rPr>
        <w:t xml:space="preserve"> </w:t>
      </w:r>
      <w:r>
        <w:rPr>
          <w:i/>
          <w:iCs/>
        </w:rPr>
        <w:t xml:space="preserve">in response to</w:t>
      </w:r>
      <w:r>
        <w:rPr>
          <w:i/>
          <w:iCs/>
        </w:rPr>
        <w:t xml:space="preserve"> </w:t>
      </w:r>
      <w:r>
        <w:rPr>
          <w:i/>
          <w:iCs/>
        </w:rPr>
        <w:t xml:space="preserve">FDEP</w:t>
      </w:r>
      <w:r>
        <w:rPr>
          <w:i/>
          <w:iCs/>
        </w:rPr>
        <w:t xml:space="preserve"> </w:t>
      </w:r>
      <w:r>
        <w:rPr>
          <w:i/>
          <w:iCs/>
        </w:rPr>
        <w:t xml:space="preserve">request for additional information,</w:t>
      </w:r>
      <w:r>
        <w:rPr>
          <w:i/>
          <w:iCs/>
        </w:rPr>
        <w:t xml:space="preserve"> </w:t>
      </w:r>
      <w:r>
        <w:rPr>
          <w:i/>
          <w:iCs/>
        </w:rPr>
        <w:t xml:space="preserve">P</w:t>
      </w:r>
      <w:r>
        <w:rPr>
          <w:i/>
          <w:iCs/>
        </w:rPr>
        <w:t xml:space="preserve">iney</w:t>
      </w:r>
      <w:r>
        <w:rPr>
          <w:i/>
          <w:iCs/>
        </w:rPr>
        <w:t xml:space="preserve"> </w:t>
      </w:r>
      <w:r>
        <w:rPr>
          <w:i/>
          <w:iCs/>
        </w:rPr>
        <w:t xml:space="preserve">P</w:t>
      </w:r>
      <w:r>
        <w:rPr>
          <w:i/>
          <w:iCs/>
        </w:rPr>
        <w:t xml:space="preserve">oint phosphogypsum stack system,</w:t>
      </w:r>
      <w:r>
        <w:rPr>
          <w:i/>
          <w:iCs/>
        </w:rPr>
        <w:t xml:space="preserve"> </w:t>
      </w:r>
      <w:r>
        <w:rPr>
          <w:i/>
          <w:iCs/>
        </w:rPr>
        <w:t xml:space="preserve">M</w:t>
      </w:r>
      <w:r>
        <w:rPr>
          <w:i/>
          <w:iCs/>
        </w:rPr>
        <w:t xml:space="preserve">anatee</w:t>
      </w:r>
      <w:r>
        <w:rPr>
          <w:i/>
          <w:iCs/>
        </w:rPr>
        <w:t xml:space="preserve"> </w:t>
      </w:r>
      <w:r>
        <w:rPr>
          <w:i/>
          <w:iCs/>
        </w:rPr>
        <w:t xml:space="preserve">C</w:t>
      </w:r>
      <w:r>
        <w:rPr>
          <w:i/>
          <w:iCs/>
        </w:rPr>
        <w:t xml:space="preserve">ounty,</w:t>
      </w:r>
      <w:r>
        <w:rPr>
          <w:i/>
          <w:iCs/>
        </w:rPr>
        <w:t xml:space="preserve"> </w:t>
      </w:r>
      <w:r>
        <w:rPr>
          <w:i/>
          <w:iCs/>
        </w:rPr>
        <w:t xml:space="preserve">F</w:t>
      </w:r>
      <w:r>
        <w:rPr>
          <w:i/>
          <w:iCs/>
        </w:rPr>
        <w:t xml:space="preserve">lorida</w:t>
      </w:r>
      <w:r>
        <w:t xml:space="preserve"> </w:t>
      </w:r>
      <w:r>
        <w:t xml:space="preserve">(21-13-0031C; p. 268). Ardaman &amp; Associates, Inc.</w:t>
      </w:r>
      <w:r>
        <w:t xml:space="preserve"> </w:t>
      </w:r>
      <w:hyperlink r:id="rId59">
        <w:r>
          <w:rPr>
            <w:rStyle w:val="Hyperlink"/>
          </w:rPr>
          <w:t xml:space="preserve">https://content.govdelivery.com/attachments/FLDEP/2022/03/31/file_attachments/2118832/ConceptualClosurePlan03252022_revisedsmall.pdf</w:t>
        </w:r>
      </w:hyperlink>
    </w:p>
    <w:bookmarkEnd w:id="60"/>
    <w:bookmarkStart w:id="6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61">
        <w:r>
          <w:rPr>
            <w:rStyle w:val="Hyperlink"/>
          </w:rPr>
          <w:t xml:space="preserve">https://doi.org/10.1016/j.marpolbul.2022.113598</w:t>
        </w:r>
      </w:hyperlink>
    </w:p>
    <w:bookmarkEnd w:id="62"/>
    <w:bookmarkStart w:id="6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63"/>
    <w:bookmarkStart w:id="6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64">
        <w:r>
          <w:rPr>
            <w:rStyle w:val="Hyperlink"/>
          </w:rPr>
          <w:t xml:space="preserve">https://doi.org/10.1007/s12237-024-01385-0</w:t>
        </w:r>
      </w:hyperlink>
    </w:p>
    <w:bookmarkEnd w:id="65"/>
    <w:bookmarkStart w:id="6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66">
        <w:r>
          <w:rPr>
            <w:rStyle w:val="Hyperlink"/>
          </w:rPr>
          <w:t xml:space="preserve">https://doi.org/10.1007/s12237-019-00619-w</w:t>
        </w:r>
      </w:hyperlink>
    </w:p>
    <w:bookmarkEnd w:id="67"/>
    <w:bookmarkStart w:id="6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68"/>
    <w:bookmarkStart w:id="7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69">
        <w:r>
          <w:rPr>
            <w:rStyle w:val="Hyperlink"/>
          </w:rPr>
          <w:t xml:space="preserve">https://doi.org/10.1016/j.ecolind.2025.113329</w:t>
        </w:r>
      </w:hyperlink>
    </w:p>
    <w:bookmarkEnd w:id="70"/>
    <w:bookmarkStart w:id="7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71">
        <w:r>
          <w:rPr>
            <w:rStyle w:val="Hyperlink"/>
          </w:rPr>
          <w:t xml:space="preserve">https://doi.org/10.1002/lno.12420</w:t>
        </w:r>
      </w:hyperlink>
    </w:p>
    <w:bookmarkEnd w:id="72"/>
    <w:bookmarkStart w:id="7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73"/>
    <w:bookmarkStart w:id="7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74">
        <w:r>
          <w:rPr>
            <w:rStyle w:val="Hyperlink"/>
          </w:rPr>
          <w:t xml:space="preserve">https://ca.dep.state.fl.us/arcgis/rest/services/OpenData/GYPSUMSTACKS/MapServer/0</w:t>
        </w:r>
      </w:hyperlink>
    </w:p>
    <w:bookmarkEnd w:id="75"/>
    <w:bookmarkStart w:id="77" w:name="ref-fwc2025"/>
    <w:p>
      <w:pPr>
        <w:pStyle w:val="Bibliography"/>
      </w:pPr>
      <w:r>
        <w:t xml:space="preserve">Florida Fish and Wildlife Conservation Commission. (2025).</w:t>
      </w:r>
      <w:r>
        <w:t xml:space="preserve"> </w:t>
      </w:r>
      <w:r>
        <w:rPr>
          <w:i/>
          <w:iCs/>
        </w:rPr>
        <w:t xml:space="preserve">Red tide manatee mortalities</w:t>
      </w:r>
      <w:r>
        <w:t xml:space="preserve">.</w:t>
      </w:r>
      <w:r>
        <w:t xml:space="preserve"> </w:t>
      </w:r>
      <w:hyperlink r:id="rId76">
        <w:r>
          <w:rPr>
            <w:rStyle w:val="Hyperlink"/>
          </w:rPr>
          <w:t xml:space="preserve">https://myfwc.com/research/manatee/rescue-mortality-response/statistics/mortality/red-tide/</w:t>
        </w:r>
      </w:hyperlink>
    </w:p>
    <w:bookmarkEnd w:id="77"/>
    <w:bookmarkStart w:id="79"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78">
        <w:r>
          <w:rPr>
            <w:rStyle w:val="Hyperlink"/>
          </w:rPr>
          <w:t xml:space="preserve">https://doi.org/10.1016/j.marpolbul.2010.11.017</w:t>
        </w:r>
      </w:hyperlink>
    </w:p>
    <w:bookmarkEnd w:id="79"/>
    <w:bookmarkStart w:id="81"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80">
        <w:r>
          <w:rPr>
            <w:rStyle w:val="Hyperlink"/>
          </w:rPr>
          <w:t xml:space="preserve">https://doi.org/10.3389/fevo.2023.1143310</w:t>
        </w:r>
      </w:hyperlink>
    </w:p>
    <w:bookmarkEnd w:id="81"/>
    <w:bookmarkStart w:id="83"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82">
        <w:r>
          <w:rPr>
            <w:rStyle w:val="Hyperlink"/>
          </w:rPr>
          <w:t xml:space="preserve">https://doi.org/10.1007/s00267-005-0079-4</w:t>
        </w:r>
      </w:hyperlink>
    </w:p>
    <w:bookmarkEnd w:id="83"/>
    <w:bookmarkStart w:id="85"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84">
        <w:r>
          <w:rPr>
            <w:rStyle w:val="Hyperlink"/>
          </w:rPr>
          <w:t xml:space="preserve">https://doi.org/10.1016/j.ecss.2014.10.003</w:t>
        </w:r>
      </w:hyperlink>
    </w:p>
    <w:bookmarkEnd w:id="85"/>
    <w:bookmarkStart w:id="87"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86">
        <w:r>
          <w:rPr>
            <w:rStyle w:val="Hyperlink"/>
          </w:rPr>
          <w:t xml:space="preserve">https://doi.org/10.1016/j.jenvman.2016.11.018</w:t>
        </w:r>
      </w:hyperlink>
    </w:p>
    <w:bookmarkEnd w:id="87"/>
    <w:bookmarkStart w:id="88"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88"/>
    <w:bookmarkStart w:id="90"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89">
        <w:r>
          <w:rPr>
            <w:rStyle w:val="Hyperlink"/>
          </w:rPr>
          <w:t xml:space="preserve">https://drive.google.com/file/d/1kZkvuprvsMyN9nPS5PHYvXHyo1KQxKTr/view?usp=drivesdk</w:t>
        </w:r>
      </w:hyperlink>
    </w:p>
    <w:bookmarkEnd w:id="90"/>
    <w:bookmarkStart w:id="92"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91">
        <w:r>
          <w:rPr>
            <w:rStyle w:val="Hyperlink"/>
          </w:rPr>
          <w:t xml:space="preserve">https://drive.google.com/file/d/1XMULU8w4syWcSv_ciOUOhnC_G4xt6GIF/view?usp=drivesdk</w:t>
        </w:r>
      </w:hyperlink>
    </w:p>
    <w:bookmarkEnd w:id="92"/>
    <w:bookmarkStart w:id="94"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93">
        <w:r>
          <w:rPr>
            <w:rStyle w:val="Hyperlink"/>
          </w:rPr>
          <w:t xml:space="preserve">https://drive.google.com/file/d/1KARuSC5fGx05MuT1wiOQFWNXysBokkQl/view?usp=share_link</w:t>
        </w:r>
      </w:hyperlink>
    </w:p>
    <w:bookmarkEnd w:id="94"/>
    <w:bookmarkStart w:id="95"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95"/>
    <w:bookmarkStart w:id="96"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96"/>
    <w:bookmarkStart w:id="98"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97">
        <w:r>
          <w:rPr>
            <w:rStyle w:val="Hyperlink"/>
          </w:rPr>
          <w:t xml:space="preserve">https://doi.org/10.1016/j.marpolbul.2023.115840</w:t>
        </w:r>
      </w:hyperlink>
    </w:p>
    <w:bookmarkEnd w:id="98"/>
    <w:bookmarkStart w:id="100"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99">
        <w:r>
          <w:rPr>
            <w:rStyle w:val="Hyperlink"/>
          </w:rPr>
          <w:t xml:space="preserve">https://doi.org/10.3389/fevo.2023.1144778</w:t>
        </w:r>
      </w:hyperlink>
    </w:p>
    <w:bookmarkEnd w:id="100"/>
    <w:bookmarkStart w:id="102"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101">
        <w:r>
          <w:rPr>
            <w:rStyle w:val="Hyperlink"/>
          </w:rPr>
          <w:t xml:space="preserve">https://doi.org/10.1021/acs.est.1c05311</w:t>
        </w:r>
      </w:hyperlink>
    </w:p>
    <w:bookmarkEnd w:id="102"/>
    <w:bookmarkStart w:id="104"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103">
        <w:r>
          <w:rPr>
            <w:rStyle w:val="Hyperlink"/>
          </w:rPr>
          <w:t xml:space="preserve">https://doi.org/10.1038/s41467-018-03732-9</w:t>
        </w:r>
      </w:hyperlink>
    </w:p>
    <w:bookmarkEnd w:id="104"/>
    <w:bookmarkStart w:id="105"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105"/>
    <w:bookmarkStart w:id="107"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106">
        <w:r>
          <w:rPr>
            <w:rStyle w:val="Hyperlink"/>
          </w:rPr>
          <w:t xml:space="preserve">https://doi.org/10.1007/s00267-013-0179-5</w:t>
        </w:r>
      </w:hyperlink>
    </w:p>
    <w:bookmarkEnd w:id="107"/>
    <w:bookmarkStart w:id="109"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108">
        <w:r>
          <w:rPr>
            <w:rStyle w:val="Hyperlink"/>
          </w:rPr>
          <w:t xml:space="preserve">https://doi.org/10.1016/j.rsma.2015.05.005</w:t>
        </w:r>
      </w:hyperlink>
    </w:p>
    <w:bookmarkEnd w:id="109"/>
    <w:bookmarkStart w:id="111"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110">
        <w:r>
          <w:rPr>
            <w:rStyle w:val="Hyperlink"/>
          </w:rPr>
          <w:t xml:space="preserve">https://doi.org/10.1353/sgo.2017.0026</w:t>
        </w:r>
      </w:hyperlink>
    </w:p>
    <w:bookmarkEnd w:id="111"/>
    <w:bookmarkStart w:id="113"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12">
        <w:r>
          <w:rPr>
            <w:rStyle w:val="Hyperlink"/>
          </w:rPr>
          <w:t xml:space="preserve">https://drive.google.com/file/d/12xYfSs-4bxhLa1ZVQbmhQSv5Jo4Jf-oY/view?usp=sharing</w:t>
        </w:r>
      </w:hyperlink>
    </w:p>
    <w:bookmarkEnd w:id="113"/>
    <w:bookmarkStart w:id="114"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14"/>
    <w:bookmarkStart w:id="116"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15">
        <w:r>
          <w:rPr>
            <w:rStyle w:val="Hyperlink"/>
          </w:rPr>
          <w:t xml:space="preserve">https://tbep.org/piney-point/</w:t>
        </w:r>
      </w:hyperlink>
    </w:p>
    <w:bookmarkEnd w:id="116"/>
    <w:bookmarkStart w:id="118" w:name="ref-usdc2024"/>
    <w:p>
      <w:pPr>
        <w:pStyle w:val="Bibliography"/>
      </w:pPr>
      <w:r>
        <w:t xml:space="preserve">United States District Court, Middle District of Florida. (2024).</w:t>
      </w:r>
      <w:r>
        <w:t xml:space="preserve"> </w:t>
      </w:r>
      <w:r>
        <w:rPr>
          <w:i/>
          <w:iCs/>
        </w:rPr>
        <w:t xml:space="preserve">Order: Default judgment</w:t>
      </w:r>
      <w:r>
        <w:t xml:space="preserve">. Court Order.</w:t>
      </w:r>
      <w:r>
        <w:t xml:space="preserve"> </w:t>
      </w:r>
      <w:hyperlink r:id="rId117">
        <w:r>
          <w:rPr>
            <w:rStyle w:val="Hyperlink"/>
          </w:rPr>
          <w:t xml:space="preserve">https://biologicaldiversity.org/programs/environmental_health/pdfs/Default-Jugment-Order_HRK_Piney-Point.pdf</w:t>
        </w:r>
      </w:hyperlink>
    </w:p>
    <w:bookmarkEnd w:id="118"/>
    <w:bookmarkStart w:id="120"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19">
        <w:r>
          <w:rPr>
            <w:rStyle w:val="Hyperlink"/>
          </w:rPr>
          <w:t xml:space="preserve">https://www.epa.gov/radiation/tenorm-fertilizer-and-fertilizer-production-wastes</w:t>
        </w:r>
      </w:hyperlink>
    </w:p>
    <w:bookmarkEnd w:id="120"/>
    <w:bookmarkStart w:id="121"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21"/>
    <w:bookmarkStart w:id="123"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22">
        <w:r>
          <w:rPr>
            <w:rStyle w:val="Hyperlink"/>
          </w:rPr>
          <w:t xml:space="preserve">https://doi.org/10.1006/ecss.1999.0490</w:t>
        </w:r>
      </w:hyperlink>
    </w:p>
    <w:bookmarkEnd w:id="123"/>
    <w:bookmarkEnd w:id="124"/>
    <w:bookmarkEnd w:id="12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34" Target="media/rId34.jp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hyperlink" Id="rId117" Target="https://biologicaldiversity.org/programs/environmental_health/pdfs/Default-Jugment-Order_HRK_Piney-Point.pdf" TargetMode="External" /><Relationship Type="http://schemas.openxmlformats.org/officeDocument/2006/relationships/hyperlink" Id="rId74" Target="https://ca.dep.state.fl.us/arcgis/rest/services/OpenData/GYPSUMSTACKS/MapServer/0" TargetMode="External" /><Relationship Type="http://schemas.openxmlformats.org/officeDocument/2006/relationships/hyperlink" Id="rId59" Target="https://content.govdelivery.com/attachments/FLDEP/2022/03/31/file_attachments/2118832/ConceptualClosurePlan03252022_revisedsmall.pdf" TargetMode="External" /><Relationship Type="http://schemas.openxmlformats.org/officeDocument/2006/relationships/hyperlink" Id="rId32" Target="https://creativecommons.org/licenses/by-sa/4.0/" TargetMode="External" /><Relationship Type="http://schemas.openxmlformats.org/officeDocument/2006/relationships/hyperlink" Id="rId71" Target="https://doi.org/10.1002/lno.12420" TargetMode="External" /><Relationship Type="http://schemas.openxmlformats.org/officeDocument/2006/relationships/hyperlink" Id="rId122" Target="https://doi.org/10.1006/ecss.1999.0490" TargetMode="External" /><Relationship Type="http://schemas.openxmlformats.org/officeDocument/2006/relationships/hyperlink" Id="rId82" Target="https://doi.org/10.1007/s00267-005-0079-4" TargetMode="External" /><Relationship Type="http://schemas.openxmlformats.org/officeDocument/2006/relationships/hyperlink" Id="rId106" Target="https://doi.org/10.1007/s00267-013-0179-5" TargetMode="External" /><Relationship Type="http://schemas.openxmlformats.org/officeDocument/2006/relationships/hyperlink" Id="rId66" Target="https://doi.org/10.1007/s12237-019-00619-w" TargetMode="External" /><Relationship Type="http://schemas.openxmlformats.org/officeDocument/2006/relationships/hyperlink" Id="rId64" Target="https://doi.org/10.1007/s12237-024-01385-0" TargetMode="External" /><Relationship Type="http://schemas.openxmlformats.org/officeDocument/2006/relationships/hyperlink" Id="rId69" Target="https://doi.org/10.1016/j.ecolind.2025.113329" TargetMode="External" /><Relationship Type="http://schemas.openxmlformats.org/officeDocument/2006/relationships/hyperlink" Id="rId84" Target="https://doi.org/10.1016/j.ecss.2014.10.003" TargetMode="External" /><Relationship Type="http://schemas.openxmlformats.org/officeDocument/2006/relationships/hyperlink" Id="rId86" Target="https://doi.org/10.1016/j.jenvman.2016.11.018" TargetMode="External" /><Relationship Type="http://schemas.openxmlformats.org/officeDocument/2006/relationships/hyperlink" Id="rId78" Target="https://doi.org/10.1016/j.marpolbul.2010.11.017" TargetMode="External" /><Relationship Type="http://schemas.openxmlformats.org/officeDocument/2006/relationships/hyperlink" Id="rId61" Target="https://doi.org/10.1016/j.marpolbul.2022.113598" TargetMode="External" /><Relationship Type="http://schemas.openxmlformats.org/officeDocument/2006/relationships/hyperlink" Id="rId97" Target="https://doi.org/10.1016/j.marpolbul.2023.115840" TargetMode="External" /><Relationship Type="http://schemas.openxmlformats.org/officeDocument/2006/relationships/hyperlink" Id="rId108" Target="https://doi.org/10.1016/j.rsma.2015.05.005" TargetMode="External" /><Relationship Type="http://schemas.openxmlformats.org/officeDocument/2006/relationships/hyperlink" Id="rId101" Target="https://doi.org/10.1021/acs.est.1c05311" TargetMode="External" /><Relationship Type="http://schemas.openxmlformats.org/officeDocument/2006/relationships/hyperlink" Id="rId103" Target="https://doi.org/10.1038/s41467-018-03732-9" TargetMode="External" /><Relationship Type="http://schemas.openxmlformats.org/officeDocument/2006/relationships/hyperlink" Id="rId110" Target="https://doi.org/10.1353/sgo.2017.0026" TargetMode="External" /><Relationship Type="http://schemas.openxmlformats.org/officeDocument/2006/relationships/hyperlink" Id="rId80" Target="https://doi.org/10.3389/fevo.2023.1143310" TargetMode="External" /><Relationship Type="http://schemas.openxmlformats.org/officeDocument/2006/relationships/hyperlink" Id="rId99" Target="https://doi.org/10.3389/fevo.2023.1144778" TargetMode="External" /><Relationship Type="http://schemas.openxmlformats.org/officeDocument/2006/relationships/hyperlink" Id="rId112" Target="https://drive.google.com/file/d/12xYfSs-4bxhLa1ZVQbmhQSv5Jo4Jf-oY/view?usp=sharing" TargetMode="External" /><Relationship Type="http://schemas.openxmlformats.org/officeDocument/2006/relationships/hyperlink" Id="rId93" Target="https://drive.google.com/file/d/1KARuSC5fGx05MuT1wiOQFWNXysBokkQl/view?usp=share_link" TargetMode="External" /><Relationship Type="http://schemas.openxmlformats.org/officeDocument/2006/relationships/hyperlink" Id="rId91" Target="https://drive.google.com/file/d/1XMULU8w4syWcSv_ciOUOhnC_G4xt6GIF/view?usp=drivesdk" TargetMode="External" /><Relationship Type="http://schemas.openxmlformats.org/officeDocument/2006/relationships/hyperlink" Id="rId89" Target="https://drive.google.com/file/d/1kZkvuprvsMyN9nPS5PHYvXHyo1KQxKTr/view?usp=drivesdk" TargetMode="External" /><Relationship Type="http://schemas.openxmlformats.org/officeDocument/2006/relationships/hyperlink" Id="rId31" Target="https://ian.umces.edu/media-library" TargetMode="External" /><Relationship Type="http://schemas.openxmlformats.org/officeDocument/2006/relationships/hyperlink" Id="rId76" Target="https://myfwc.com/research/manatee/rescue-mortality-response/statistics/mortality/red-tide/" TargetMode="External" /><Relationship Type="http://schemas.openxmlformats.org/officeDocument/2006/relationships/hyperlink" Id="rId115" Target="https://tbep.org/piney-point/" TargetMode="External" /><Relationship Type="http://schemas.openxmlformats.org/officeDocument/2006/relationships/hyperlink" Id="rId119"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7" Target="https://biologicaldiversity.org/programs/environmental_health/pdfs/Default-Jugment-Order_HRK_Piney-Point.pdf" TargetMode="External" /><Relationship Type="http://schemas.openxmlformats.org/officeDocument/2006/relationships/hyperlink" Id="rId74" Target="https://ca.dep.state.fl.us/arcgis/rest/services/OpenData/GYPSUMSTACKS/MapServer/0" TargetMode="External" /><Relationship Type="http://schemas.openxmlformats.org/officeDocument/2006/relationships/hyperlink" Id="rId59" Target="https://content.govdelivery.com/attachments/FLDEP/2022/03/31/file_attachments/2118832/ConceptualClosurePlan03252022_revisedsmall.pdf" TargetMode="External" /><Relationship Type="http://schemas.openxmlformats.org/officeDocument/2006/relationships/hyperlink" Id="rId32" Target="https://creativecommons.org/licenses/by-sa/4.0/" TargetMode="External" /><Relationship Type="http://schemas.openxmlformats.org/officeDocument/2006/relationships/hyperlink" Id="rId71" Target="https://doi.org/10.1002/lno.12420" TargetMode="External" /><Relationship Type="http://schemas.openxmlformats.org/officeDocument/2006/relationships/hyperlink" Id="rId122" Target="https://doi.org/10.1006/ecss.1999.0490" TargetMode="External" /><Relationship Type="http://schemas.openxmlformats.org/officeDocument/2006/relationships/hyperlink" Id="rId82" Target="https://doi.org/10.1007/s00267-005-0079-4" TargetMode="External" /><Relationship Type="http://schemas.openxmlformats.org/officeDocument/2006/relationships/hyperlink" Id="rId106" Target="https://doi.org/10.1007/s00267-013-0179-5" TargetMode="External" /><Relationship Type="http://schemas.openxmlformats.org/officeDocument/2006/relationships/hyperlink" Id="rId66" Target="https://doi.org/10.1007/s12237-019-00619-w" TargetMode="External" /><Relationship Type="http://schemas.openxmlformats.org/officeDocument/2006/relationships/hyperlink" Id="rId64" Target="https://doi.org/10.1007/s12237-024-01385-0" TargetMode="External" /><Relationship Type="http://schemas.openxmlformats.org/officeDocument/2006/relationships/hyperlink" Id="rId69" Target="https://doi.org/10.1016/j.ecolind.2025.113329" TargetMode="External" /><Relationship Type="http://schemas.openxmlformats.org/officeDocument/2006/relationships/hyperlink" Id="rId84" Target="https://doi.org/10.1016/j.ecss.2014.10.003" TargetMode="External" /><Relationship Type="http://schemas.openxmlformats.org/officeDocument/2006/relationships/hyperlink" Id="rId86" Target="https://doi.org/10.1016/j.jenvman.2016.11.018" TargetMode="External" /><Relationship Type="http://schemas.openxmlformats.org/officeDocument/2006/relationships/hyperlink" Id="rId78" Target="https://doi.org/10.1016/j.marpolbul.2010.11.017" TargetMode="External" /><Relationship Type="http://schemas.openxmlformats.org/officeDocument/2006/relationships/hyperlink" Id="rId61" Target="https://doi.org/10.1016/j.marpolbul.2022.113598" TargetMode="External" /><Relationship Type="http://schemas.openxmlformats.org/officeDocument/2006/relationships/hyperlink" Id="rId97" Target="https://doi.org/10.1016/j.marpolbul.2023.115840" TargetMode="External" /><Relationship Type="http://schemas.openxmlformats.org/officeDocument/2006/relationships/hyperlink" Id="rId108" Target="https://doi.org/10.1016/j.rsma.2015.05.005" TargetMode="External" /><Relationship Type="http://schemas.openxmlformats.org/officeDocument/2006/relationships/hyperlink" Id="rId101" Target="https://doi.org/10.1021/acs.est.1c05311" TargetMode="External" /><Relationship Type="http://schemas.openxmlformats.org/officeDocument/2006/relationships/hyperlink" Id="rId103" Target="https://doi.org/10.1038/s41467-018-03732-9" TargetMode="External" /><Relationship Type="http://schemas.openxmlformats.org/officeDocument/2006/relationships/hyperlink" Id="rId110" Target="https://doi.org/10.1353/sgo.2017.0026" TargetMode="External" /><Relationship Type="http://schemas.openxmlformats.org/officeDocument/2006/relationships/hyperlink" Id="rId80" Target="https://doi.org/10.3389/fevo.2023.1143310" TargetMode="External" /><Relationship Type="http://schemas.openxmlformats.org/officeDocument/2006/relationships/hyperlink" Id="rId99" Target="https://doi.org/10.3389/fevo.2023.1144778" TargetMode="External" /><Relationship Type="http://schemas.openxmlformats.org/officeDocument/2006/relationships/hyperlink" Id="rId112" Target="https://drive.google.com/file/d/12xYfSs-4bxhLa1ZVQbmhQSv5Jo4Jf-oY/view?usp=sharing" TargetMode="External" /><Relationship Type="http://schemas.openxmlformats.org/officeDocument/2006/relationships/hyperlink" Id="rId93" Target="https://drive.google.com/file/d/1KARuSC5fGx05MuT1wiOQFWNXysBokkQl/view?usp=share_link" TargetMode="External" /><Relationship Type="http://schemas.openxmlformats.org/officeDocument/2006/relationships/hyperlink" Id="rId91" Target="https://drive.google.com/file/d/1XMULU8w4syWcSv_ciOUOhnC_G4xt6GIF/view?usp=drivesdk" TargetMode="External" /><Relationship Type="http://schemas.openxmlformats.org/officeDocument/2006/relationships/hyperlink" Id="rId89" Target="https://drive.google.com/file/d/1kZkvuprvsMyN9nPS5PHYvXHyo1KQxKTr/view?usp=drivesdk" TargetMode="External" /><Relationship Type="http://schemas.openxmlformats.org/officeDocument/2006/relationships/hyperlink" Id="rId31" Target="https://ian.umces.edu/media-library" TargetMode="External" /><Relationship Type="http://schemas.openxmlformats.org/officeDocument/2006/relationships/hyperlink" Id="rId76" Target="https://myfwc.com/research/manatee/rescue-mortality-response/statistics/mortality/red-tide/" TargetMode="External" /><Relationship Type="http://schemas.openxmlformats.org/officeDocument/2006/relationships/hyperlink" Id="rId115" Target="https://tbep.org/piney-point/" TargetMode="External" /><Relationship Type="http://schemas.openxmlformats.org/officeDocument/2006/relationships/hyperlink" Id="rId119"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Sarina J Ergas2, and Jeffrey A Cunningham2</dc:creator>
  <cp:keywords/>
  <dcterms:created xsi:type="dcterms:W3CDTF">2025-06-24T20:39:39Z</dcterms:created>
  <dcterms:modified xsi:type="dcterms:W3CDTF">2025-06-24T20:39:39Z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