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Cs/>
          <w:i/>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as approved by FDEP, contributed to further decline in the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Cs/>
          <w:i/>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Cs/>
          <w:i/>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numPr>
          <w:ilvl w:val="0"/>
          <w:numId w:val="1001"/>
        </w:numPr>
      </w:pPr>
      <w:r>
        <w:t xml:space="preserve">This chapter has focused on the long-term recovery of Tampa Bay and its recent challenges, often evaluating the change in seagrasses as a means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How do these approaches compare for long-term management or in response to acute stressor events like Piney Point?</w:t>
      </w:r>
    </w:p>
    <w:p>
      <w:pPr>
        <w:numPr>
          <w:ilvl w:val="0"/>
          <w:numId w:val="1001"/>
        </w:numPr>
      </w:pPr>
      <w:r>
        <w:t xml:space="preserve">Although the events of 2021 were unprecedented, the coordinated monitoring response was not. The ability of environmental managers to respond to changes in the bay and document the impacts was a demonstration of the value of past partnership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Piney Point was a disaster waiting to happen.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all parties be more proactive in the future to prevent similar events from occurring?</w:t>
      </w:r>
    </w:p>
    <w:bookmarkEnd w:id="26"/>
    <w:bookmarkStart w:id="27"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Many options were considered to process and remove wastewater from Piney Point as part of the long-term closure plan. Ultimately, deep 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in light of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Piney Point is only one example of an external threat to Tampa Bay that requires management to reduce environmental impacts. What other factors in the Tampa Bay region do managers consider for protecting water quality?</w:t>
      </w:r>
    </w:p>
    <w:bookmarkEnd w:id="27"/>
    <w:bookmarkEnd w:id="28"/>
    <w:bookmarkStart w:id="29" w:name="conclusion-500-1000-words"/>
    <w:p>
      <w:pPr>
        <w:pStyle w:val="Heading2"/>
      </w:pPr>
      <w:r>
        <w:t xml:space="preserve">4 Conclusion (500-1000 words)</w:t>
      </w:r>
    </w:p>
    <w:p>
      <w:pPr>
        <w:pStyle w:val="FirstParagraph"/>
      </w:pPr>
      <w:r>
        <w:t xml:space="preserve">This chapter provided an in depth summary of how the decision to release 215 million gallons of wastewater from Piney Point negatively affected the natural resources of Tampa Bay. This decision and its impacts were provided in the context of the the history of Piney Point as well as the long-term recovery of Tampa Bay.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continutes to track total nitrogen loads to they bay over time, with representatives from dozens of regulated and regulatory entities in the region, with the former having allocated shares of total nitrogen not to exceed each year. Of note is the participation of Mosaic, a prominent mining group based in Tampa that has been and will continue to be a part of the TBNMC as an explicit recognition of their responsibility in mitigating impacts to the bay.</w:t>
      </w:r>
    </w:p>
    <w:p>
      <w:pPr>
        <w:pStyle w:val="BodyText"/>
      </w:pPr>
      <w:r>
        <w:t xml:space="preserve">Piney Point has brought additional attention to the impacts of mining on the environment, with a renewed focus on the risks from additional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in the watershed are still actively processing fertilizer, whereas the remainder are closed or inactive. In some respects, the approval by FDEP to remove wastewater by deep well injection at Piney Point may set a precedent for future activities since long-term plans for many of these facilities have not been established. Additionally, moves to adopt more concrete plans for closure of these sites may have been recognition by Mosaic that the public has increased interest in how future operations may have unintended consequences for the environment. Regardless, there is still much uncertainty about the risks associated with this method of removal. Although wastewater at deep well injection sites is pumped much lower than the freshwater aquifer that serves as drinking water for many in the state, the extent to which this water could migrate to other locations is not well understood. Mosaic has also proposed the use of phosphogypsum as a base material for road construction, although critics argue this may pose safety risks to road workers and serve as a source of contamination for surface water. The utility of this approach to repurpose phosphogypsum is also not well understood. Regardless of whether these methods are practical means of removing gypstacks from the landscape, this does suggest recognition by fertilizer producers that these facilities are substantial liabilities in need of closure. It is unclear if the liability is viewed as environmental, financial, or both.</w:t>
      </w:r>
    </w:p>
    <w:p>
      <w:pPr>
        <w:pStyle w:val="BodyText"/>
      </w:pPr>
      <w:r>
        <w:t xml:space="preserve">Countless examples exist worldwide that demonstrate the tradeoffs of human use of natural resources and the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the environment. The long-term recovery of Tampa Bay is one such example of how the population of Tampa Bay continues to grow while water quality is much improved from historical conditions when development occurred unchecked. Despite this success, challenges still remain and the events of 2021 further demonstrate the need for greater regulatory oversight and responsibility of regulated parties. In many cases, these challenges are not fully known until significant harm has already been done to the environment. Environmental management is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the a common good. Development and resource use cannot occur unabated and it is in everyone’s best interest to responsibly balance societal needs with environmental health, whether in Tampa Bay or elsewhere.</w:t>
      </w:r>
    </w:p>
    <w:bookmarkEnd w:id="29"/>
    <w:bookmarkStart w:id="5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Cs/>
          <w:i/>
        </w:rPr>
        <w:t xml:space="preserve">Marine Pollution Bulletin</w:t>
      </w:r>
      <w:r>
        <w:t xml:space="preserve">,</w:t>
      </w:r>
      <w:r>
        <w:t xml:space="preserve"> </w:t>
      </w:r>
      <w:r>
        <w:rPr>
          <w:iCs/>
          <w:i/>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Cs/>
          <w:i/>
        </w:rPr>
        <w:t xml:space="preserve">Estuaries and Coasts</w:t>
      </w:r>
      <w:r>
        <w:t xml:space="preserve">,</w:t>
      </w:r>
      <w:r>
        <w:t xml:space="preserve"> </w:t>
      </w:r>
      <w:r>
        <w:rPr>
          <w:iCs/>
          <w:i/>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w:t>
      </w:r>
      <w:r>
        <w:t xml:space="preserve"> </w:t>
      </w:r>
      <w:r>
        <w:rPr>
          <w:iCs/>
          <w:i/>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Cs/>
          <w:i/>
        </w:rPr>
        <w:t xml:space="preserve">T</w:t>
      </w:r>
      <w:r>
        <w:rPr>
          <w:iCs/>
          <w:i/>
        </w:rPr>
        <w:t xml:space="preserve">ampa</w:t>
      </w:r>
      <w:r>
        <w:rPr>
          <w:iCs/>
          <w:i/>
        </w:rPr>
        <w:t xml:space="preserve"> </w:t>
      </w:r>
      <w:r>
        <w:rPr>
          <w:iCs/>
          <w:i/>
        </w:rPr>
        <w:t xml:space="preserve">B</w:t>
      </w:r>
      <w:r>
        <w:rPr>
          <w:iCs/>
          <w:i/>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Ecological Indicators</w:t>
      </w:r>
      <w:r>
        <w:t xml:space="preserve">,</w:t>
      </w:r>
      <w:r>
        <w:t xml:space="preserve"> </w:t>
      </w:r>
      <w:r>
        <w:rPr>
          <w:iCs/>
          <w:i/>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Cs/>
          <w:i/>
        </w:rPr>
        <w:t xml:space="preserve">r</w:t>
      </w:r>
      <w:r>
        <w:rPr>
          <w:iCs/>
          <w:i/>
        </w:rPr>
        <w:t xml:space="preserve">K</w:t>
      </w:r>
      <w:r>
        <w:t xml:space="preserve">y waters: Modeling the succession from</w:t>
      </w:r>
      <w:r>
        <w:t xml:space="preserve"> </w:t>
      </w:r>
      <w:r>
        <w:rPr>
          <w:iCs/>
          <w:i/>
        </w:rPr>
        <w:t xml:space="preserve">r</w:t>
      </w:r>
      <w:r>
        <w:t xml:space="preserve"> </w:t>
      </w:r>
      <w:r>
        <w:t xml:space="preserve">to</w:t>
      </w:r>
      <w:r>
        <w:t xml:space="preserve"> </w:t>
      </w:r>
      <w:r>
        <w:rPr>
          <w:iCs/>
          <w:i/>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Cs/>
          <w:i/>
        </w:rPr>
        <w:t xml:space="preserve">Limnology and Oceanography</w:t>
      </w:r>
      <w:r>
        <w:t xml:space="preserve">,</w:t>
      </w:r>
      <w:r>
        <w:t xml:space="preserve"> </w:t>
      </w:r>
      <w:r>
        <w:rPr>
          <w:iCs/>
          <w:i/>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Cs/>
          <w:i/>
        </w:rPr>
        <w:t xml:space="preserve">International Oil Spill Conference</w:t>
      </w:r>
      <w:r>
        <w:t xml:space="preserve">,</w:t>
      </w:r>
      <w:r>
        <w:t xml:space="preserve"> </w:t>
      </w:r>
      <w:r>
        <w:rPr>
          <w:iCs/>
          <w:i/>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Cs/>
          <w:i/>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Cs/>
          <w:i/>
        </w:rPr>
        <w:t xml:space="preserve">Marine Pollution Bulletin</w:t>
      </w:r>
      <w:r>
        <w:t xml:space="preserve">,</w:t>
      </w:r>
      <w:r>
        <w:t xml:space="preserve"> </w:t>
      </w:r>
      <w:r>
        <w:rPr>
          <w:iCs/>
          <w:i/>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Cs/>
          <w:i/>
        </w:rPr>
        <w:t xml:space="preserve">T</w:t>
      </w:r>
      <w:r>
        <w:rPr>
          <w:iCs/>
          <w:i/>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Cs/>
          <w:i/>
        </w:rPr>
        <w:t xml:space="preserve">Frontiers in Ecology and Evolution</w:t>
      </w:r>
      <w:r>
        <w:t xml:space="preserve">,</w:t>
      </w:r>
      <w:r>
        <w:t xml:space="preserve"> </w:t>
      </w:r>
      <w:r>
        <w:rPr>
          <w:iCs/>
          <w:i/>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w:t>
      </w:r>
      <w:r>
        <w:t xml:space="preserve"> </w:t>
      </w:r>
      <w:r>
        <w:rPr>
          <w:iCs/>
          <w:i/>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w:t>
      </w:r>
      <w:r>
        <w:t xml:space="preserve"> </w:t>
      </w:r>
      <w:r>
        <w:rPr>
          <w:iCs/>
          <w:i/>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Cs/>
          <w:i/>
        </w:rPr>
        <w:t xml:space="preserve">Journal of Environmental Management</w:t>
      </w:r>
      <w:r>
        <w:t xml:space="preserve">,</w:t>
      </w:r>
      <w:r>
        <w:t xml:space="preserve"> </w:t>
      </w:r>
      <w:r>
        <w:rPr>
          <w:iCs/>
          <w:i/>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Cs/>
          <w:i/>
        </w:rPr>
        <w:t xml:space="preserve">P</w:t>
      </w:r>
      <w:r>
        <w:rPr>
          <w:iCs/>
          <w:i/>
        </w:rPr>
        <w:t xml:space="preserve">iney</w:t>
      </w:r>
      <w:r>
        <w:rPr>
          <w:iCs/>
          <w:i/>
        </w:rPr>
        <w:t xml:space="preserve"> </w:t>
      </w:r>
      <w:r>
        <w:rPr>
          <w:iCs/>
          <w:i/>
        </w:rPr>
        <w:t xml:space="preserve">P</w:t>
      </w:r>
      <w:r>
        <w:rPr>
          <w:iCs/>
          <w:i/>
        </w:rPr>
        <w:t xml:space="preserve">oint phosphate plant: An environmental analysis.</w:t>
      </w:r>
      <w:r>
        <w:rPr>
          <w:iCs/>
          <w:i/>
        </w:rPr>
        <w:t xml:space="preserve"> </w:t>
      </w:r>
      <w:r>
        <w:rPr>
          <w:iCs/>
          <w:i/>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Cs/>
          <w:i/>
        </w:rPr>
        <w:t xml:space="preserve">Estimating critical nitrogen loads for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E</w:t>
      </w:r>
      <w:r>
        <w:rPr>
          <w:iCs/>
          <w:i/>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Cs/>
          <w:i/>
        </w:rPr>
        <w:t xml:space="preserve">Developing and establishing a process to track the status of chlorophyll-a concentrations and light attenuation to support seagrass restoration goals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Cs/>
          <w:i/>
        </w:rPr>
        <w:t xml:space="preserve">Estimates of total nitrogen, total phosphorus, total suspended solids, and biological oxygen demand loadings to</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F</w:t>
      </w:r>
      <w:r>
        <w:rPr>
          <w:iCs/>
          <w:i/>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Cs/>
          <w:i/>
        </w:rPr>
        <w:t xml:space="preserve">Proceedings of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Cs/>
          <w:i/>
        </w:rPr>
        <w:t xml:space="preserve">Seagrasses:</w:t>
      </w:r>
      <w:r>
        <w:rPr>
          <w:iCs/>
          <w:i/>
        </w:rPr>
        <w:t xml:space="preserve"> </w:t>
      </w:r>
      <w:r>
        <w:rPr>
          <w:iCs/>
          <w:i/>
        </w:rPr>
        <w:t xml:space="preserve">M</w:t>
      </w:r>
      <w:r>
        <w:rPr>
          <w:iCs/>
          <w:i/>
        </w:rPr>
        <w:t xml:space="preserve">onitoring,</w:t>
      </w:r>
      <w:r>
        <w:rPr>
          <w:iCs/>
          <w:i/>
        </w:rPr>
        <w:t xml:space="preserve"> </w:t>
      </w:r>
      <w:r>
        <w:rPr>
          <w:iCs/>
          <w:i/>
        </w:rPr>
        <w:t xml:space="preserve">E</w:t>
      </w:r>
      <w:r>
        <w:rPr>
          <w:iCs/>
          <w:i/>
        </w:rPr>
        <w:t xml:space="preserve">cology,</w:t>
      </w:r>
      <w:r>
        <w:rPr>
          <w:iCs/>
          <w:i/>
        </w:rPr>
        <w:t xml:space="preserve"> </w:t>
      </w:r>
      <w:r>
        <w:rPr>
          <w:iCs/>
          <w:i/>
        </w:rPr>
        <w:t xml:space="preserve">P</w:t>
      </w:r>
      <w:r>
        <w:rPr>
          <w:iCs/>
          <w:i/>
        </w:rPr>
        <w:t xml:space="preserve">hysiology, and</w:t>
      </w:r>
      <w:r>
        <w:rPr>
          <w:iCs/>
          <w:i/>
        </w:rPr>
        <w:t xml:space="preserve"> </w:t>
      </w:r>
      <w:r>
        <w:rPr>
          <w:iCs/>
          <w:i/>
        </w:rPr>
        <w:t xml:space="preserve">M</w:t>
      </w:r>
      <w:r>
        <w:rPr>
          <w:iCs/>
          <w:i/>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Cs/>
          <w:i/>
        </w:rPr>
        <w:t xml:space="preserve">Marine Pollution Bulletin</w:t>
      </w:r>
      <w:r>
        <w:t xml:space="preserve">,</w:t>
      </w:r>
      <w:r>
        <w:t xml:space="preserve"> </w:t>
      </w:r>
      <w:r>
        <w:rPr>
          <w:iCs/>
          <w:i/>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Cs/>
          <w:i/>
        </w:rPr>
        <w:t xml:space="preserve">Frontiers in Ecology and Evolution</w:t>
      </w:r>
      <w:r>
        <w:t xml:space="preserve">,</w:t>
      </w:r>
      <w:r>
        <w:t xml:space="preserve"> </w:t>
      </w:r>
      <w:r>
        <w:rPr>
          <w:iCs/>
          <w:i/>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Cs/>
          <w:i/>
        </w:rPr>
        <w:t xml:space="preserve">Environmental Science &amp; Technology</w:t>
      </w:r>
      <w:r>
        <w:t xml:space="preserve">,</w:t>
      </w:r>
      <w:r>
        <w:t xml:space="preserve"> </w:t>
      </w:r>
      <w:r>
        <w:rPr>
          <w:iCs/>
          <w:i/>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Cs/>
          <w:i/>
        </w:rPr>
        <w:t xml:space="preserve">Nature Communications</w:t>
      </w:r>
      <w:r>
        <w:t xml:space="preserve">,</w:t>
      </w:r>
      <w:r>
        <w:t xml:space="preserve"> </w:t>
      </w:r>
      <w:r>
        <w:rPr>
          <w:iCs/>
          <w:i/>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w:t>
      </w:r>
      <w:r>
        <w:t xml:space="preserve"> </w:t>
      </w:r>
      <w:r>
        <w:rPr>
          <w:iCs/>
          <w:i/>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w:t>
      </w:r>
      <w:r>
        <w:t xml:space="preserve"> </w:t>
      </w:r>
      <w:r>
        <w:rPr>
          <w:iCs/>
          <w:i/>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Cs/>
          <w:i/>
        </w:rPr>
        <w:t xml:space="preserve">Regional Studies in Marine Science</w:t>
      </w:r>
      <w:r>
        <w:t xml:space="preserve">,</w:t>
      </w:r>
      <w:r>
        <w:t xml:space="preserve"> </w:t>
      </w:r>
      <w:r>
        <w:rPr>
          <w:iCs/>
          <w:i/>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w:t>
      </w:r>
      <w:r>
        <w:t xml:space="preserve"> </w:t>
      </w:r>
      <w:r>
        <w:rPr>
          <w:iCs/>
          <w:i/>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Cs/>
          <w:i/>
        </w:rPr>
        <w:t xml:space="preserve">O</w:t>
      </w:r>
      <w:r>
        <w:rPr>
          <w:iCs/>
          <w:i/>
        </w:rPr>
        <w:t xml:space="preserve">ld</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Cs/>
          <w:i/>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Cs/>
          <w:i/>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Cs/>
          <w:i/>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Cs/>
          <w:i/>
        </w:rPr>
        <w:t xml:space="preserve">Florida Scientist</w:t>
      </w:r>
      <w:r>
        <w:t xml:space="preserve">,</w:t>
      </w:r>
      <w:r>
        <w:t xml:space="preserve"> </w:t>
      </w:r>
      <w:r>
        <w:rPr>
          <w:iCs/>
          <w:i/>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Estuarine, Coastal and Shelf Science</w:t>
      </w:r>
      <w:r>
        <w:t xml:space="preserve">,</w:t>
      </w:r>
      <w:r>
        <w:t xml:space="preserve"> </w:t>
      </w:r>
      <w:r>
        <w:rPr>
          <w:iCs/>
          <w:i/>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2025-05-05T19:47:15Z</dcterms:created>
  <dcterms:modified xsi:type="dcterms:W3CDTF">2025-05-05T19:47:15Z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