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0.jpg" ContentType="image/jpeg"/>
  <Override PartName="/word/media/rId42.png" ContentType="image/png"/>
  <Override PartName="/word/media/rId46.png" ContentType="image/png"/>
  <Override PartName="/word/media/rId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maladies.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communities, private businesses, and local governments to work towards the common goal of a healthy Tampa Bay. The TBEP also manages the Tampa Bay Nitrogen Management Consortium (TBNMC) with representatives from public and private entities that have a shared responsibility to control sources of pollution to Tampa Bay. The TBNMC has worked to reduce nitrogen loads as a key water quality pollutant,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undesirable conditions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as a byproduct of historical processing are stored on site, with no useful application given the chemical characteristics of the water and the logistics of its removal. Central Florida has had a long and complicated history with fertilizer mining</w:t>
      </w:r>
      <w:r>
        <w:t xml:space="preserve"> </w:t>
      </w:r>
      <w:r>
        <w:t xml:space="preserve">(Nelson et al., 2021)</w:t>
      </w:r>
      <w:r>
        <w:t xml:space="preserve">. While these activities support economic growth, there are often unintended consequences for the natural environment. Piney Point embodies this relationship, as fertilizer export outside of the region has had economic benefits,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w:t>
      </w:r>
      <w:r>
        <w:t xml:space="preserve"> </w:t>
      </w:r>
      <w:r>
        <w:t xml:space="preserve">(Beck et al., 2022; Morrison et al., 2023; Nelson et al., 2021)</w:t>
      </w:r>
      <w:r>
        <w:t xml:space="preserve">.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Cs/>
          <w:i/>
        </w:rPr>
        <w:t xml:space="preserve">Karenia brevis</w:t>
      </w:r>
      <w:r>
        <w:t xml:space="preserve"> </w:t>
      </w:r>
      <w:r>
        <w:t xml:space="preserve">that was likely fueled by the nutrient-rich wastewater from Piney Point</w:t>
      </w:r>
      <w:r>
        <w:t xml:space="preserve"> </w:t>
      </w:r>
      <w:r>
        <w:t xml:space="preserve">(Chen et al., 2023)</w:t>
      </w:r>
      <w:r>
        <w:t xml:space="preserve">.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5"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high concentrations of phosphorus that aquatic organisms have adapted to over geologic time scales</w:t>
      </w:r>
      <w:r>
        <w:t xml:space="preserve"> </w:t>
      </w:r>
      <w:r>
        <w:t xml:space="preserve">(Wang et al., 1999)</w:t>
      </w:r>
      <w:r>
        <w:t xml:space="preserve">.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w:t>
      </w:r>
      <w:r>
        <w:t xml:space="preserve"> </w:t>
      </w:r>
      <w:r>
        <w:t xml:space="preserve">(Greening et al., 2014)</w:t>
      </w:r>
      <w:r>
        <w:t xml:space="preserve">. However, byproducts from fertilizer production can be rich in both phosphorus and nitrogen. Fertilizer processing facilities are often located near distribution centers like marine ports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w:t>
      </w:r>
      <w:r>
        <w:t xml:space="preserve"> </w:t>
      </w:r>
      <w:r>
        <w:t xml:space="preserve">(U.S. Environmental Protection Agency, 2025)</w:t>
      </w:r>
      <w:r>
        <w:t xml:space="preserve">. This waste is called phosphogypsum and it has minimal commercial applications, owing primarily to its radioactive characteristics. Phosphogypsum is stored on-site as large stacks (or gypstacks) that are visible miles away and are often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long-after fertilizer production stops, with 17 such examples in the Tampa Bay watershed</w:t>
      </w:r>
      <w:r>
        <w:t xml:space="preserve"> </w:t>
      </w:r>
      <w:r>
        <w:t xml:space="preserve">(25 total in Florida, Florida Department of Environmental Protection, 2025)</w:t>
      </w:r>
      <w:r>
        <w:t xml:space="preserve">.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Wastewater from Piney Point was released to Bishop Harbor in 2001 due to tropical storm activity and again in November 2003 to October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such that any future uses must protect and be compatible with integrity of stack closure and long-term care, as defined in their agreement.</w:t>
      </w:r>
    </w:p>
    <w:p>
      <w:pPr>
        <w:pStyle w:val="BodyText"/>
      </w:pPr>
      <w:r>
        <w:t xml:space="preserve">Over the course of its ownership, site management decisions by HRK, as approved by FDEP, contributed to further decline in the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Cs/>
          <w:i/>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Cs/>
          <w:i/>
        </w:rPr>
        <w:t xml:space="preserve">Karenia brevis</w:t>
      </w:r>
      <w:r>
        <w:t xml:space="preserve"> </w:t>
      </w:r>
      <w:r>
        <w:t xml:space="preserve">increased dramatically in the bay. Red tide was first observed outside of Tampa Bay on April 20th, first measured at bloom concentrations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3</w:t>
        </w:r>
      </w:hyperlink>
      <w:r>
        <w:t xml:space="preserve">). Compared to other years, 2021 was a distinct outlier in the number of reported fish kills.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w:t>
      </w:r>
      <w:r>
        <w:t xml:space="preserve"> </w:t>
      </w:r>
      <w:hyperlink r:id="rId24">
        <w:r>
          <w:rPr>
            <w:rStyle w:val="Hyperlink"/>
          </w:rPr>
          <w:t xml:space="preserve">closure plan</w:t>
        </w:r>
      </w:hyperlink>
      <w:r>
        <w:t xml:space="preserve"> </w:t>
      </w:r>
      <w:r>
        <w:t xml:space="preserve">for the facility as adopted and implemented by FDEP. These plans included using an independent third-party as a court-appointed receiver to oversee the closure process, with specific actions to treat the wastewater onsite prior to pumping the water underground using a newly constructed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bookmarkEnd w:id="25"/>
    <w:bookmarkStart w:id="28" w:name="student-activities-500-1000-words"/>
    <w:p>
      <w:pPr>
        <w:pStyle w:val="Heading2"/>
      </w:pPr>
      <w:r>
        <w:t xml:space="preserve">3 Student Activities (500-1000 words)</w:t>
      </w:r>
    </w:p>
    <w:bookmarkStart w:id="26" w:name="classroom-discussion-questions"/>
    <w:p>
      <w:pPr>
        <w:pStyle w:val="Heading3"/>
      </w:pPr>
      <w:r>
        <w:t xml:space="preserve">3.1 Classroom discussion questions</w:t>
      </w:r>
    </w:p>
    <w:p>
      <w:pPr>
        <w:numPr>
          <w:ilvl w:val="0"/>
          <w:numId w:val="1001"/>
        </w:numPr>
      </w:pPr>
      <w:r>
        <w:t xml:space="preserve">This chapter focused on the long-term recovery of Tampa Bay and its recent challenges, often discussing the change in seagrasses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recovery. How do these approaches compare for long-term management or in response to acute stressor events like Piney Point?</w:t>
      </w:r>
    </w:p>
    <w:p>
      <w:pPr>
        <w:numPr>
          <w:ilvl w:val="0"/>
          <w:numId w:val="1001"/>
        </w:numPr>
      </w:pPr>
      <w:r>
        <w:t xml:space="preserve">Although the events of 2021 were unprecedented, the coordinated monitoring response was not. The ability of environmental managers to respond to changes in the bay and document the impacts was a demonstration of the value of past partnerships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on the environment from these facilities? Do you feel that the economic benefits justify continued fertilizer production relative to the impacts from Piney Point and other facilities in the region?</w:t>
      </w:r>
    </w:p>
    <w:p>
      <w:pPr>
        <w:numPr>
          <w:ilvl w:val="0"/>
          <w:numId w:val="1001"/>
        </w:numPr>
      </w:pPr>
      <w:r>
        <w:t xml:space="preserve">Piney Point was a disaster waiting to happen.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 that could influence their choices on factors contributing to the events of 2021. Do you think any one party was to blame? How can all parties be more proactive in the future to prevent similar events from occurring?</w:t>
      </w:r>
    </w:p>
    <w:bookmarkEnd w:id="26"/>
    <w:bookmarkStart w:id="27"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2</w:t>
        </w:r>
      </w:hyperlink>
      <w:r>
        <w:t xml:space="preserve">. Develop a narrative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3</w:t>
        </w:r>
      </w:hyperlink>
      <w:r>
        <w:t xml:space="preserve"> </w:t>
      </w:r>
      <w:r>
        <w:t xml:space="preserve">and</w:t>
      </w:r>
      <w:r>
        <w:t xml:space="preserve"> </w:t>
      </w:r>
      <w:hyperlink w:anchor="fig-seagrasschange">
        <w:r>
          <w:rPr>
            <w:rStyle w:val="Hyperlink"/>
          </w:rPr>
          <w:t xml:space="preserve">Figure 4</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40 years ago? Which environmental resources of the bay would most be at risk compared to today?</w:t>
      </w:r>
    </w:p>
    <w:p>
      <w:pPr>
        <w:numPr>
          <w:ilvl w:val="0"/>
          <w:numId w:val="1002"/>
        </w:numPr>
      </w:pPr>
      <w:r>
        <w:t xml:space="preserve">Many options were considered to process and remove wastewater from Piney Point as part of the long-term closure plan. Ultimately, deep well injection was chosen as the preferred method. Conduct a short literature review of this method for wastewater disposal to identify the risks and benefits relative to other methods.</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relative to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of natural resources. Piney Point is only one example of an external threat to Tampa Bay that requires management to reduce environmental impacts. What other factors in the Tampa Bay region do managers consider for protecting water quality?</w:t>
      </w:r>
    </w:p>
    <w:bookmarkEnd w:id="27"/>
    <w:bookmarkEnd w:id="28"/>
    <w:bookmarkStart w:id="29" w:name="conclusion-500-1000-words"/>
    <w:p>
      <w:pPr>
        <w:pStyle w:val="Heading2"/>
      </w:pPr>
      <w:r>
        <w:t xml:space="preserve">4 Conclusion (500-1000 words)</w:t>
      </w:r>
    </w:p>
    <w:p>
      <w:pPr>
        <w:pStyle w:val="FirstParagraph"/>
      </w:pPr>
      <w:r>
        <w:t xml:space="preserve">This chapter provided an in depth summary of how the decision to release 215 million gallons of wastewater from Piney Point negatively affected the natural resources of Tampa Bay. This decision and its impacts were provided in the context of the the history of Piney Point as well as the long-term recovery of Tampa Bay over several decades.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A fundamental focus remains on the control of external sources of nitrogen that can degrade water quality and seagrass habitat. In particular, the TBNMC continues to track total nitrogen loads to they bay over time, with representatives from dozens of regulated and regulatory entities in the region, with the former having allocated shares of total nitrogen not to exceed each year. Of note is the participation of Mosaic, a prominent mining group based in Tampa that has been and will continue to be a part of the TBNMC as an explicit recognition of their responsibility in mitigating impacts to the bay.</w:t>
      </w:r>
    </w:p>
    <w:p>
      <w:pPr>
        <w:pStyle w:val="BodyText"/>
      </w:pPr>
      <w:r>
        <w:t xml:space="preserve">Piney Point has brought additional attention to the impacts of mining on the environment, with a renewed focus on the risks from additional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gypstacks in the watershed are still actively processing fertilizer, whereas the remainder are closed or inactive. In some respects, the approval by FDEP to remove wastewater by deep well injection at Piney Point may set a precedent for future closure activities since long-term plans for many of these facilities have not been established. Additionally, moves to adopt more concrete plans for closure of these sites may have been recognition by Mosaic that the public has increased interest in how future operations may have unintended consequences for the environment. Regardless, there is still much uncertainty about the risks associated with this method of removal. Although wastewater at deep well injection sites is pumped much lower than the freshwater aquifer that serves as drinking water for many in the state, the extent to which this water could migrate to other locations is not well understood. Mosaic has also proposed the use of phosphogypsum as a base material for road construction, although critics argue this may pose safety risks to road workers and serve as a source of contamination for surface water. The utility and potential impacts of this approach to repurpose phosphogypsum are also not well understood. Regardless of whether these methods are practical means of safely and responsibly closing inactive mining facilities, this does suggest recognition by fertilizer producers that these facilities are substantial liabilities that require more attention to mitigate their external impacts. It is unclear if the liability is viewed as environmental, financial, or both.</w:t>
      </w:r>
    </w:p>
    <w:p>
      <w:pPr>
        <w:pStyle w:val="BodyText"/>
      </w:pPr>
      <w:r>
        <w:t xml:space="preserve">Countless examples exist worldwide that demonstrate the tradeoffs of human use of natural resources and the impacts on the environment. For centuries, these tradeoffs often favored societal and economic gain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existence and environmental sustainability. The long-term recovery of Tampa Bay is one such example of how the population of Tampa Bay continues to grow while water quality is much improved from historical conditions when development occurred unchecked. Despite this success, challenges still remain and the events of 2021 further demonstrate the need for greater regulatory oversight and responsibility of regulated parties. In many cases, these challenges are not fully known until significant harm has already been done to the environment. Environmental management and regulatory oversight are more effective if actions are taken proactively rather than in reaction to events that cause harm to natural resources. However, proactive management is not possible unless all parties with vested interests in environmental health, including those that are sources of pollution, work together for the a common good. Development and resource use cannot occur unabated and it is in everyone’s best interest to responsibly balance societal needs with environmental health, whether in Tampa Bay or elsewhere.</w:t>
      </w:r>
    </w:p>
    <w:p>
      <w:r>
        <w:br w:type="page"/>
      </w:r>
    </w:p>
    <w:bookmarkEnd w:id="29"/>
    <w:bookmarkStart w:id="5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3" w:name="fig-map"/>
          <w:p>
            <w:pPr>
              <w:pStyle w:val="Compact"/>
              <w:jc w:val="center"/>
            </w:pPr>
            <w:r>
              <w:drawing>
                <wp:inline>
                  <wp:extent cx="5916168" cy="7070598"/>
                  <wp:effectExtent b="0" l="0" r="0" t="0"/>
                  <wp:docPr descr="" title="" id="31" name="Picture"/>
                  <a:graphic>
                    <a:graphicData uri="http://schemas.openxmlformats.org/drawingml/2006/picture">
                      <pic:pic>
                        <pic:nvPicPr>
                          <pic:cNvPr descr="figs/map.jpg" id="32" name="Picture"/>
                          <pic:cNvPicPr>
                            <a:picLocks noChangeArrowheads="1" noChangeAspect="1"/>
                          </pic:cNvPicPr>
                        </pic:nvPicPr>
                        <pic:blipFill>
                          <a:blip r:embed="rId30"/>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7" w:name="fig-wqchange"/>
          <w:p>
            <w:pPr>
              <w:pStyle w:val="Compact"/>
              <w:jc w:val="center"/>
            </w:pPr>
            <w:r>
              <w:drawing>
                <wp:inline>
                  <wp:extent cx="5943600" cy="2447364"/>
                  <wp:effectExtent b="0" l="0" r="0" t="0"/>
                  <wp:docPr descr="" title="" id="35" name="Picture"/>
                  <a:graphic>
                    <a:graphicData uri="http://schemas.openxmlformats.org/drawingml/2006/picture">
                      <pic:pic>
                        <pic:nvPicPr>
                          <pic:cNvPr descr="figs/wqchange.png" id="36" name="Picture"/>
                          <pic:cNvPicPr>
                            <a:picLocks noChangeArrowheads="1" noChangeAspect="1"/>
                          </pic:cNvPicPr>
                        </pic:nvPicPr>
                        <pic:blipFill>
                          <a:blip r:embed="rId34"/>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1" w:name="fig-fishkill"/>
          <w:p>
            <w:pPr>
              <w:pStyle w:val="Compact"/>
              <w:jc w:val="center"/>
            </w:pPr>
            <w:r>
              <w:drawing>
                <wp:inline>
                  <wp:extent cx="5943600" cy="3343274"/>
                  <wp:effectExtent b="0" l="0" r="0" t="0"/>
                  <wp:docPr descr="" title="" id="39" name="Picture"/>
                  <a:graphic>
                    <a:graphicData uri="http://schemas.openxmlformats.org/drawingml/2006/picture">
                      <pic:pic>
                        <pic:nvPicPr>
                          <pic:cNvPr descr="figs/fishkill.png" id="40" name="Picture"/>
                          <pic:cNvPicPr>
                            <a:picLocks noChangeArrowheads="1" noChangeAspect="1"/>
                          </pic:cNvPicPr>
                        </pic:nvPicPr>
                        <pic:blipFill>
                          <a:blip r:embed="rId38"/>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seagrasschange"/>
          <w:p>
            <w:pPr>
              <w:pStyle w:val="Compact"/>
              <w:jc w:val="center"/>
            </w:pPr>
            <w:r>
              <w:drawing>
                <wp:inline>
                  <wp:extent cx="5943600" cy="3962400"/>
                  <wp:effectExtent b="0" l="0" r="0" t="0"/>
                  <wp:docPr descr="" title="" id="43" name="Picture"/>
                  <a:graphic>
                    <a:graphicData uri="http://schemas.openxmlformats.org/drawingml/2006/picture">
                      <pic:pic>
                        <pic:nvPicPr>
                          <pic:cNvPr descr="figs/seagrasschange.png" id="44"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capacity"/>
          <w:p>
            <w:pPr>
              <w:pStyle w:val="Compact"/>
              <w:jc w:val="center"/>
            </w:pPr>
            <w:r>
              <w:drawing>
                <wp:inline>
                  <wp:extent cx="5943600" cy="2641600"/>
                  <wp:effectExtent b="0" l="0" r="0" t="0"/>
                  <wp:docPr descr="" title="" id="47" name="Picture"/>
                  <a:graphic>
                    <a:graphicData uri="http://schemas.openxmlformats.org/drawingml/2006/picture">
                      <pic:pic>
                        <pic:nvPicPr>
                          <pic:cNvPr descr="figs/siteclose.png" id="48"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9"/>
        </w:tc>
      </w:tr>
    </w:tbl>
    <w:p>
      <w:r>
        <w:br w:type="page"/>
      </w:r>
    </w:p>
    <w:bookmarkEnd w:id="50"/>
    <w:bookmarkStart w:id="111" w:name="references"/>
    <w:p>
      <w:pPr>
        <w:pStyle w:val="Heading2"/>
      </w:pPr>
      <w:r>
        <w:t xml:space="preserve">References</w:t>
      </w:r>
    </w:p>
    <w:bookmarkStart w:id="110" w:name="refs"/>
    <w:bookmarkStart w:id="5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Cs/>
          <w:i/>
        </w:rPr>
        <w:t xml:space="preserve">Marine Pollution Bulletin</w:t>
      </w:r>
      <w:r>
        <w:t xml:space="preserve">,</w:t>
      </w:r>
      <w:r>
        <w:t xml:space="preserve"> </w:t>
      </w:r>
      <w:r>
        <w:rPr>
          <w:iCs/>
          <w:i/>
        </w:rPr>
        <w:t xml:space="preserve">178</w:t>
      </w:r>
      <w:r>
        <w:t xml:space="preserve">, 113598.</w:t>
      </w:r>
      <w:r>
        <w:t xml:space="preserve"> </w:t>
      </w:r>
      <w:hyperlink r:id="rId51">
        <w:r>
          <w:rPr>
            <w:rStyle w:val="Hyperlink"/>
          </w:rPr>
          <w:t xml:space="preserve">https://doi.org/10.1016/j.marpolbul.2022.113598</w:t>
        </w:r>
      </w:hyperlink>
    </w:p>
    <w:bookmarkEnd w:id="52"/>
    <w:bookmarkStart w:id="5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Cs/>
          <w:i/>
        </w:rPr>
        <w:t xml:space="preserve">Florida Scientist</w:t>
      </w:r>
      <w:r>
        <w:t xml:space="preserve">,</w:t>
      </w:r>
      <w:r>
        <w:t xml:space="preserve"> </w:t>
      </w:r>
      <w:r>
        <w:rPr>
          <w:iCs/>
          <w:i/>
        </w:rPr>
        <w:t xml:space="preserve">86</w:t>
      </w:r>
      <w:r>
        <w:t xml:space="preserve">(2), 288–300.</w:t>
      </w:r>
    </w:p>
    <w:bookmarkEnd w:id="53"/>
    <w:bookmarkStart w:id="5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Cs/>
          <w:i/>
        </w:rPr>
        <w:t xml:space="preserve">Estuaries and Coasts</w:t>
      </w:r>
      <w:r>
        <w:t xml:space="preserve">,</w:t>
      </w:r>
      <w:r>
        <w:t xml:space="preserve"> </w:t>
      </w:r>
      <w:r>
        <w:rPr>
          <w:iCs/>
          <w:i/>
        </w:rPr>
        <w:t xml:space="preserve">47</w:t>
      </w:r>
      <w:r>
        <w:t xml:space="preserve">(6), 1475–1497.</w:t>
      </w:r>
      <w:r>
        <w:t xml:space="preserve"> </w:t>
      </w:r>
      <w:hyperlink r:id="rId54">
        <w:r>
          <w:rPr>
            <w:rStyle w:val="Hyperlink"/>
          </w:rPr>
          <w:t xml:space="preserve">https://doi.org/10.1007/s12237-024-01385-0</w:t>
        </w:r>
      </w:hyperlink>
    </w:p>
    <w:bookmarkEnd w:id="55"/>
    <w:bookmarkStart w:id="5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w:t>
      </w:r>
      <w:r>
        <w:t xml:space="preserve"> </w:t>
      </w:r>
      <w:r>
        <w:rPr>
          <w:iCs/>
          <w:i/>
        </w:rPr>
        <w:t xml:space="preserve">42</w:t>
      </w:r>
      <w:r>
        <w:t xml:space="preserve">(7), 1774–1791.</w:t>
      </w:r>
      <w:r>
        <w:t xml:space="preserve"> </w:t>
      </w:r>
      <w:hyperlink r:id="rId56">
        <w:r>
          <w:rPr>
            <w:rStyle w:val="Hyperlink"/>
          </w:rPr>
          <w:t xml:space="preserve">https://doi.org/10.1007/s12237-019-00619-w</w:t>
        </w:r>
      </w:hyperlink>
    </w:p>
    <w:bookmarkEnd w:id="57"/>
    <w:bookmarkStart w:id="58" w:name="ref-bennett2024"/>
    <w:p>
      <w:pPr>
        <w:pStyle w:val="Bibliography"/>
      </w:pPr>
      <w:r>
        <w:t xml:space="preserve">Bennett, E. P. (2024).</w:t>
      </w:r>
      <w:r>
        <w:t xml:space="preserve"> </w:t>
      </w:r>
      <w:r>
        <w:rPr>
          <w:iCs/>
          <w:i/>
        </w:rPr>
        <w:t xml:space="preserve">T</w:t>
      </w:r>
      <w:r>
        <w:rPr>
          <w:iCs/>
          <w:i/>
        </w:rPr>
        <w:t xml:space="preserve">ampa</w:t>
      </w:r>
      <w:r>
        <w:rPr>
          <w:iCs/>
          <w:i/>
        </w:rPr>
        <w:t xml:space="preserve"> </w:t>
      </w:r>
      <w:r>
        <w:rPr>
          <w:iCs/>
          <w:i/>
        </w:rPr>
        <w:t xml:space="preserve">B</w:t>
      </w:r>
      <w:r>
        <w:rPr>
          <w:iCs/>
          <w:i/>
        </w:rPr>
        <w:t xml:space="preserve">ay: The story of an estuary and its people</w:t>
      </w:r>
      <w:r>
        <w:t xml:space="preserve">. University Press of Florida.</w:t>
      </w:r>
    </w:p>
    <w:bookmarkEnd w:id="58"/>
    <w:bookmarkStart w:id="6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Ecological Indicators</w:t>
      </w:r>
      <w:r>
        <w:t xml:space="preserve">,</w:t>
      </w:r>
      <w:r>
        <w:t xml:space="preserve"> </w:t>
      </w:r>
      <w:r>
        <w:rPr>
          <w:iCs/>
          <w:i/>
        </w:rPr>
        <w:t xml:space="preserve">172</w:t>
      </w:r>
      <w:r>
        <w:t xml:space="preserve">, 113329.</w:t>
      </w:r>
      <w:r>
        <w:t xml:space="preserve"> </w:t>
      </w:r>
      <w:hyperlink r:id="rId59">
        <w:r>
          <w:rPr>
            <w:rStyle w:val="Hyperlink"/>
          </w:rPr>
          <w:t xml:space="preserve">https://doi.org/10.1016/j.ecolind.2025.113329</w:t>
        </w:r>
      </w:hyperlink>
    </w:p>
    <w:bookmarkEnd w:id="60"/>
    <w:bookmarkStart w:id="62" w:name="ref-chen2023"/>
    <w:p>
      <w:pPr>
        <w:pStyle w:val="Bibliography"/>
      </w:pPr>
      <w:r>
        <w:t xml:space="preserve">Chen, Y., Li, M., Glibert, P. M., &amp; Heil, C. (2023). Mu</w:t>
      </w:r>
      <w:r>
        <w:rPr>
          <w:iCs/>
          <w:i/>
        </w:rPr>
        <w:t xml:space="preserve">r</w:t>
      </w:r>
      <w:r>
        <w:rPr>
          <w:iCs/>
          <w:i/>
        </w:rPr>
        <w:t xml:space="preserve">K</w:t>
      </w:r>
      <w:r>
        <w:t xml:space="preserve">y waters: Modeling the succession from</w:t>
      </w:r>
      <w:r>
        <w:t xml:space="preserve"> </w:t>
      </w:r>
      <w:r>
        <w:rPr>
          <w:iCs/>
          <w:i/>
        </w:rPr>
        <w:t xml:space="preserve">r</w:t>
      </w:r>
      <w:r>
        <w:t xml:space="preserve"> </w:t>
      </w:r>
      <w:r>
        <w:t xml:space="preserve">to</w:t>
      </w:r>
      <w:r>
        <w:t xml:space="preserve"> </w:t>
      </w:r>
      <w:r>
        <w:rPr>
          <w:iCs/>
          <w:i/>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Cs/>
          <w:i/>
        </w:rPr>
        <w:t xml:space="preserve">Limnology and Oceanography</w:t>
      </w:r>
      <w:r>
        <w:t xml:space="preserve">,</w:t>
      </w:r>
      <w:r>
        <w:t xml:space="preserve"> </w:t>
      </w:r>
      <w:r>
        <w:rPr>
          <w:iCs/>
          <w:i/>
        </w:rPr>
        <w:t xml:space="preserve">68</w:t>
      </w:r>
      <w:r>
        <w:t xml:space="preserve">(10), 2288–2304.</w:t>
      </w:r>
      <w:r>
        <w:t xml:space="preserve"> </w:t>
      </w:r>
      <w:hyperlink r:id="rId61">
        <w:r>
          <w:rPr>
            <w:rStyle w:val="Hyperlink"/>
          </w:rPr>
          <w:t xml:space="preserve">https://doi.org/10.1002/lno.12420</w:t>
        </w:r>
      </w:hyperlink>
    </w:p>
    <w:bookmarkEnd w:id="62"/>
    <w:bookmarkStart w:id="6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Cs/>
          <w:i/>
        </w:rPr>
        <w:t xml:space="preserve">International Oil Spill Conference</w:t>
      </w:r>
      <w:r>
        <w:t xml:space="preserve">,</w:t>
      </w:r>
      <w:r>
        <w:t xml:space="preserve"> </w:t>
      </w:r>
      <w:r>
        <w:rPr>
          <w:iCs/>
          <w:i/>
        </w:rPr>
        <w:t xml:space="preserve">2001</w:t>
      </w:r>
      <w:r>
        <w:t xml:space="preserve">, 1511–1516.</w:t>
      </w:r>
    </w:p>
    <w:bookmarkEnd w:id="63"/>
    <w:bookmarkStart w:id="65" w:name="ref-fdep2025"/>
    <w:p>
      <w:pPr>
        <w:pStyle w:val="Bibliography"/>
      </w:pPr>
      <w:r>
        <w:t xml:space="preserve">Florida Department of Environmental Protection. (2025).</w:t>
      </w:r>
      <w:r>
        <w:t xml:space="preserve"> </w:t>
      </w:r>
      <w:r>
        <w:rPr>
          <w:iCs/>
          <w:i/>
        </w:rPr>
        <w:t xml:space="preserve">Florida Gypsumstacks</w:t>
      </w:r>
      <w:r>
        <w:t xml:space="preserve">. Florida Department of Environmental Protection Geospatial Open Data.</w:t>
      </w:r>
      <w:r>
        <w:t xml:space="preserve"> </w:t>
      </w:r>
      <w:hyperlink r:id="rId64">
        <w:r>
          <w:rPr>
            <w:rStyle w:val="Hyperlink"/>
          </w:rPr>
          <w:t xml:space="preserve">https://ca.dep.state.fl.us/arcgis/rest/services/OpenData/GYPSUMSTACKS/MapServer/0</w:t>
        </w:r>
      </w:hyperlink>
    </w:p>
    <w:bookmarkEnd w:id="65"/>
    <w:bookmarkStart w:id="67" w:name="ref-garrett2011"/>
    <w:p>
      <w:pPr>
        <w:pStyle w:val="Bibliography"/>
      </w:pPr>
      <w:r>
        <w:t xml:space="preserve">Garrett, M., Wolny, J., Truby, E., Heil, C., &amp; Kovach, C. (2011). Harmful algal bloom species and phosphate-processing effluent: Field and laboratory studies.</w:t>
      </w:r>
      <w:r>
        <w:t xml:space="preserve"> </w:t>
      </w:r>
      <w:r>
        <w:rPr>
          <w:iCs/>
          <w:i/>
        </w:rPr>
        <w:t xml:space="preserve">Marine Pollution Bulletin</w:t>
      </w:r>
      <w:r>
        <w:t xml:space="preserve">,</w:t>
      </w:r>
      <w:r>
        <w:t xml:space="preserve"> </w:t>
      </w:r>
      <w:r>
        <w:rPr>
          <w:iCs/>
          <w:i/>
        </w:rPr>
        <w:t xml:space="preserve">62</w:t>
      </w:r>
      <w:r>
        <w:t xml:space="preserve">(3), 596–601.</w:t>
      </w:r>
      <w:r>
        <w:t xml:space="preserve"> </w:t>
      </w:r>
      <w:hyperlink r:id="rId66">
        <w:r>
          <w:rPr>
            <w:rStyle w:val="Hyperlink"/>
          </w:rPr>
          <w:t xml:space="preserve">https://doi.org/10.1016/j.marpolbul.2010.11.017</w:t>
        </w:r>
      </w:hyperlink>
    </w:p>
    <w:bookmarkEnd w:id="67"/>
    <w:bookmarkStart w:id="69" w:name="ref-gowans2023"/>
    <w:p>
      <w:pPr>
        <w:pStyle w:val="Bibliography"/>
      </w:pPr>
      <w:r>
        <w:t xml:space="preserve">Gowans, S., &amp; Siuda, A. N. (2023). Microplastics in large marine herbivores:</w:t>
      </w:r>
      <w:r>
        <w:t xml:space="preserve"> </w:t>
      </w:r>
      <w:r>
        <w:t xml:space="preserve">F</w:t>
      </w:r>
      <w:r>
        <w:t xml:space="preserve">lorida manatees (</w:t>
      </w:r>
      <w:r>
        <w:rPr>
          <w:iCs/>
          <w:i/>
        </w:rPr>
        <w:t xml:space="preserve">T</w:t>
      </w:r>
      <w:r>
        <w:rPr>
          <w:iCs/>
          <w:i/>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Cs/>
          <w:i/>
        </w:rPr>
        <w:t xml:space="preserve">Frontiers in Ecology and Evolution</w:t>
      </w:r>
      <w:r>
        <w:t xml:space="preserve">,</w:t>
      </w:r>
      <w:r>
        <w:t xml:space="preserve"> </w:t>
      </w:r>
      <w:r>
        <w:rPr>
          <w:iCs/>
          <w:i/>
        </w:rPr>
        <w:t xml:space="preserve">11</w:t>
      </w:r>
      <w:r>
        <w:t xml:space="preserve">, 1143310.</w:t>
      </w:r>
      <w:r>
        <w:t xml:space="preserve"> </w:t>
      </w:r>
      <w:hyperlink r:id="rId68">
        <w:r>
          <w:rPr>
            <w:rStyle w:val="Hyperlink"/>
          </w:rPr>
          <w:t xml:space="preserve">https://doi.org/10.3389/fevo.2023.1143310</w:t>
        </w:r>
      </w:hyperlink>
    </w:p>
    <w:bookmarkEnd w:id="69"/>
    <w:bookmarkStart w:id="71"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w:t>
      </w:r>
      <w:r>
        <w:t xml:space="preserve"> </w:t>
      </w:r>
      <w:r>
        <w:rPr>
          <w:iCs/>
          <w:i/>
        </w:rPr>
        <w:t xml:space="preserve">38</w:t>
      </w:r>
      <w:r>
        <w:t xml:space="preserve">(2), 163–178.</w:t>
      </w:r>
      <w:r>
        <w:t xml:space="preserve"> </w:t>
      </w:r>
      <w:hyperlink r:id="rId70">
        <w:r>
          <w:rPr>
            <w:rStyle w:val="Hyperlink"/>
          </w:rPr>
          <w:t xml:space="preserve">https://doi.org/10.1007/s00267-005-0079-4</w:t>
        </w:r>
      </w:hyperlink>
    </w:p>
    <w:bookmarkEnd w:id="71"/>
    <w:bookmarkStart w:id="73"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w:t>
      </w:r>
      <w:r>
        <w:t xml:space="preserve"> </w:t>
      </w:r>
      <w:r>
        <w:rPr>
          <w:iCs/>
          <w:i/>
        </w:rPr>
        <w:t xml:space="preserve">151</w:t>
      </w:r>
      <w:r>
        <w:t xml:space="preserve">, A1–A16.</w:t>
      </w:r>
      <w:r>
        <w:t xml:space="preserve"> </w:t>
      </w:r>
      <w:hyperlink r:id="rId72">
        <w:r>
          <w:rPr>
            <w:rStyle w:val="Hyperlink"/>
          </w:rPr>
          <w:t xml:space="preserve">https://doi.org/10.1016/j.ecss.2014.10.003</w:t>
        </w:r>
      </w:hyperlink>
    </w:p>
    <w:bookmarkEnd w:id="73"/>
    <w:bookmarkStart w:id="75" w:name="ref-gross2017"/>
    <w:p>
      <w:pPr>
        <w:pStyle w:val="Bibliography"/>
      </w:pPr>
      <w:r>
        <w:t xml:space="preserve">Gross, C., &amp; Hagy III, J. D. (2017). Attributes of successful actions to restore lakes and estuaries degraded by nutrient pollution.</w:t>
      </w:r>
      <w:r>
        <w:t xml:space="preserve"> </w:t>
      </w:r>
      <w:r>
        <w:rPr>
          <w:iCs/>
          <w:i/>
        </w:rPr>
        <w:t xml:space="preserve">Journal of Environmental Management</w:t>
      </w:r>
      <w:r>
        <w:t xml:space="preserve">,</w:t>
      </w:r>
      <w:r>
        <w:t xml:space="preserve"> </w:t>
      </w:r>
      <w:r>
        <w:rPr>
          <w:iCs/>
          <w:i/>
        </w:rPr>
        <w:t xml:space="preserve">187</w:t>
      </w:r>
      <w:r>
        <w:t xml:space="preserve">, 122–136.</w:t>
      </w:r>
      <w:r>
        <w:t xml:space="preserve"> </w:t>
      </w:r>
      <w:hyperlink r:id="rId74">
        <w:r>
          <w:rPr>
            <w:rStyle w:val="Hyperlink"/>
          </w:rPr>
          <w:t xml:space="preserve">https://doi.org/10.1016/j.jenvman.2016.11.018</w:t>
        </w:r>
      </w:hyperlink>
    </w:p>
    <w:bookmarkEnd w:id="75"/>
    <w:bookmarkStart w:id="76" w:name="ref-henderson2004"/>
    <w:p>
      <w:pPr>
        <w:pStyle w:val="Bibliography"/>
      </w:pPr>
      <w:r>
        <w:t xml:space="preserve">Henderson, C. S. (2004).</w:t>
      </w:r>
      <w:r>
        <w:t xml:space="preserve"> </w:t>
      </w:r>
      <w:r>
        <w:rPr>
          <w:iCs/>
          <w:i/>
        </w:rPr>
        <w:t xml:space="preserve">P</w:t>
      </w:r>
      <w:r>
        <w:rPr>
          <w:iCs/>
          <w:i/>
        </w:rPr>
        <w:t xml:space="preserve">iney</w:t>
      </w:r>
      <w:r>
        <w:rPr>
          <w:iCs/>
          <w:i/>
        </w:rPr>
        <w:t xml:space="preserve"> </w:t>
      </w:r>
      <w:r>
        <w:rPr>
          <w:iCs/>
          <w:i/>
        </w:rPr>
        <w:t xml:space="preserve">P</w:t>
      </w:r>
      <w:r>
        <w:rPr>
          <w:iCs/>
          <w:i/>
        </w:rPr>
        <w:t xml:space="preserve">oint phosphate plant: An environmental analysis.</w:t>
      </w:r>
      <w:r>
        <w:rPr>
          <w:iCs/>
          <w:i/>
        </w:rPr>
        <w:t xml:space="preserve"> </w:t>
      </w:r>
      <w:r>
        <w:rPr>
          <w:iCs/>
          <w:i/>
        </w:rPr>
        <w:t xml:space="preserve">University of South Florida St. Petersburg, Florida</w:t>
      </w:r>
      <w:r>
        <w:t xml:space="preserve">.</w:t>
      </w:r>
    </w:p>
    <w:bookmarkEnd w:id="76"/>
    <w:bookmarkStart w:id="78" w:name="ref-tbep0696"/>
    <w:p>
      <w:pPr>
        <w:pStyle w:val="Bibliography"/>
      </w:pPr>
      <w:r>
        <w:t xml:space="preserve">Janicki, A. J., &amp; Wade, D. L. (1996).</w:t>
      </w:r>
      <w:r>
        <w:t xml:space="preserve"> </w:t>
      </w:r>
      <w:r>
        <w:rPr>
          <w:iCs/>
          <w:i/>
        </w:rPr>
        <w:t xml:space="preserve">Estimating critical nitrogen loads for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E</w:t>
      </w:r>
      <w:r>
        <w:rPr>
          <w:iCs/>
          <w:i/>
        </w:rPr>
        <w:t xml:space="preserve">stuary: An empirically based approach to setting management targets</w:t>
      </w:r>
      <w:r>
        <w:t xml:space="preserve"> </w:t>
      </w:r>
      <w:r>
        <w:t xml:space="preserve">(06-96). Tampa Bay Estuary Program.</w:t>
      </w:r>
      <w:r>
        <w:t xml:space="preserve"> </w:t>
      </w:r>
      <w:hyperlink r:id="rId77">
        <w:r>
          <w:rPr>
            <w:rStyle w:val="Hyperlink"/>
          </w:rPr>
          <w:t xml:space="preserve">https://drive.google.com/file/d/1kZkvuprvsMyN9nPS5PHYvXHyo1KQxKTr/view?usp=drivesdk</w:t>
        </w:r>
      </w:hyperlink>
    </w:p>
    <w:bookmarkEnd w:id="78"/>
    <w:bookmarkStart w:id="80" w:name="ref-tbep0400"/>
    <w:p>
      <w:pPr>
        <w:pStyle w:val="Bibliography"/>
      </w:pPr>
      <w:r>
        <w:t xml:space="preserve">Janicki, A. J., Wade, D., &amp; Pribble, J. R. (2000).</w:t>
      </w:r>
      <w:r>
        <w:t xml:space="preserve"> </w:t>
      </w:r>
      <w:r>
        <w:rPr>
          <w:iCs/>
          <w:i/>
        </w:rPr>
        <w:t xml:space="preserve">Developing and establishing a process to track the status of chlorophyll-a concentrations and light attenuation to support seagrass restoration goals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t xml:space="preserve"> </w:t>
      </w:r>
      <w:r>
        <w:t xml:space="preserve">(04-00). Tampa Bay Estuary Program.</w:t>
      </w:r>
      <w:r>
        <w:t xml:space="preserve"> </w:t>
      </w:r>
      <w:hyperlink r:id="rId79">
        <w:r>
          <w:rPr>
            <w:rStyle w:val="Hyperlink"/>
          </w:rPr>
          <w:t xml:space="preserve">https://drive.google.com/file/d/1XMULU8w4syWcSv_ciOUOhnC_G4xt6GIF/view?usp=drivesdk</w:t>
        </w:r>
      </w:hyperlink>
    </w:p>
    <w:bookmarkEnd w:id="80"/>
    <w:bookmarkStart w:id="82" w:name="ref-tbep0623"/>
    <w:p>
      <w:pPr>
        <w:pStyle w:val="Bibliography"/>
      </w:pPr>
      <w:r>
        <w:t xml:space="preserve">Janicki Environmental, Inc. (2023).</w:t>
      </w:r>
      <w:r>
        <w:t xml:space="preserve"> </w:t>
      </w:r>
      <w:r>
        <w:rPr>
          <w:iCs/>
          <w:i/>
        </w:rPr>
        <w:t xml:space="preserve">Estimates of total nitrogen, total phosphorus, total suspended solids, and biological oxygen demand loadings to</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2017-2021</w:t>
      </w:r>
      <w:r>
        <w:t xml:space="preserve"> </w:t>
      </w:r>
      <w:r>
        <w:t xml:space="preserve">(06-23; p. 83). Tampa Bay Estuary Program.</w:t>
      </w:r>
      <w:r>
        <w:t xml:space="preserve"> </w:t>
      </w:r>
      <w:hyperlink r:id="rId81">
        <w:r>
          <w:rPr>
            <w:rStyle w:val="Hyperlink"/>
          </w:rPr>
          <w:t xml:space="preserve">https://drive.google.com/file/d/1KARuSC5fGx05MuT1wiOQFWNXysBokkQl/view?usp=share_link</w:t>
        </w:r>
      </w:hyperlink>
    </w:p>
    <w:bookmarkEnd w:id="82"/>
    <w:bookmarkStart w:id="83"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Cs/>
          <w:i/>
        </w:rPr>
        <w:t xml:space="preserve">Proceedings of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 2</w:t>
      </w:r>
      <w:r>
        <w:t xml:space="preserve"> </w:t>
      </w:r>
      <w:r>
        <w:t xml:space="preserve">(pp. 157–176). Tampa Bay Regional Planning Council.</w:t>
      </w:r>
    </w:p>
    <w:bookmarkEnd w:id="83"/>
    <w:bookmarkStart w:id="84"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Cs/>
          <w:i/>
        </w:rPr>
        <w:t xml:space="preserve">Seagrasses:</w:t>
      </w:r>
      <w:r>
        <w:rPr>
          <w:iCs/>
          <w:i/>
        </w:rPr>
        <w:t xml:space="preserve"> </w:t>
      </w:r>
      <w:r>
        <w:rPr>
          <w:iCs/>
          <w:i/>
        </w:rPr>
        <w:t xml:space="preserve">M</w:t>
      </w:r>
      <w:r>
        <w:rPr>
          <w:iCs/>
          <w:i/>
        </w:rPr>
        <w:t xml:space="preserve">onitoring,</w:t>
      </w:r>
      <w:r>
        <w:rPr>
          <w:iCs/>
          <w:i/>
        </w:rPr>
        <w:t xml:space="preserve"> </w:t>
      </w:r>
      <w:r>
        <w:rPr>
          <w:iCs/>
          <w:i/>
        </w:rPr>
        <w:t xml:space="preserve">E</w:t>
      </w:r>
      <w:r>
        <w:rPr>
          <w:iCs/>
          <w:i/>
        </w:rPr>
        <w:t xml:space="preserve">cology,</w:t>
      </w:r>
      <w:r>
        <w:rPr>
          <w:iCs/>
          <w:i/>
        </w:rPr>
        <w:t xml:space="preserve"> </w:t>
      </w:r>
      <w:r>
        <w:rPr>
          <w:iCs/>
          <w:i/>
        </w:rPr>
        <w:t xml:space="preserve">P</w:t>
      </w:r>
      <w:r>
        <w:rPr>
          <w:iCs/>
          <w:i/>
        </w:rPr>
        <w:t xml:space="preserve">hysiology, and</w:t>
      </w:r>
      <w:r>
        <w:rPr>
          <w:iCs/>
          <w:i/>
        </w:rPr>
        <w:t xml:space="preserve"> </w:t>
      </w:r>
      <w:r>
        <w:rPr>
          <w:iCs/>
          <w:i/>
        </w:rPr>
        <w:t xml:space="preserve">M</w:t>
      </w:r>
      <w:r>
        <w:rPr>
          <w:iCs/>
          <w:i/>
        </w:rPr>
        <w:t xml:space="preserve">anagement</w:t>
      </w:r>
      <w:r>
        <w:t xml:space="preserve"> </w:t>
      </w:r>
      <w:r>
        <w:t xml:space="preserve">(pp. 297–312). CRC Press.</w:t>
      </w:r>
    </w:p>
    <w:bookmarkEnd w:id="84"/>
    <w:bookmarkStart w:id="86"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Cs/>
          <w:i/>
        </w:rPr>
        <w:t xml:space="preserve">Marine Pollution Bulletin</w:t>
      </w:r>
      <w:r>
        <w:t xml:space="preserve">,</w:t>
      </w:r>
      <w:r>
        <w:t xml:space="preserve"> </w:t>
      </w:r>
      <w:r>
        <w:rPr>
          <w:iCs/>
          <w:i/>
        </w:rPr>
        <w:t xml:space="preserve">198</w:t>
      </w:r>
      <w:r>
        <w:t xml:space="preserve">, 115840.</w:t>
      </w:r>
      <w:r>
        <w:t xml:space="preserve"> </w:t>
      </w:r>
      <w:hyperlink r:id="rId85">
        <w:r>
          <w:rPr>
            <w:rStyle w:val="Hyperlink"/>
          </w:rPr>
          <w:t xml:space="preserve">https://doi.org/10.1016/j.marpolbul.2023.115840</w:t>
        </w:r>
      </w:hyperlink>
    </w:p>
    <w:bookmarkEnd w:id="86"/>
    <w:bookmarkStart w:id="88"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Cs/>
          <w:i/>
        </w:rPr>
        <w:t xml:space="preserve">Frontiers in Ecology and Evolution</w:t>
      </w:r>
      <w:r>
        <w:t xml:space="preserve">,</w:t>
      </w:r>
      <w:r>
        <w:t xml:space="preserve"> </w:t>
      </w:r>
      <w:r>
        <w:rPr>
          <w:iCs/>
          <w:i/>
        </w:rPr>
        <w:t xml:space="preserve">11</w:t>
      </w:r>
      <w:r>
        <w:t xml:space="preserve">, 1144778.</w:t>
      </w:r>
      <w:r>
        <w:t xml:space="preserve"> </w:t>
      </w:r>
      <w:hyperlink r:id="rId87">
        <w:r>
          <w:rPr>
            <w:rStyle w:val="Hyperlink"/>
          </w:rPr>
          <w:t xml:space="preserve">https://doi.org/10.3389/fevo.2023.1144778</w:t>
        </w:r>
      </w:hyperlink>
    </w:p>
    <w:bookmarkEnd w:id="88"/>
    <w:bookmarkStart w:id="90"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Cs/>
          <w:i/>
        </w:rPr>
        <w:t xml:space="preserve">Environmental Science &amp; Technology</w:t>
      </w:r>
      <w:r>
        <w:t xml:space="preserve">,</w:t>
      </w:r>
      <w:r>
        <w:t xml:space="preserve"> </w:t>
      </w:r>
      <w:r>
        <w:rPr>
          <w:iCs/>
          <w:i/>
        </w:rPr>
        <w:t xml:space="preserve">55</w:t>
      </w:r>
      <w:r>
        <w:t xml:space="preserve">(24), 16267–16269.</w:t>
      </w:r>
      <w:r>
        <w:t xml:space="preserve"> </w:t>
      </w:r>
      <w:hyperlink r:id="rId89">
        <w:r>
          <w:rPr>
            <w:rStyle w:val="Hyperlink"/>
          </w:rPr>
          <w:t xml:space="preserve">https://doi.org/10.1021/acs.est.1c05311</w:t>
        </w:r>
      </w:hyperlink>
    </w:p>
    <w:bookmarkEnd w:id="90"/>
    <w:bookmarkStart w:id="92"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Cs/>
          <w:i/>
        </w:rPr>
        <w:t xml:space="preserve">Nature Communications</w:t>
      </w:r>
      <w:r>
        <w:t xml:space="preserve">,</w:t>
      </w:r>
      <w:r>
        <w:t xml:space="preserve"> </w:t>
      </w:r>
      <w:r>
        <w:rPr>
          <w:iCs/>
          <w:i/>
        </w:rPr>
        <w:t xml:space="preserve">9</w:t>
      </w:r>
      <w:r>
        <w:t xml:space="preserve">(1324).</w:t>
      </w:r>
      <w:r>
        <w:t xml:space="preserve"> </w:t>
      </w:r>
      <w:hyperlink r:id="rId91">
        <w:r>
          <w:rPr>
            <w:rStyle w:val="Hyperlink"/>
          </w:rPr>
          <w:t xml:space="preserve">https://doi.org/10.1038/s41467-018-03732-9</w:t>
        </w:r>
      </w:hyperlink>
    </w:p>
    <w:bookmarkEnd w:id="92"/>
    <w:bookmarkStart w:id="93"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w:t>
      </w:r>
      <w:r>
        <w:t xml:space="preserve"> </w:t>
      </w:r>
      <w:r>
        <w:rPr>
          <w:iCs/>
          <w:i/>
        </w:rPr>
        <w:t xml:space="preserve">86</w:t>
      </w:r>
      <w:r>
        <w:t xml:space="preserve">, 2.</w:t>
      </w:r>
    </w:p>
    <w:bookmarkEnd w:id="93"/>
    <w:bookmarkStart w:id="95"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w:t>
      </w:r>
      <w:r>
        <w:t xml:space="preserve"> </w:t>
      </w:r>
      <w:r>
        <w:rPr>
          <w:iCs/>
          <w:i/>
        </w:rPr>
        <w:t xml:space="preserve">53</w:t>
      </w:r>
      <w:r>
        <w:t xml:space="preserve">(2), 401–415.</w:t>
      </w:r>
      <w:r>
        <w:t xml:space="preserve"> </w:t>
      </w:r>
      <w:hyperlink r:id="rId94">
        <w:r>
          <w:rPr>
            <w:rStyle w:val="Hyperlink"/>
          </w:rPr>
          <w:t xml:space="preserve">https://doi.org/10.1007/s00267-013-0179-5</w:t>
        </w:r>
      </w:hyperlink>
    </w:p>
    <w:bookmarkEnd w:id="95"/>
    <w:bookmarkStart w:id="97" w:name="ref-sherwood2016"/>
    <w:p>
      <w:pPr>
        <w:pStyle w:val="Bibliography"/>
      </w:pPr>
      <w:r>
        <w:t xml:space="preserve">Sherwood, E. T., Greening, H. S., Janicki, A. J., &amp; Karlen, D. J. (2016). Tampa Bay estuary: Monitoring long-term recovery through regional partnerships.</w:t>
      </w:r>
      <w:r>
        <w:t xml:space="preserve"> </w:t>
      </w:r>
      <w:r>
        <w:rPr>
          <w:iCs/>
          <w:i/>
        </w:rPr>
        <w:t xml:space="preserve">Regional Studies in Marine Science</w:t>
      </w:r>
      <w:r>
        <w:t xml:space="preserve">,</w:t>
      </w:r>
      <w:r>
        <w:t xml:space="preserve"> </w:t>
      </w:r>
      <w:r>
        <w:rPr>
          <w:iCs/>
          <w:i/>
        </w:rPr>
        <w:t xml:space="preserve">4</w:t>
      </w:r>
      <w:r>
        <w:t xml:space="preserve">, 1–11.</w:t>
      </w:r>
      <w:r>
        <w:t xml:space="preserve"> </w:t>
      </w:r>
      <w:hyperlink r:id="rId96">
        <w:r>
          <w:rPr>
            <w:rStyle w:val="Hyperlink"/>
          </w:rPr>
          <w:t xml:space="preserve">https://doi.org/10.1016/j.rsma.2015.05.005</w:t>
        </w:r>
      </w:hyperlink>
    </w:p>
    <w:bookmarkEnd w:id="97"/>
    <w:bookmarkStart w:id="99"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w:t>
      </w:r>
      <w:r>
        <w:t xml:space="preserve"> </w:t>
      </w:r>
      <w:r>
        <w:rPr>
          <w:iCs/>
          <w:i/>
        </w:rPr>
        <w:t xml:space="preserve">57</w:t>
      </w:r>
      <w:r>
        <w:t xml:space="preserve">(3), 294–319.</w:t>
      </w:r>
      <w:r>
        <w:t xml:space="preserve"> </w:t>
      </w:r>
      <w:hyperlink r:id="rId98">
        <w:r>
          <w:rPr>
            <w:rStyle w:val="Hyperlink"/>
          </w:rPr>
          <w:t xml:space="preserve">https://doi.org/10.1353/sgo.2017.0026</w:t>
        </w:r>
      </w:hyperlink>
    </w:p>
    <w:bookmarkEnd w:id="99"/>
    <w:bookmarkStart w:id="101" w:name="ref-tbep0525"/>
    <w:p>
      <w:pPr>
        <w:pStyle w:val="Bibliography"/>
      </w:pPr>
      <w:r>
        <w:t xml:space="preserve">Stantec Consulting Services, Inc. (2025).</w:t>
      </w:r>
      <w:r>
        <w:t xml:space="preserve"> </w:t>
      </w:r>
      <w:r>
        <w:rPr>
          <w:iCs/>
          <w:i/>
        </w:rPr>
        <w:t xml:space="preserve">O</w:t>
      </w:r>
      <w:r>
        <w:rPr>
          <w:iCs/>
          <w:i/>
        </w:rPr>
        <w:t xml:space="preserve">ld</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00">
        <w:r>
          <w:rPr>
            <w:rStyle w:val="Hyperlink"/>
          </w:rPr>
          <w:t xml:space="preserve">https://drive.google.com/file/d/12xYfSs-4bxhLa1ZVQbmhQSv5Jo4Jf-oY/view?usp=sharing</w:t>
        </w:r>
      </w:hyperlink>
    </w:p>
    <w:bookmarkEnd w:id="101"/>
    <w:bookmarkStart w:id="102" w:name="ref-switzer2011"/>
    <w:p>
      <w:pPr>
        <w:pStyle w:val="Bibliography"/>
      </w:pPr>
      <w:r>
        <w:t xml:space="preserve">Switzer, T. S., Tyler-Jedlund, A. J., Rogers, K. R., Grier, H., McMichael Jr, R. H., &amp; Fox, S. (2011).</w:t>
      </w:r>
      <w:r>
        <w:t xml:space="preserve"> </w:t>
      </w:r>
      <w:r>
        <w:rPr>
          <w:iCs/>
          <w:i/>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02"/>
    <w:bookmarkStart w:id="104" w:name="ref-tbep2022"/>
    <w:p>
      <w:pPr>
        <w:pStyle w:val="Bibliography"/>
      </w:pPr>
      <w:r>
        <w:t xml:space="preserve">Tampa Bay Estuary Program. (2022).</w:t>
      </w:r>
      <w:r>
        <w:t xml:space="preserve"> </w:t>
      </w:r>
      <w:r>
        <w:rPr>
          <w:iCs/>
          <w:i/>
        </w:rPr>
        <w:t xml:space="preserve">Piney Point Monitoring</w:t>
      </w:r>
      <w:r>
        <w:t xml:space="preserve">. Tampa Bay Estuary Program.</w:t>
      </w:r>
      <w:r>
        <w:t xml:space="preserve"> </w:t>
      </w:r>
      <w:hyperlink r:id="rId103">
        <w:r>
          <w:rPr>
            <w:rStyle w:val="Hyperlink"/>
          </w:rPr>
          <w:t xml:space="preserve">https://tbep.org/piney-point/</w:t>
        </w:r>
      </w:hyperlink>
    </w:p>
    <w:bookmarkEnd w:id="104"/>
    <w:bookmarkStart w:id="106" w:name="ref-usepa2025"/>
    <w:p>
      <w:pPr>
        <w:pStyle w:val="Bibliography"/>
      </w:pPr>
      <w:r>
        <w:t xml:space="preserve">U.S. Environmental Protection Agency. (2025).</w:t>
      </w:r>
      <w:r>
        <w:t xml:space="preserve"> </w:t>
      </w:r>
      <w:r>
        <w:rPr>
          <w:iCs/>
          <w:i/>
        </w:rPr>
        <w:t xml:space="preserve">TENORM: Fertilizer and Fertilizer Production Wastes</w:t>
      </w:r>
      <w:r>
        <w:t xml:space="preserve">. United States Environmental Protection Agency.</w:t>
      </w:r>
      <w:r>
        <w:t xml:space="preserve"> </w:t>
      </w:r>
      <w:hyperlink r:id="rId105">
        <w:r>
          <w:rPr>
            <w:rStyle w:val="Hyperlink"/>
          </w:rPr>
          <w:t xml:space="preserve">https://www.epa.gov/radiation/tenorm-fertilizer-and-fertilizer-production-wastes</w:t>
        </w:r>
      </w:hyperlink>
    </w:p>
    <w:bookmarkEnd w:id="106"/>
    <w:bookmarkStart w:id="107"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Cs/>
          <w:i/>
        </w:rPr>
        <w:t xml:space="preserve">Florida Scientist</w:t>
      </w:r>
      <w:r>
        <w:t xml:space="preserve">,</w:t>
      </w:r>
      <w:r>
        <w:t xml:space="preserve"> </w:t>
      </w:r>
      <w:r>
        <w:rPr>
          <w:iCs/>
          <w:i/>
        </w:rPr>
        <w:t xml:space="preserve">86</w:t>
      </w:r>
      <w:r>
        <w:t xml:space="preserve">(2), 91–94.</w:t>
      </w:r>
    </w:p>
    <w:bookmarkEnd w:id="107"/>
    <w:bookmarkStart w:id="109"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Estuarine, Coastal and Shelf Science</w:t>
      </w:r>
      <w:r>
        <w:t xml:space="preserve">,</w:t>
      </w:r>
      <w:r>
        <w:t xml:space="preserve"> </w:t>
      </w:r>
      <w:r>
        <w:rPr>
          <w:iCs/>
          <w:i/>
        </w:rPr>
        <w:t xml:space="preserve">49</w:t>
      </w:r>
      <w:r>
        <w:t xml:space="preserve">(1), 1–20.</w:t>
      </w:r>
      <w:r>
        <w:t xml:space="preserve"> </w:t>
      </w:r>
      <w:hyperlink r:id="rId108">
        <w:r>
          <w:rPr>
            <w:rStyle w:val="Hyperlink"/>
          </w:rPr>
          <w:t xml:space="preserve">https://doi.org/10.1006/ecss.1999.0490</w:t>
        </w:r>
      </w:hyperlink>
    </w:p>
    <w:bookmarkEnd w:id="109"/>
    <w:bookmarkEnd w:id="110"/>
    <w:bookmarkEnd w:id="11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0" Target="media/rId30.jp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2025-05-06T12:33:15Z</dcterms:created>
  <dcterms:modified xsi:type="dcterms:W3CDTF">2025-05-06T12:33:15Z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