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rId30.jpg" ContentType="image/jpeg"/>
  <Override PartName="/word/media/rId42.png" ContentType="image/png"/>
  <Override PartName="/word/media/rId46.png" ContentType="image/png"/>
  <Override PartName="/word/media/rId3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~815 million liters of highly acidic and nutrient-laden (nitrogen, phosphorus) process water into Tampa Bay. A multi-agency, event-response monitoring program resulted, which documented ecosystem impacts within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open science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lead to long-term improvements in the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in the watershed. The discharge of untreated wastewater into Tampa Bay was a culprit for many of these maladies. Over the following decades, efforts to restore Tampa Bay were successful in reducing nutrient loads from wastewater and other external sources by 2/3</w:t>
      </w:r>
      <w:r>
        <w:t xml:space="preserve"> </w:t>
      </w:r>
      <w:r>
        <w:t xml:space="preserve">(Greening et al., 2014; Greening &amp; Janicki, 2006)</w:t>
      </w:r>
      <w:r>
        <w:t xml:space="preserve">. By 2016, seagrasses had recovered to an all-time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 Focus was primarily on the discharge of untreated sewage directly to the bay, as legislation was ultimately passed that required all wastewater treatment plants to upgrade to advanced technologies to remove excess nutrients before the water was returned to the environment</w:t>
      </w:r>
      <w:r>
        <w:t xml:space="preserve"> </w:t>
      </w:r>
      <w:r>
        <w:t xml:space="preserve">(Johansson, 1991)</w:t>
      </w:r>
      <w:r>
        <w:t xml:space="preserve">.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public and private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take related to water quality, fish and wildlife, and the community. The TBEP is part of a broader National Estuary Program consisting of 28 similar programs around the country that have been established at Congressionally recognized</w:t>
      </w:r>
      <w:r>
        <w:t xml:space="preserve"> </w:t>
      </w:r>
      <w:r>
        <w:t xml:space="preserve">“</w:t>
      </w:r>
      <w:r>
        <w:t xml:space="preserve">estuaries of national significance</w:t>
      </w:r>
      <w:r>
        <w:t xml:space="preserve">”</w:t>
      </w:r>
      <w:r>
        <w:t xml:space="preserve">, each with their own locally-specific mission. Since 1991, the TBEP has worked to engage communities, private businesses, and local governments to work towards the common goal of a healthy Tampa Bay. The TBEP also manages the Tampa Bay Nitrogen Management Consortium (TBNMC) with representatives from public and private entities that have a shared responsibility to control sources of pollution to Tampa Bay. The TBNMC has worked to reduce nitrogen loads as a key water quality pollutant, with primary sources being wastewater and stormwater. The management approach is simple; reduced nitrogen loads will produce less algal growth, promoting a light environment in the water that is supportive of seagrass growth</w:t>
      </w:r>
      <w:r>
        <w:t xml:space="preserve"> </w:t>
      </w:r>
      <w:r>
        <w:t xml:space="preserve">(Janicki et al., 2000; Johansson &amp; Greening, 1999)</w:t>
      </w:r>
      <w:r>
        <w:t xml:space="preserve">. The TBNMC has quantified and allocated sources of nitrogen among entities that directly or indirectly discharge to the bay, with totals not to exceed based on the capacity of the Bay to assimilate these nutrients</w:t>
      </w:r>
      <w:r>
        <w:t xml:space="preserve"> </w:t>
      </w:r>
      <w:r>
        <w:t xml:space="preserve">(Janicki &amp; Wade, 1996)</w:t>
      </w:r>
      <w:r>
        <w:t xml:space="preserve">.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w:t>
      </w:r>
      <w:r>
        <w:t xml:space="preserve"> </w:t>
      </w:r>
      <w:r>
        <w:t xml:space="preserve">(Beck et al., 2024)</w:t>
      </w:r>
      <w:r>
        <w:t xml:space="preserve">.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w:t>
      </w:r>
      <w:r>
        <w:t xml:space="preserve"> </w:t>
      </w:r>
      <w:r>
        <w:t xml:space="preserve">(Stantec Consulting Services, Inc., 2025)</w:t>
      </w:r>
      <w:r>
        <w:t xml:space="preserv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undesirable conditions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w:t>
      </w:r>
      <w:hyperlink w:anchor="fig-map">
        <w:r>
          <w:rPr>
            <w:rStyle w:val="Hyperlink"/>
          </w:rPr>
          <w:t xml:space="preserve">Figure 1</w:t>
        </w:r>
      </w:hyperlink>
      <w:r>
        <w:t xml:space="preserve">). Large amounts of wastewater as a byproduct of historical processing are stored on site, with no useful application given the chemical characteristics of the water and the logistics of its removal. Central Florida has had a long and complicated history with fertilizer mining</w:t>
      </w:r>
      <w:r>
        <w:t xml:space="preserve"> </w:t>
      </w:r>
      <w:r>
        <w:t xml:space="preserve">(Nelson et al., 2021)</w:t>
      </w:r>
      <w:r>
        <w:t xml:space="preserve">. While these activities support economic growth, there are often unintended consequences for the natural environment. Piney Point embodies this relationship, as fertilizer export outside of the region has had economic benefits, whereas wastewater stored on site has made its way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w:t>
      </w:r>
      <w:r>
        <w:t xml:space="preserve"> </w:t>
      </w:r>
      <w:r>
        <w:t xml:space="preserve">(Beck et al., 2022; Morrison et al., 2023; Nelson et al., 2021)</w:t>
      </w:r>
      <w:r>
        <w:t xml:space="preserve">.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Cs/>
          <w:i/>
        </w:rPr>
        <w:t xml:space="preserve">Karenia brevis</w:t>
      </w:r>
      <w:r>
        <w:t xml:space="preserve"> </w:t>
      </w:r>
      <w:r>
        <w:t xml:space="preserve">that was likely fueled by the nutrient-rich wastewater from Piney Point</w:t>
      </w:r>
      <w:r>
        <w:t xml:space="preserve"> </w:t>
      </w:r>
      <w:r>
        <w:t xml:space="preserve">(Chen et al., 2023)</w:t>
      </w:r>
      <w:r>
        <w:t xml:space="preserve">.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in light of the details presented here.</w:t>
      </w:r>
    </w:p>
    <w:bookmarkEnd w:id="22"/>
    <w:bookmarkStart w:id="25"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w:t>
      </w:r>
      <w:r>
        <w:t xml:space="preserve"> </w:t>
      </w:r>
      <w:r>
        <w:t xml:space="preserve">(Henderson, 2004)</w:t>
      </w:r>
      <w:r>
        <w:t xml:space="preserve">. Its namesake refers to the geological characteristics of the region, also called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high concentrations of phosphorus that aquatic organisms have adapted to over geologic time scales</w:t>
      </w:r>
      <w:r>
        <w:t xml:space="preserve"> </w:t>
      </w:r>
      <w:r>
        <w:t xml:space="preserve">(Wang et al., 1999)</w:t>
      </w:r>
      <w:r>
        <w:t xml:space="preserve">. Additions of historically scarce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in previous decades have focused on mitigating external sources of nitrogen</w:t>
      </w:r>
      <w:r>
        <w:t xml:space="preserve"> </w:t>
      </w:r>
      <w:r>
        <w:t xml:space="preserve">(Greening et al., 2014)</w:t>
      </w:r>
      <w:r>
        <w:t xml:space="preserve">. However, byproducts from fertilizer production can be rich in both phosphorus and nitrogen. Fertilizer processing facilities are often located near distribution centers like marine ports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w:t>
      </w:r>
      <w:r>
        <w:t xml:space="preserve"> </w:t>
      </w:r>
      <w:r>
        <w:t xml:space="preserve">(U.S. Environmental Protection Agency, 2025)</w:t>
      </w:r>
      <w:r>
        <w:t xml:space="preserve">. This waste is called phosphogypsum and it has minimal commercial applications, owing primarily to its radioactive characteristics. Phosphogypsum is stored on-site as large stacks (or gypstacks) that are visible miles away and are often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and their wastewater persist long-after fertilizer production stops, with 17 such examples in the Tampa Bay watershed</w:t>
      </w:r>
      <w:r>
        <w:t xml:space="preserve"> </w:t>
      </w:r>
      <w:r>
        <w:t xml:space="preserve">(25 total in Florida, Florida Department of Environmental Protection, 2025)</w:t>
      </w:r>
      <w:r>
        <w:t xml:space="preserve">.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r>
        <w:t xml:space="preserve"> </w:t>
      </w:r>
      <w:r>
        <w:t xml:space="preserve">(Janicki Environmental, Inc., 2023)</w:t>
      </w:r>
      <w:r>
        <w:t xml:space="preserve">.</w:t>
      </w:r>
    </w:p>
    <w:p>
      <w:pPr>
        <w:pStyle w:val="BodyText"/>
      </w:pPr>
      <w:r>
        <w:t xml:space="preserve">The Piney Point facility has a long and complicated history of ownership and management</w:t>
      </w:r>
      <w:r>
        <w:t xml:space="preserve"> </w:t>
      </w:r>
      <w:r>
        <w:t xml:space="preserve">(see supplement to Beck et al., 2022; Henderson, 2004)</w:t>
      </w:r>
      <w:r>
        <w:t xml:space="preserve">. Fertilizer production began in 1966 when the land was purchased by Borden Chemicals. Early reports described environmental concerns related to surface water contamination in Bishop Harbor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in 1997 of fertilizer process water into the Alafia River, the second largest tributary to Tampa Bay, that resulted in a massive fish kill</w:t>
      </w:r>
      <w:r>
        <w:t xml:space="preserve"> </w:t>
      </w:r>
      <w:r>
        <w:t xml:space="preserve">(DiPinto et al., 2001)</w:t>
      </w:r>
      <w:r>
        <w:t xml:space="preserve">. Wastewater from Piney Point was released to Bishop Harbor in 2001 due to tropical storm activity and again in November 2003 to October 2004 to ease pressure on the gypstacks. The impacts of these events were not well studied, although</w:t>
      </w:r>
      <w:r>
        <w:t xml:space="preserve"> </w:t>
      </w:r>
      <w:r>
        <w:t xml:space="preserve">Garrett et al. (2011)</w:t>
      </w:r>
      <w:r>
        <w:t xml:space="preserve"> </w:t>
      </w:r>
      <w:r>
        <w:t xml:space="preserve">documented occurrences of potentially harmful algal species near the discharge site and</w:t>
      </w:r>
      <w:r>
        <w:t xml:space="preserve"> </w:t>
      </w:r>
      <w:r>
        <w:t xml:space="preserve">Switzer et al. (2011)</w:t>
      </w:r>
      <w:r>
        <w:t xml:space="preserve"> </w:t>
      </w:r>
      <w:r>
        <w:t xml:space="preserve">noted increased macroalgal blooms.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such that any future uses must protect and be compatible with integrity of stack closure and long-term care, as defined in their agreement.</w:t>
      </w:r>
    </w:p>
    <w:p>
      <w:pPr>
        <w:pStyle w:val="BodyText"/>
      </w:pPr>
      <w:r>
        <w:t xml:space="preserve">Over the course of its ownership, site management decisions by HRK, as approved by FDEP, contributed to further decline in the holding capacity of the gypstacks at Piney Point. A port expansion project at Port Manatee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again by a tear in the plastic liner of the holding pond. Concerns of public safety and potential damage to property motivated the decision to release untreated wastewater from NGS-S directly to Tampa Bay near Port Manatee, as authorized by an emergency order from FDEP.</w:t>
      </w:r>
    </w:p>
    <w:p>
      <w:pPr>
        <w:pStyle w:val="BodyText"/>
      </w:pPr>
      <w:r>
        <w:t xml:space="preserve">From March 30th to April 9th, 2021, over 215 million gallons of wastewater were released from Piney Point into Tampa Bay from a discharge point at Port Manatee</w:t>
      </w:r>
      <w:r>
        <w:t xml:space="preserve">(Beck et al., 2022)</w:t>
      </w:r>
      <w:r>
        <w:t xml:space="preserve">. A year’s worth of external nutrient inputs entered lower Tampa Bay during this ten day period. Given the environmental impacts that were expected, the TBEP coordinated a multi-agency response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the College of Marine Science at the University of South Florida</w:t>
      </w:r>
      <w:r>
        <w:t xml:space="preserve"> </w:t>
      </w:r>
      <w:r>
        <w:t xml:space="preserve">(Liu et al., 2024)</w:t>
      </w:r>
      <w:r>
        <w:t xml:space="preserve">. This model provided an assessment of where the released water was likely to travel, thus providing guidance on where sampling should occur each week. The TBEP provided support for these efforts by having regular meetings with partner agencies to coordinate sampling, serving as a data warehouse for synthesizing monitoring information, creating a public dashboard to communicate changes to the public in near real time, and disseminating monthly one-pagers to communicate results to date</w:t>
      </w:r>
      <w:r>
        <w:t xml:space="preserve"> </w:t>
      </w:r>
      <w:r>
        <w:t xml:space="preserve">(Beck et al., 2023; Tampa Bay Estuary Program, 2022)</w:t>
      </w:r>
      <w:r>
        <w:t xml:space="preserve">. In addition, TBEP staff provided dozens of interviews for local and national media outlets as expert commentary on the event.</w:t>
      </w:r>
    </w:p>
    <w:p>
      <w:pPr>
        <w:pStyle w:val="BodyText"/>
      </w:pPr>
      <w:r>
        <w:t xml:space="preserve">Monitoring of bay resources continued for six months following the initial release. Throughout this period, several impacts were observed</w:t>
      </w:r>
      <w:r>
        <w:t xml:space="preserve"> </w:t>
      </w:r>
      <w:r>
        <w:t xml:space="preserve">(Beck et al., 2022; Morrison et al., 2023)</w:t>
      </w:r>
      <w:r>
        <w:t xml:space="preserve">.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Cs/>
          <w:i/>
        </w:rPr>
        <w:t xml:space="preserve">Dapis</w:t>
      </w:r>
      <w:r>
        <w:t xml:space="preserve"> </w:t>
      </w:r>
      <w:r>
        <w:t xml:space="preserve">spp.) were observed near the port and at locations south, often covering seagrasses or floating on the surface. Increases in macroalgal species were also observed along seagrass monitoring transects</w:t>
      </w:r>
      <w:r>
        <w:t xml:space="preserve"> </w:t>
      </w:r>
      <w:r>
        <w:t xml:space="preserve">(Scolaro et al., 2023)</w:t>
      </w:r>
      <w:r>
        <w:t xml:space="preserve">. The cyanobacteria blooms decreased in abundance by July, when concentrations of the red-tide organism</w:t>
      </w:r>
      <w:r>
        <w:t xml:space="preserve"> </w:t>
      </w:r>
      <w:r>
        <w:rPr>
          <w:iCs/>
          <w:i/>
        </w:rPr>
        <w:t xml:space="preserve">Karenia brevis</w:t>
      </w:r>
      <w:r>
        <w:t xml:space="preserve"> </w:t>
      </w:r>
      <w:r>
        <w:t xml:space="preserve">increased dramatically in the bay. Red tide was first observed outside of Tampa Bay on April 20th, first measured at bloom concentrations in the bay proper on May 23rd, increased to high bloom concentrations (&gt; 1 million cells / L) by late June, and peaked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1800 tons of dead fish were recovered. The effects of red tide on fish in Tampa Bay were also reflected in notable increases in public reports during July to a state fish kill hotline (</w:t>
      </w:r>
      <w:hyperlink w:anchor="fig-fishkill">
        <w:r>
          <w:rPr>
            <w:rStyle w:val="Hyperlink"/>
          </w:rPr>
          <w:t xml:space="preserve">Figure 3</w:t>
        </w:r>
      </w:hyperlink>
      <w:r>
        <w:t xml:space="preserve">). Compared to other years, 2021 was a distinct outlier in the number of reported fish kills. Numerous reports of marine mammal mortalities were also received during this time.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 (i.e., pre- and post-discharge,</w:t>
      </w:r>
      <w:r>
        <w:t xml:space="preserve"> </w:t>
      </w:r>
      <w:hyperlink w:anchor="fig-seagrasschange">
        <w:r>
          <w:rPr>
            <w:rStyle w:val="Hyperlink"/>
          </w:rPr>
          <w:t xml:space="preserve">Figure 4</w:t>
        </w:r>
      </w:hyperlink>
      <w:r>
        <w:t xml:space="preserve">).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be made biologically available in the water column during storm events that resuspend sediments. Lastly, the fate and effects of lesser studied contaminants from Piney Point have also been a concern. Microplastic particles were observed near the Skyway Bridge at the mouth of Tampa Bay shortly after the initial wastewater release, possibly from degradation of the plastic liner in the holding ponds (S. Gowans, Eckerd College, personal communication, April 2025). Microplastics have widespread distribution in Tampa Bay and future efforts should focus on source mitigation to prevent further negative impacts on bay habitats and wildlife</w:t>
      </w:r>
      <w:r>
        <w:t xml:space="preserve"> </w:t>
      </w:r>
      <w:r>
        <w:t xml:space="preserve">(Gowans &amp; Siuda, 2023; Vandale et al., 2023)</w:t>
      </w:r>
      <w:r>
        <w:t xml:space="preserv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w:t>
      </w:r>
      <w:r>
        <w:t xml:space="preserve"> </w:t>
      </w:r>
      <w:hyperlink r:id="rId23">
        <w:r>
          <w:rPr>
            <w:rStyle w:val="Hyperlink"/>
          </w:rPr>
          <w:t xml:space="preserve">HRK was in violation</w:t>
        </w:r>
      </w:hyperlink>
      <w:r>
        <w:t xml:space="preserve"> </w:t>
      </w:r>
      <w:r>
        <w:t xml:space="preserve">of the US Clean Water Act, despite receiving a permit from FDEP to discharge the wastewater in 2021.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w:t>
      </w:r>
      <w:r>
        <w:t xml:space="preserve"> </w:t>
      </w:r>
      <w:hyperlink r:id="rId24">
        <w:r>
          <w:rPr>
            <w:rStyle w:val="Hyperlink"/>
          </w:rPr>
          <w:t xml:space="preserve">closure plan</w:t>
        </w:r>
      </w:hyperlink>
      <w:r>
        <w:t xml:space="preserve"> </w:t>
      </w:r>
      <w:r>
        <w:t xml:space="preserve">for the facility as adopted and implemented by FDEP. These plans included using an independent third-party as a court-appointed receiver to oversee the closure process, with specific actions to treat the wastewater onsite prior to pumping the water underground using a newly constructed deep well injection site that was fully functioning By April 2023. Wastewater was also sent to local treatment plants to expedite the process. Once all wastewater is removed, the remaining gypstacks will be filled and capped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and/or removed. As of writing, only one of the four holding ponds at Piney Point has been successfully filled.</w:t>
      </w:r>
    </w:p>
    <w:bookmarkEnd w:id="25"/>
    <w:bookmarkStart w:id="28" w:name="student-activities-500-1000-words"/>
    <w:p>
      <w:pPr>
        <w:pStyle w:val="Heading2"/>
      </w:pPr>
      <w:r>
        <w:t xml:space="preserve">3 Student Activities (500-1000 words)</w:t>
      </w:r>
    </w:p>
    <w:bookmarkStart w:id="26" w:name="classroom-discussion-questions"/>
    <w:p>
      <w:pPr>
        <w:pStyle w:val="Heading3"/>
      </w:pPr>
      <w:r>
        <w:t xml:space="preserve">3.1 Classroom discussion questions</w:t>
      </w:r>
    </w:p>
    <w:p>
      <w:pPr>
        <w:numPr>
          <w:ilvl w:val="0"/>
          <w:numId w:val="1001"/>
        </w:numPr>
      </w:pPr>
      <w:r>
        <w:t xml:space="preserve">This chapter has focused on the long-term recovery of Tampa Bay and its recent challenges, often evaluating the change in seagrasses as a means to evaluate the bay’s response to chronic and acute stressors. Seagrass cover in Tampa Bay has changed dramatically over time showing an increase over the last several decades, a recent decline from 2016 to present, and potential changes before and after the discharge from Piney Point in 2021. Discuss what factors control seagrass growth in Tampa Bay and how conventional approaches to environmental management have leveraged these factors to improve conditions in the bay for seagrass. How do these approaches compare for long-term management or in response to acute stressor events like Piney Point?</w:t>
      </w:r>
    </w:p>
    <w:p>
      <w:pPr>
        <w:numPr>
          <w:ilvl w:val="0"/>
          <w:numId w:val="1001"/>
        </w:numPr>
      </w:pPr>
      <w:r>
        <w:t xml:space="preserve">Although the events of 2021 were unprecedented, the coordinated monitoring response was not. The ability of environmental managers to respond to changes in the bay and document the impacts was a demonstration of the value of past partnership in the region. The Tampa Bay Estuary Program (TBEP) was fundamental to this effort. Discuss the role of the TBEP and its partners in coordinating a response to the Piney Point event. What type of information was collected and why was it important for understanding impacts to the bay? How did the rapid response benefit from past partnerships and relationships? How can other regional management programs learn from these examples to improve their own response to similar events?</w:t>
      </w:r>
    </w:p>
    <w:p>
      <w:pPr>
        <w:numPr>
          <w:ilvl w:val="0"/>
          <w:numId w:val="1001"/>
        </w:numPr>
      </w:pPr>
      <w:r>
        <w:t xml:space="preserve">Central Florida has been a global headquarters for the extraction and production of fertilizer. What geological characteristics make this area favorable for fertilizer production? Discuss the challenges of fertilizer production that make it problematic for the environment. Why are gypstacks created and what makes them difficult to manage from an environmental perspective? Are there any alternative solutions you can think of for minimizing long-term harm on the environment from these facilities? Do you feel that the economic benefits justify continued fertilizer production relative to the impacts from Piney Point and other facilities in the region?</w:t>
      </w:r>
    </w:p>
    <w:p>
      <w:pPr>
        <w:numPr>
          <w:ilvl w:val="0"/>
          <w:numId w:val="1001"/>
        </w:numPr>
      </w:pPr>
      <w:r>
        <w:t xml:space="preserve">Piney Point was a disaster waiting to happen. Describe the history of Piney Point and key decisions that led to the state of the facility in 2021. Where and when do you think critical decisions were made or not made that contributed to the ultimate decision to release wastewater into Tampa Bay. Make sure to identify the key players involved in these decisions and what entity they represent that could influence their choices on factors contributing to the events of 2021. Do you think any one party was to blame? How can all parties be more proactive in the future to prevent similar events from occurring?</w:t>
      </w:r>
    </w:p>
    <w:bookmarkEnd w:id="26"/>
    <w:bookmarkStart w:id="27" w:name="individual-student-responses"/>
    <w:p>
      <w:pPr>
        <w:pStyle w:val="Heading3"/>
      </w:pPr>
      <w:r>
        <w:t xml:space="preserve">3.2 Individual student responses</w:t>
      </w:r>
    </w:p>
    <w:p>
      <w:pPr>
        <w:numPr>
          <w:ilvl w:val="0"/>
          <w:numId w:val="1002"/>
        </w:numPr>
      </w:pPr>
      <w:r>
        <w:t xml:space="preserve">Examine the trends in water quality parameters in</w:t>
      </w:r>
      <w:r>
        <w:t xml:space="preserve"> </w:t>
      </w:r>
      <w:hyperlink w:anchor="fig-wqchange">
        <w:r>
          <w:rPr>
            <w:rStyle w:val="Hyperlink"/>
          </w:rPr>
          <w:t xml:space="preserve">Figure 2</w:t>
        </w:r>
      </w:hyperlink>
      <w:r>
        <w:t xml:space="preserve">. Develop a narrative for how water quality changes influenced the ecology of Tampa Bay from April to September 2021, including how characteristics of the wastewater had cascading effects on other aspects of Tampa Bay. Link these changes to trends you observe in</w:t>
      </w:r>
      <w:r>
        <w:t xml:space="preserve"> </w:t>
      </w:r>
      <w:hyperlink w:anchor="fig-fishkill">
        <w:r>
          <w:rPr>
            <w:rStyle w:val="Hyperlink"/>
          </w:rPr>
          <w:t xml:space="preserve">Figure 3</w:t>
        </w:r>
      </w:hyperlink>
      <w:r>
        <w:t xml:space="preserve"> </w:t>
      </w:r>
      <w:r>
        <w:t xml:space="preserve">and</w:t>
      </w:r>
      <w:r>
        <w:t xml:space="preserve"> </w:t>
      </w:r>
      <w:hyperlink w:anchor="fig-seagrasschange">
        <w:r>
          <w:rPr>
            <w:rStyle w:val="Hyperlink"/>
          </w:rPr>
          <w:t xml:space="preserve">Figure 4</w:t>
        </w:r>
      </w:hyperlink>
      <w:r>
        <w:t xml:space="preserve">.</w:t>
      </w:r>
    </w:p>
    <w:p>
      <w:pPr>
        <w:numPr>
          <w:ilvl w:val="0"/>
          <w:numId w:val="1002"/>
        </w:numPr>
      </w:pPr>
      <w:r>
        <w:t xml:space="preserve">Given what you’ve learned about the long-term recovery in Tampa Bay, do you think the bay would have responded differently to a large wastewater release from Piney Point if a similar event had occurred 40 years ago? Which environmental resources of the bay would most be at risk compared to today?</w:t>
      </w:r>
    </w:p>
    <w:p>
      <w:pPr>
        <w:numPr>
          <w:ilvl w:val="0"/>
          <w:numId w:val="1002"/>
        </w:numPr>
      </w:pPr>
      <w:r>
        <w:t xml:space="preserve">Many options were considered to process and remove wastewater from Piney Point as part of the long-term closure plan. Ultimately, deep well injection was chosen as the preferred method. Conduct a short literature review of this method for wastewater disposal to identify the risks and benefits relative to other methods.</w:t>
      </w:r>
    </w:p>
    <w:p>
      <w:pPr>
        <w:numPr>
          <w:ilvl w:val="0"/>
          <w:numId w:val="1002"/>
        </w:numPr>
      </w:pPr>
      <w:r>
        <w:t xml:space="preserve">In addition to long-term closure, several entities were required to provide monetary compensation as a result of the impacts to Tampa Bay from the 2021 wastewater discharge. Identify similar cases in the past where environmental disasters have led to financial compensation to remediate impacts. Based on these past studies, do you feel the compensation for Piney Point was sufficient in light of the impacts that were observed?</w:t>
      </w:r>
    </w:p>
    <w:p>
      <w:pPr>
        <w:numPr>
          <w:ilvl w:val="0"/>
          <w:numId w:val="1002"/>
        </w:numPr>
      </w:pPr>
      <w:r>
        <w:t xml:space="preserve">Environmental managers must consider multiple factors that influence environmental health and how they can be effectively monitored and controlled for long-term sustainability. Piney Point is one example of an external threat to Tampa Bay that requires management to reduce enviornment impacts. What other factors in the Tampa Bay region do managers consider for protecting water quality?</w:t>
      </w:r>
    </w:p>
    <w:bookmarkEnd w:id="27"/>
    <w:bookmarkEnd w:id="28"/>
    <w:bookmarkStart w:id="29" w:name="conclusion-500-1000-words"/>
    <w:p>
      <w:pPr>
        <w:pStyle w:val="Heading2"/>
      </w:pPr>
      <w:r>
        <w:t xml:space="preserve">4 Conclusion (500-1000 words)</w:t>
      </w:r>
    </w:p>
    <w:p>
      <w:pPr>
        <w:pStyle w:val="FirstParagraph"/>
      </w:pPr>
      <w:r>
        <w:t xml:space="preserve">Include a discussion of key take-aways.</w:t>
      </w:r>
    </w:p>
    <w:p>
      <w:pPr>
        <w:pStyle w:val="BodyText"/>
      </w:pPr>
      <w:r>
        <w:t xml:space="preserve">My notes:</w:t>
      </w:r>
    </w:p>
    <w:p>
      <w:pPr>
        <w:pStyle w:val="BodyText"/>
      </w:pPr>
      <w:r>
        <w:t xml:space="preserve">long-term closure plan for piney point, other facilities in the region - deep well injection, disposal of phosphogypum via road construction? Piney Point well may be precedent for future activities, but still a lot of unknowns, related to groundwater/drinking water?</w:t>
      </w:r>
    </w:p>
    <w:p>
      <w:pPr>
        <w:pStyle w:val="BodyText"/>
      </w:pPr>
      <w:r>
        <w:t xml:space="preserve">Bring everybody to the table (highlight Mosaic’s role in the TBNMC)</w:t>
      </w:r>
    </w:p>
    <w:p>
      <w:pPr>
        <w:pStyle w:val="BodyText"/>
      </w:pPr>
      <w:r>
        <w:t xml:space="preserve">Something about resiliency and the bay’s ability to recover from this event</w:t>
      </w:r>
    </w:p>
    <w:bookmarkEnd w:id="29"/>
    <w:bookmarkStart w:id="5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3" w:name="fig-map"/>
          <w:p>
            <w:pPr>
              <w:pStyle w:val="Compact"/>
              <w:jc w:val="center"/>
            </w:pPr>
            <w:r>
              <w:drawing>
                <wp:inline>
                  <wp:extent cx="5916168" cy="7070598"/>
                  <wp:effectExtent b="0" l="0" r="0" t="0"/>
                  <wp:docPr descr="" title="" id="31" name="Picture"/>
                  <a:graphic>
                    <a:graphicData uri="http://schemas.openxmlformats.org/drawingml/2006/picture">
                      <pic:pic>
                        <pic:nvPicPr>
                          <pic:cNvPr descr="figs/map.jpg" id="32" name="Picture"/>
                          <pic:cNvPicPr>
                            <a:picLocks noChangeArrowheads="1" noChangeAspect="1"/>
                          </pic:cNvPicPr>
                        </pic:nvPicPr>
                        <pic:blipFill>
                          <a:blip r:embed="rId30"/>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7" w:name="fig-wqchange"/>
          <w:p>
            <w:pPr>
              <w:pStyle w:val="Compact"/>
              <w:jc w:val="center"/>
            </w:pPr>
            <w:r>
              <w:drawing>
                <wp:inline>
                  <wp:extent cx="5943600" cy="2447364"/>
                  <wp:effectExtent b="0" l="0" r="0" t="0"/>
                  <wp:docPr descr="" title="" id="35" name="Picture"/>
                  <a:graphic>
                    <a:graphicData uri="http://schemas.openxmlformats.org/drawingml/2006/picture">
                      <pic:pic>
                        <pic:nvPicPr>
                          <pic:cNvPr descr="figs/wqchange.png" id="36" name="Picture"/>
                          <pic:cNvPicPr>
                            <a:picLocks noChangeArrowheads="1" noChangeAspect="1"/>
                          </pic:cNvPicPr>
                        </pic:nvPicPr>
                        <pic:blipFill>
                          <a:blip r:embed="rId34"/>
                          <a:stretch>
                            <a:fillRect/>
                          </a:stretch>
                        </pic:blipFill>
                        <pic:spPr bwMode="auto">
                          <a:xfrm>
                            <a:off x="0" y="0"/>
                            <a:ext cx="5943600" cy="2447364"/>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(b) chlorophyll-a,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1" w:name="fig-fishkill"/>
          <w:p>
            <w:pPr>
              <w:pStyle w:val="Compact"/>
              <w:jc w:val="center"/>
            </w:pPr>
            <w:r>
              <w:drawing>
                <wp:inline>
                  <wp:extent cx="5943600" cy="3343274"/>
                  <wp:effectExtent b="0" l="0" r="0" t="0"/>
                  <wp:docPr descr="" title="" id="39" name="Picture"/>
                  <a:graphic>
                    <a:graphicData uri="http://schemas.openxmlformats.org/drawingml/2006/picture">
                      <pic:pic>
                        <pic:nvPicPr>
                          <pic:cNvPr descr="figs/fishkill.png" id="40" name="Picture"/>
                          <pic:cNvPicPr>
                            <a:picLocks noChangeArrowheads="1" noChangeAspect="1"/>
                          </pic:cNvPicPr>
                        </pic:nvPicPr>
                        <pic:blipFill>
                          <a:blip r:embed="rId38"/>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 fish kill hotline.</w:t>
            </w:r>
          </w:p>
          <w:bookmarkEnd w:id="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5" w:name="fig-seagrasschange"/>
          <w:p>
            <w:pPr>
              <w:pStyle w:val="Compact"/>
              <w:jc w:val="center"/>
            </w:pPr>
            <w:r>
              <w:drawing>
                <wp:inline>
                  <wp:extent cx="5943600" cy="3962400"/>
                  <wp:effectExtent b="0" l="0" r="0" t="0"/>
                  <wp:docPr descr="" title="" id="43" name="Picture"/>
                  <a:graphic>
                    <a:graphicData uri="http://schemas.openxmlformats.org/drawingml/2006/picture">
                      <pic:pic>
                        <pic:nvPicPr>
                          <pic:cNvPr descr="figs/seagrasschange.png" id="44" name="Picture"/>
                          <pic:cNvPicPr>
                            <a:picLocks noChangeArrowheads="1" noChangeAspect="1"/>
                          </pic:cNvPicPr>
                        </pic:nvPicPr>
                        <pic:blipFill>
                          <a:blip r:embed="rId42"/>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capacity"/>
          <w:p>
            <w:pPr>
              <w:pStyle w:val="Compact"/>
              <w:jc w:val="center"/>
            </w:pPr>
            <w:r>
              <w:drawing>
                <wp:inline>
                  <wp:extent cx="5943600" cy="2641600"/>
                  <wp:effectExtent b="0" l="0" r="0" t="0"/>
                  <wp:docPr descr="" title="" id="47" name="Picture"/>
                  <a:graphic>
                    <a:graphicData uri="http://schemas.openxmlformats.org/drawingml/2006/picture">
                      <pic:pic>
                        <pic:nvPicPr>
                          <pic:cNvPr descr="figs/siteclose.png" id="48"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 Data from the Florida Department of Environmental Protection.</w:t>
            </w:r>
          </w:p>
          <w:bookmarkEnd w:id="49"/>
        </w:tc>
      </w:tr>
    </w:tbl>
    <w:p>
      <w:r>
        <w:br w:type="page"/>
      </w:r>
    </w:p>
    <w:bookmarkEnd w:id="50"/>
    <w:bookmarkStart w:id="111" w:name="references"/>
    <w:p>
      <w:pPr>
        <w:pStyle w:val="Heading2"/>
      </w:pPr>
      <w:r>
        <w:t xml:space="preserve">References</w:t>
      </w:r>
    </w:p>
    <w:bookmarkStart w:id="110" w:name="refs"/>
    <w:bookmarkStart w:id="52"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Cs/>
          <w:i/>
        </w:rPr>
        <w:t xml:space="preserve">Marine Pollution Bulletin</w:t>
      </w:r>
      <w:r>
        <w:t xml:space="preserve">,</w:t>
      </w:r>
      <w:r>
        <w:t xml:space="preserve"> </w:t>
      </w:r>
      <w:r>
        <w:rPr>
          <w:iCs/>
          <w:i/>
        </w:rPr>
        <w:t xml:space="preserve">178</w:t>
      </w:r>
      <w:r>
        <w:t xml:space="preserve">, 113598.</w:t>
      </w:r>
      <w:r>
        <w:t xml:space="preserve"> </w:t>
      </w:r>
      <w:hyperlink r:id="rId51">
        <w:r>
          <w:rPr>
            <w:rStyle w:val="Hyperlink"/>
          </w:rPr>
          <w:t xml:space="preserve">https://doi.org/10.1016/j.marpolbul.2022.113598</w:t>
        </w:r>
      </w:hyperlink>
    </w:p>
    <w:bookmarkEnd w:id="52"/>
    <w:bookmarkStart w:id="53" w:name="ref-beck2023b"/>
    <w:p>
      <w:pPr>
        <w:pStyle w:val="Bibliography"/>
      </w:pPr>
      <w:r>
        <w:t xml:space="preserve">Beck, M. W., Burke, M. C., Raulerson, G. E., Scolaro, S., Sherwood, E. T., &amp; Whalen, J. (2023). Coordinated monitoring of the</w:t>
      </w:r>
      <w:r>
        <w:t xml:space="preserve"> </w:t>
      </w:r>
      <w:r>
        <w:t xml:space="preserve">P</w:t>
      </w:r>
      <w:r>
        <w:t xml:space="preserve">iney</w:t>
      </w:r>
      <w:r>
        <w:t xml:space="preserve"> </w:t>
      </w:r>
      <w:r>
        <w:t xml:space="preserve">P</w:t>
      </w:r>
      <w:r>
        <w:t xml:space="preserve">oint wastewater discharge into</w:t>
      </w:r>
      <w:r>
        <w:t xml:space="preserve"> </w:t>
      </w:r>
      <w:r>
        <w:t xml:space="preserve">T</w:t>
      </w:r>
      <w:r>
        <w:t xml:space="preserve">ampa</w:t>
      </w:r>
      <w:r>
        <w:t xml:space="preserve"> </w:t>
      </w:r>
      <w:r>
        <w:t xml:space="preserve">B</w:t>
      </w:r>
      <w:r>
        <w:t xml:space="preserve">ay.</w:t>
      </w:r>
      <w:r>
        <w:t xml:space="preserve"> </w:t>
      </w:r>
      <w:r>
        <w:rPr>
          <w:iCs/>
          <w:i/>
        </w:rPr>
        <w:t xml:space="preserve">Florida Scientist</w:t>
      </w:r>
      <w:r>
        <w:t xml:space="preserve">,</w:t>
      </w:r>
      <w:r>
        <w:t xml:space="preserve"> </w:t>
      </w:r>
      <w:r>
        <w:rPr>
          <w:iCs/>
          <w:i/>
        </w:rPr>
        <w:t xml:space="preserve">86</w:t>
      </w:r>
      <w:r>
        <w:t xml:space="preserve">(2), 288–300.</w:t>
      </w:r>
    </w:p>
    <w:bookmarkEnd w:id="53"/>
    <w:bookmarkStart w:id="55"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Cs/>
          <w:i/>
        </w:rPr>
        <w:t xml:space="preserve">Estuaries and Coasts</w:t>
      </w:r>
      <w:r>
        <w:t xml:space="preserve">,</w:t>
      </w:r>
      <w:r>
        <w:t xml:space="preserve"> </w:t>
      </w:r>
      <w:r>
        <w:rPr>
          <w:iCs/>
          <w:i/>
        </w:rPr>
        <w:t xml:space="preserve">47</w:t>
      </w:r>
      <w:r>
        <w:t xml:space="preserve">(6), 1475–1497.</w:t>
      </w:r>
      <w:r>
        <w:t xml:space="preserve"> </w:t>
      </w:r>
      <w:hyperlink r:id="rId54">
        <w:r>
          <w:rPr>
            <w:rStyle w:val="Hyperlink"/>
          </w:rPr>
          <w:t xml:space="preserve">https://doi.org/10.1007/s12237-024-01385-0</w:t>
        </w:r>
      </w:hyperlink>
    </w:p>
    <w:bookmarkEnd w:id="55"/>
    <w:bookmarkStart w:id="57"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w:t>
      </w:r>
      <w:r>
        <w:t xml:space="preserve"> </w:t>
      </w:r>
      <w:r>
        <w:rPr>
          <w:iCs/>
          <w:i/>
        </w:rPr>
        <w:t xml:space="preserve">42</w:t>
      </w:r>
      <w:r>
        <w:t xml:space="preserve">(7), 1774–1791.</w:t>
      </w:r>
      <w:r>
        <w:t xml:space="preserve"> </w:t>
      </w:r>
      <w:hyperlink r:id="rId56">
        <w:r>
          <w:rPr>
            <w:rStyle w:val="Hyperlink"/>
          </w:rPr>
          <w:t xml:space="preserve">https://doi.org/10.1007/s12237-019-00619-w</w:t>
        </w:r>
      </w:hyperlink>
    </w:p>
    <w:bookmarkEnd w:id="57"/>
    <w:bookmarkStart w:id="58" w:name="ref-bennett2024"/>
    <w:p>
      <w:pPr>
        <w:pStyle w:val="Bibliography"/>
      </w:pPr>
      <w:r>
        <w:t xml:space="preserve">Bennett, E. P. (2024).</w:t>
      </w:r>
      <w:r>
        <w:t xml:space="preserve"> </w:t>
      </w:r>
      <w:r>
        <w:rPr>
          <w:iCs/>
          <w:i/>
        </w:rPr>
        <w:t xml:space="preserve">T</w:t>
      </w:r>
      <w:r>
        <w:rPr>
          <w:iCs/>
          <w:i/>
        </w:rPr>
        <w:t xml:space="preserve">ampa</w:t>
      </w:r>
      <w:r>
        <w:rPr>
          <w:iCs/>
          <w:i/>
        </w:rPr>
        <w:t xml:space="preserve"> </w:t>
      </w:r>
      <w:r>
        <w:rPr>
          <w:iCs/>
          <w:i/>
        </w:rPr>
        <w:t xml:space="preserve">B</w:t>
      </w:r>
      <w:r>
        <w:rPr>
          <w:iCs/>
          <w:i/>
        </w:rPr>
        <w:t xml:space="preserve">ay: The story of an estuary and its people</w:t>
      </w:r>
      <w:r>
        <w:t xml:space="preserve">. University Press of Florida.</w:t>
      </w:r>
    </w:p>
    <w:bookmarkEnd w:id="58"/>
    <w:bookmarkStart w:id="60"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Ecological Indicators</w:t>
      </w:r>
      <w:r>
        <w:t xml:space="preserve">,</w:t>
      </w:r>
      <w:r>
        <w:t xml:space="preserve"> </w:t>
      </w:r>
      <w:r>
        <w:rPr>
          <w:iCs/>
          <w:i/>
        </w:rPr>
        <w:t xml:space="preserve">172</w:t>
      </w:r>
      <w:r>
        <w:t xml:space="preserve">, 113329.</w:t>
      </w:r>
      <w:r>
        <w:t xml:space="preserve"> </w:t>
      </w:r>
      <w:hyperlink r:id="rId59">
        <w:r>
          <w:rPr>
            <w:rStyle w:val="Hyperlink"/>
          </w:rPr>
          <w:t xml:space="preserve">https://doi.org/10.1016/j.ecolind.2025.113329</w:t>
        </w:r>
      </w:hyperlink>
    </w:p>
    <w:bookmarkEnd w:id="60"/>
    <w:bookmarkStart w:id="62" w:name="ref-chen2023"/>
    <w:p>
      <w:pPr>
        <w:pStyle w:val="Bibliography"/>
      </w:pPr>
      <w:r>
        <w:t xml:space="preserve">Chen, Y., Li, M., Glibert, P. M., &amp; Heil, C. (2023). Mu</w:t>
      </w:r>
      <w:r>
        <w:rPr>
          <w:iCs/>
          <w:i/>
        </w:rPr>
        <w:t xml:space="preserve">r</w:t>
      </w:r>
      <w:r>
        <w:rPr>
          <w:iCs/>
          <w:i/>
        </w:rPr>
        <w:t xml:space="preserve">K</w:t>
      </w:r>
      <w:r>
        <w:t xml:space="preserve">y waters: Modeling the succession from</w:t>
      </w:r>
      <w:r>
        <w:t xml:space="preserve"> </w:t>
      </w:r>
      <w:r>
        <w:rPr>
          <w:iCs/>
          <w:i/>
        </w:rPr>
        <w:t xml:space="preserve">r</w:t>
      </w:r>
      <w:r>
        <w:t xml:space="preserve"> </w:t>
      </w:r>
      <w:r>
        <w:t xml:space="preserve">to</w:t>
      </w:r>
      <w:r>
        <w:t xml:space="preserve"> </w:t>
      </w:r>
      <w:r>
        <w:rPr>
          <w:iCs/>
          <w:i/>
        </w:rPr>
        <w:t xml:space="preserve">k</w:t>
      </w:r>
      <w:r>
        <w:t xml:space="preserve"> </w:t>
      </w:r>
      <w:r>
        <w:t xml:space="preserve">strategists (diatoms to dinoflagellates) following a nutrient release from a mining facility in</w:t>
      </w:r>
      <w:r>
        <w:t xml:space="preserve"> </w:t>
      </w:r>
      <w:r>
        <w:t xml:space="preserve">F</w:t>
      </w:r>
      <w:r>
        <w:t xml:space="preserve">lorida.</w:t>
      </w:r>
      <w:r>
        <w:t xml:space="preserve"> </w:t>
      </w:r>
      <w:r>
        <w:rPr>
          <w:iCs/>
          <w:i/>
        </w:rPr>
        <w:t xml:space="preserve">Limnology and Oceanography</w:t>
      </w:r>
      <w:r>
        <w:t xml:space="preserve">,</w:t>
      </w:r>
      <w:r>
        <w:t xml:space="preserve"> </w:t>
      </w:r>
      <w:r>
        <w:rPr>
          <w:iCs/>
          <w:i/>
        </w:rPr>
        <w:t xml:space="preserve">68</w:t>
      </w:r>
      <w:r>
        <w:t xml:space="preserve">(10), 2288–2304.</w:t>
      </w:r>
      <w:r>
        <w:t xml:space="preserve"> </w:t>
      </w:r>
      <w:hyperlink r:id="rId61">
        <w:r>
          <w:rPr>
            <w:rStyle w:val="Hyperlink"/>
          </w:rPr>
          <w:t xml:space="preserve">https://doi.org/10.1002/lno.12420</w:t>
        </w:r>
      </w:hyperlink>
    </w:p>
    <w:bookmarkEnd w:id="62"/>
    <w:bookmarkStart w:id="63" w:name="ref-dipinto2001"/>
    <w:p>
      <w:pPr>
        <w:pStyle w:val="Bibliography"/>
      </w:pPr>
      <w:r>
        <w:t xml:space="preserve">DiPinto, L., Penn, T., Iliff, J., &amp;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w:t>
      </w:r>
      <w:r>
        <w:t xml:space="preserve"> </w:t>
      </w:r>
      <w:r>
        <w:rPr>
          <w:iCs/>
          <w:i/>
        </w:rPr>
        <w:t xml:space="preserve">International Oil Spill Conference</w:t>
      </w:r>
      <w:r>
        <w:t xml:space="preserve">,</w:t>
      </w:r>
      <w:r>
        <w:t xml:space="preserve"> </w:t>
      </w:r>
      <w:r>
        <w:rPr>
          <w:iCs/>
          <w:i/>
        </w:rPr>
        <w:t xml:space="preserve">2001</w:t>
      </w:r>
      <w:r>
        <w:t xml:space="preserve">, 1511–1516.</w:t>
      </w:r>
    </w:p>
    <w:bookmarkEnd w:id="63"/>
    <w:bookmarkStart w:id="65" w:name="ref-fdep2025"/>
    <w:p>
      <w:pPr>
        <w:pStyle w:val="Bibliography"/>
      </w:pPr>
      <w:r>
        <w:t xml:space="preserve">Florida Department of Environmental Protection. (2025).</w:t>
      </w:r>
      <w:r>
        <w:t xml:space="preserve"> </w:t>
      </w:r>
      <w:r>
        <w:rPr>
          <w:iCs/>
          <w:i/>
        </w:rPr>
        <w:t xml:space="preserve">Florida Gypsumstacks</w:t>
      </w:r>
      <w:r>
        <w:t xml:space="preserve">. Florida Department of Environmental Protection Geospatial Open Data.</w:t>
      </w:r>
      <w:r>
        <w:t xml:space="preserve"> </w:t>
      </w:r>
      <w:hyperlink r:id="rId64">
        <w:r>
          <w:rPr>
            <w:rStyle w:val="Hyperlink"/>
          </w:rPr>
          <w:t xml:space="preserve">https://ca.dep.state.fl.us/arcgis/rest/services/OpenData/GYPSUMSTACKS/MapServer/0</w:t>
        </w:r>
      </w:hyperlink>
    </w:p>
    <w:bookmarkEnd w:id="65"/>
    <w:bookmarkStart w:id="67" w:name="ref-garrett2011"/>
    <w:p>
      <w:pPr>
        <w:pStyle w:val="Bibliography"/>
      </w:pPr>
      <w:r>
        <w:t xml:space="preserve">Garrett, M., Wolny, J., Truby, E., Heil, C., &amp; Kovach, C. (2011). Harmful algal bloom species and phosphate-processing effluent: Field and laboratory studies.</w:t>
      </w:r>
      <w:r>
        <w:t xml:space="preserve"> </w:t>
      </w:r>
      <w:r>
        <w:rPr>
          <w:iCs/>
          <w:i/>
        </w:rPr>
        <w:t xml:space="preserve">Marine Pollution Bulletin</w:t>
      </w:r>
      <w:r>
        <w:t xml:space="preserve">,</w:t>
      </w:r>
      <w:r>
        <w:t xml:space="preserve"> </w:t>
      </w:r>
      <w:r>
        <w:rPr>
          <w:iCs/>
          <w:i/>
        </w:rPr>
        <w:t xml:space="preserve">62</w:t>
      </w:r>
      <w:r>
        <w:t xml:space="preserve">(3), 596–601.</w:t>
      </w:r>
      <w:r>
        <w:t xml:space="preserve"> </w:t>
      </w:r>
      <w:hyperlink r:id="rId66">
        <w:r>
          <w:rPr>
            <w:rStyle w:val="Hyperlink"/>
          </w:rPr>
          <w:t xml:space="preserve">https://doi.org/10.1016/j.marpolbul.2010.11.017</w:t>
        </w:r>
      </w:hyperlink>
    </w:p>
    <w:bookmarkEnd w:id="67"/>
    <w:bookmarkStart w:id="69" w:name="ref-gowans2023"/>
    <w:p>
      <w:pPr>
        <w:pStyle w:val="Bibliography"/>
      </w:pPr>
      <w:r>
        <w:t xml:space="preserve">Gowans, S., &amp; Siuda, A. N. (2023). Microplastics in large marine herbivores:</w:t>
      </w:r>
      <w:r>
        <w:t xml:space="preserve"> </w:t>
      </w:r>
      <w:r>
        <w:t xml:space="preserve">F</w:t>
      </w:r>
      <w:r>
        <w:t xml:space="preserve">lorida manatees (</w:t>
      </w:r>
      <w:r>
        <w:rPr>
          <w:iCs/>
          <w:i/>
        </w:rPr>
        <w:t xml:space="preserve">T</w:t>
      </w:r>
      <w:r>
        <w:rPr>
          <w:iCs/>
          <w:i/>
        </w:rPr>
        <w:t xml:space="preserve">richechus manatus latirostris</w:t>
      </w:r>
      <w:r>
        <w:t xml:space="preserve">) in</w:t>
      </w:r>
      <w:r>
        <w:t xml:space="preserve"> </w:t>
      </w:r>
      <w:r>
        <w:t xml:space="preserve">T</w:t>
      </w:r>
      <w:r>
        <w:t xml:space="preserve">ampa</w:t>
      </w:r>
      <w:r>
        <w:t xml:space="preserve"> </w:t>
      </w:r>
      <w:r>
        <w:t xml:space="preserve">B</w:t>
      </w:r>
      <w:r>
        <w:t xml:space="preserve">ay.</w:t>
      </w:r>
      <w:r>
        <w:t xml:space="preserve"> </w:t>
      </w:r>
      <w:r>
        <w:rPr>
          <w:iCs/>
          <w:i/>
        </w:rPr>
        <w:t xml:space="preserve">Frontiers in Ecology and Evolution</w:t>
      </w:r>
      <w:r>
        <w:t xml:space="preserve">,</w:t>
      </w:r>
      <w:r>
        <w:t xml:space="preserve"> </w:t>
      </w:r>
      <w:r>
        <w:rPr>
          <w:iCs/>
          <w:i/>
        </w:rPr>
        <w:t xml:space="preserve">11</w:t>
      </w:r>
      <w:r>
        <w:t xml:space="preserve">, 1143310.</w:t>
      </w:r>
      <w:r>
        <w:t xml:space="preserve"> </w:t>
      </w:r>
      <w:hyperlink r:id="rId68">
        <w:r>
          <w:rPr>
            <w:rStyle w:val="Hyperlink"/>
          </w:rPr>
          <w:t xml:space="preserve">https://doi.org/10.3389/fevo.2023.1143310</w:t>
        </w:r>
      </w:hyperlink>
    </w:p>
    <w:bookmarkEnd w:id="69"/>
    <w:bookmarkStart w:id="71"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w:t>
      </w:r>
      <w:r>
        <w:t xml:space="preserve"> </w:t>
      </w:r>
      <w:r>
        <w:rPr>
          <w:iCs/>
          <w:i/>
        </w:rPr>
        <w:t xml:space="preserve">38</w:t>
      </w:r>
      <w:r>
        <w:t xml:space="preserve">(2), 163–178.</w:t>
      </w:r>
      <w:r>
        <w:t xml:space="preserve"> </w:t>
      </w:r>
      <w:hyperlink r:id="rId70">
        <w:r>
          <w:rPr>
            <w:rStyle w:val="Hyperlink"/>
          </w:rPr>
          <w:t xml:space="preserve">https://doi.org/10.1007/s00267-005-0079-4</w:t>
        </w:r>
      </w:hyperlink>
    </w:p>
    <w:bookmarkEnd w:id="71"/>
    <w:bookmarkStart w:id="73"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w:t>
      </w:r>
      <w:r>
        <w:t xml:space="preserve"> </w:t>
      </w:r>
      <w:r>
        <w:rPr>
          <w:iCs/>
          <w:i/>
        </w:rPr>
        <w:t xml:space="preserve">151</w:t>
      </w:r>
      <w:r>
        <w:t xml:space="preserve">, A1–A16.</w:t>
      </w:r>
      <w:r>
        <w:t xml:space="preserve"> </w:t>
      </w:r>
      <w:hyperlink r:id="rId72">
        <w:r>
          <w:rPr>
            <w:rStyle w:val="Hyperlink"/>
          </w:rPr>
          <w:t xml:space="preserve">https://doi.org/10.1016/j.ecss.2014.10.003</w:t>
        </w:r>
      </w:hyperlink>
    </w:p>
    <w:bookmarkEnd w:id="73"/>
    <w:bookmarkStart w:id="75" w:name="ref-gross2017"/>
    <w:p>
      <w:pPr>
        <w:pStyle w:val="Bibliography"/>
      </w:pPr>
      <w:r>
        <w:t xml:space="preserve">Gross, C., &amp; Hagy III, J. D. (2017). Attributes of successful actions to restore lakes and estuaries degraded by nutrient pollution.</w:t>
      </w:r>
      <w:r>
        <w:t xml:space="preserve"> </w:t>
      </w:r>
      <w:r>
        <w:rPr>
          <w:iCs/>
          <w:i/>
        </w:rPr>
        <w:t xml:space="preserve">Journal of Environmental Management</w:t>
      </w:r>
      <w:r>
        <w:t xml:space="preserve">,</w:t>
      </w:r>
      <w:r>
        <w:t xml:space="preserve"> </w:t>
      </w:r>
      <w:r>
        <w:rPr>
          <w:iCs/>
          <w:i/>
        </w:rPr>
        <w:t xml:space="preserve">187</w:t>
      </w:r>
      <w:r>
        <w:t xml:space="preserve">, 122–136.</w:t>
      </w:r>
      <w:r>
        <w:t xml:space="preserve"> </w:t>
      </w:r>
      <w:hyperlink r:id="rId74">
        <w:r>
          <w:rPr>
            <w:rStyle w:val="Hyperlink"/>
          </w:rPr>
          <w:t xml:space="preserve">https://doi.org/10.1016/j.jenvman.2016.11.018</w:t>
        </w:r>
      </w:hyperlink>
    </w:p>
    <w:bookmarkEnd w:id="75"/>
    <w:bookmarkStart w:id="76" w:name="ref-henderson2004"/>
    <w:p>
      <w:pPr>
        <w:pStyle w:val="Bibliography"/>
      </w:pPr>
      <w:r>
        <w:t xml:space="preserve">Henderson, C. S. (2004).</w:t>
      </w:r>
      <w:r>
        <w:t xml:space="preserve"> </w:t>
      </w:r>
      <w:r>
        <w:rPr>
          <w:iCs/>
          <w:i/>
        </w:rPr>
        <w:t xml:space="preserve">P</w:t>
      </w:r>
      <w:r>
        <w:rPr>
          <w:iCs/>
          <w:i/>
        </w:rPr>
        <w:t xml:space="preserve">iney</w:t>
      </w:r>
      <w:r>
        <w:rPr>
          <w:iCs/>
          <w:i/>
        </w:rPr>
        <w:t xml:space="preserve"> </w:t>
      </w:r>
      <w:r>
        <w:rPr>
          <w:iCs/>
          <w:i/>
        </w:rPr>
        <w:t xml:space="preserve">P</w:t>
      </w:r>
      <w:r>
        <w:rPr>
          <w:iCs/>
          <w:i/>
        </w:rPr>
        <w:t xml:space="preserve">oint phosphate plant: An environmental analysis.</w:t>
      </w:r>
      <w:r>
        <w:rPr>
          <w:iCs/>
          <w:i/>
        </w:rPr>
        <w:t xml:space="preserve"> </w:t>
      </w:r>
      <w:r>
        <w:rPr>
          <w:iCs/>
          <w:i/>
        </w:rPr>
        <w:t xml:space="preserve">University of South Florida St. Petersburg, Florida</w:t>
      </w:r>
      <w:r>
        <w:t xml:space="preserve">.</w:t>
      </w:r>
    </w:p>
    <w:bookmarkEnd w:id="76"/>
    <w:bookmarkStart w:id="78" w:name="ref-tbep0696"/>
    <w:p>
      <w:pPr>
        <w:pStyle w:val="Bibliography"/>
      </w:pPr>
      <w:r>
        <w:t xml:space="preserve">Janicki, A. J., &amp; Wade, D. L. (1996).</w:t>
      </w:r>
      <w:r>
        <w:t xml:space="preserve"> </w:t>
      </w:r>
      <w:r>
        <w:rPr>
          <w:iCs/>
          <w:i/>
        </w:rPr>
        <w:t xml:space="preserve">Estimating critical nitrogen loads for the</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E</w:t>
      </w:r>
      <w:r>
        <w:rPr>
          <w:iCs/>
          <w:i/>
        </w:rPr>
        <w:t xml:space="preserve">stuary: An empirically based approach to setting management targets</w:t>
      </w:r>
      <w:r>
        <w:t xml:space="preserve"> </w:t>
      </w:r>
      <w:r>
        <w:t xml:space="preserve">(06-96). Tampa Bay Estuary Program.</w:t>
      </w:r>
      <w:r>
        <w:t xml:space="preserve"> </w:t>
      </w:r>
      <w:hyperlink r:id="rId77">
        <w:r>
          <w:rPr>
            <w:rStyle w:val="Hyperlink"/>
          </w:rPr>
          <w:t xml:space="preserve">https://drive.google.com/file/d/1kZkvuprvsMyN9nPS5PHYvXHyo1KQxKTr/view?usp=drivesdk</w:t>
        </w:r>
      </w:hyperlink>
    </w:p>
    <w:bookmarkEnd w:id="78"/>
    <w:bookmarkStart w:id="80" w:name="ref-tbep0400"/>
    <w:p>
      <w:pPr>
        <w:pStyle w:val="Bibliography"/>
      </w:pPr>
      <w:r>
        <w:t xml:space="preserve">Janicki, A. J., Wade, D., &amp; Pribble, J. R. (2000).</w:t>
      </w:r>
      <w:r>
        <w:t xml:space="preserve"> </w:t>
      </w:r>
      <w:r>
        <w:rPr>
          <w:iCs/>
          <w:i/>
        </w:rPr>
        <w:t xml:space="preserve">Developing and establishing a process to track the status of chlorophyll-a concentrations and light attenuation to support seagrass restoration goals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t xml:space="preserve"> </w:t>
      </w:r>
      <w:r>
        <w:t xml:space="preserve">(04-00). Tampa Bay Estuary Program.</w:t>
      </w:r>
      <w:r>
        <w:t xml:space="preserve"> </w:t>
      </w:r>
      <w:hyperlink r:id="rId79">
        <w:r>
          <w:rPr>
            <w:rStyle w:val="Hyperlink"/>
          </w:rPr>
          <w:t xml:space="preserve">https://drive.google.com/file/d/1XMULU8w4syWcSv_ciOUOhnC_G4xt6GIF/view?usp=drivesdk</w:t>
        </w:r>
      </w:hyperlink>
    </w:p>
    <w:bookmarkEnd w:id="80"/>
    <w:bookmarkStart w:id="82" w:name="ref-tbep0623"/>
    <w:p>
      <w:pPr>
        <w:pStyle w:val="Bibliography"/>
      </w:pPr>
      <w:r>
        <w:t xml:space="preserve">Janicki Environmental, Inc. (2023).</w:t>
      </w:r>
      <w:r>
        <w:t xml:space="preserve"> </w:t>
      </w:r>
      <w:r>
        <w:rPr>
          <w:iCs/>
          <w:i/>
        </w:rPr>
        <w:t xml:space="preserve">Estimates of total nitrogen, total phosphorus, total suspended solids, and biological oxygen demand loadings to</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F</w:t>
      </w:r>
      <w:r>
        <w:rPr>
          <w:iCs/>
          <w:i/>
        </w:rPr>
        <w:t xml:space="preserve">lorida: 2017-2021</w:t>
      </w:r>
      <w:r>
        <w:t xml:space="preserve"> </w:t>
      </w:r>
      <w:r>
        <w:t xml:space="preserve">(06-23; p. 83). Tampa Bay Estuary Program.</w:t>
      </w:r>
      <w:r>
        <w:t xml:space="preserve"> </w:t>
      </w:r>
      <w:hyperlink r:id="rId81">
        <w:r>
          <w:rPr>
            <w:rStyle w:val="Hyperlink"/>
          </w:rPr>
          <w:t xml:space="preserve">https://drive.google.com/file/d/1KARuSC5fGx05MuT1wiOQFWNXysBokkQl/view?usp=share_link</w:t>
        </w:r>
      </w:hyperlink>
    </w:p>
    <w:bookmarkEnd w:id="82"/>
    <w:bookmarkStart w:id="83"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Cs/>
          <w:i/>
        </w:rPr>
        <w:t xml:space="preserve">Proceedings of the</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 2</w:t>
      </w:r>
      <w:r>
        <w:t xml:space="preserve"> </w:t>
      </w:r>
      <w:r>
        <w:t xml:space="preserve">(pp. 157–176). Tampa Bay Regional Planning Council.</w:t>
      </w:r>
    </w:p>
    <w:bookmarkEnd w:id="83"/>
    <w:bookmarkStart w:id="84" w:name="ref-johansson1999"/>
    <w:p>
      <w:pPr>
        <w:pStyle w:val="Bibliography"/>
      </w:pPr>
      <w:r>
        <w:t xml:space="preserve">Johansson, J. O.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Cs/>
          <w:i/>
        </w:rPr>
        <w:t xml:space="preserve">Seagrasses:</w:t>
      </w:r>
      <w:r>
        <w:rPr>
          <w:iCs/>
          <w:i/>
        </w:rPr>
        <w:t xml:space="preserve"> </w:t>
      </w:r>
      <w:r>
        <w:rPr>
          <w:iCs/>
          <w:i/>
        </w:rPr>
        <w:t xml:space="preserve">M</w:t>
      </w:r>
      <w:r>
        <w:rPr>
          <w:iCs/>
          <w:i/>
        </w:rPr>
        <w:t xml:space="preserve">onitoring,</w:t>
      </w:r>
      <w:r>
        <w:rPr>
          <w:iCs/>
          <w:i/>
        </w:rPr>
        <w:t xml:space="preserve"> </w:t>
      </w:r>
      <w:r>
        <w:rPr>
          <w:iCs/>
          <w:i/>
        </w:rPr>
        <w:t xml:space="preserve">E</w:t>
      </w:r>
      <w:r>
        <w:rPr>
          <w:iCs/>
          <w:i/>
        </w:rPr>
        <w:t xml:space="preserve">cology,</w:t>
      </w:r>
      <w:r>
        <w:rPr>
          <w:iCs/>
          <w:i/>
        </w:rPr>
        <w:t xml:space="preserve"> </w:t>
      </w:r>
      <w:r>
        <w:rPr>
          <w:iCs/>
          <w:i/>
        </w:rPr>
        <w:t xml:space="preserve">P</w:t>
      </w:r>
      <w:r>
        <w:rPr>
          <w:iCs/>
          <w:i/>
        </w:rPr>
        <w:t xml:space="preserve">hysiology, and</w:t>
      </w:r>
      <w:r>
        <w:rPr>
          <w:iCs/>
          <w:i/>
        </w:rPr>
        <w:t xml:space="preserve"> </w:t>
      </w:r>
      <w:r>
        <w:rPr>
          <w:iCs/>
          <w:i/>
        </w:rPr>
        <w:t xml:space="preserve">M</w:t>
      </w:r>
      <w:r>
        <w:rPr>
          <w:iCs/>
          <w:i/>
        </w:rPr>
        <w:t xml:space="preserve">anagement</w:t>
      </w:r>
      <w:r>
        <w:t xml:space="preserve"> </w:t>
      </w:r>
      <w:r>
        <w:t xml:space="preserve">(pp. 297–312). CRC Press.</w:t>
      </w:r>
    </w:p>
    <w:bookmarkEnd w:id="84"/>
    <w:bookmarkStart w:id="86" w:name="ref-liu2024"/>
    <w:p>
      <w:pPr>
        <w:pStyle w:val="Bibliography"/>
      </w:pPr>
      <w:r>
        <w:t xml:space="preserve">Liu, Y., Weisberg, R. H., Zheng, L., Sun, Y., Chen, J., Law, J. A., Hu, C., Cannizzaro, J. P., &amp; Frazer, T. K. (2024). A tracer model nowcast/forecast study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Rapid response to an environmental hazard.</w:t>
      </w:r>
      <w:r>
        <w:t xml:space="preserve"> </w:t>
      </w:r>
      <w:r>
        <w:rPr>
          <w:iCs/>
          <w:i/>
        </w:rPr>
        <w:t xml:space="preserve">Marine Pollution Bulletin</w:t>
      </w:r>
      <w:r>
        <w:t xml:space="preserve">,</w:t>
      </w:r>
      <w:r>
        <w:t xml:space="preserve"> </w:t>
      </w:r>
      <w:r>
        <w:rPr>
          <w:iCs/>
          <w:i/>
        </w:rPr>
        <w:t xml:space="preserve">198</w:t>
      </w:r>
      <w:r>
        <w:t xml:space="preserve">, 115840.</w:t>
      </w:r>
      <w:r>
        <w:t xml:space="preserve"> </w:t>
      </w:r>
      <w:hyperlink r:id="rId85">
        <w:r>
          <w:rPr>
            <w:rStyle w:val="Hyperlink"/>
          </w:rPr>
          <w:t xml:space="preserve">https://doi.org/10.1016/j.marpolbul.2023.115840</w:t>
        </w:r>
      </w:hyperlink>
    </w:p>
    <w:bookmarkEnd w:id="86"/>
    <w:bookmarkStart w:id="88"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Cs/>
          <w:i/>
        </w:rPr>
        <w:t xml:space="preserve">Frontiers in Ecology and Evolution</w:t>
      </w:r>
      <w:r>
        <w:t xml:space="preserve">,</w:t>
      </w:r>
      <w:r>
        <w:t xml:space="preserve"> </w:t>
      </w:r>
      <w:r>
        <w:rPr>
          <w:iCs/>
          <w:i/>
        </w:rPr>
        <w:t xml:space="preserve">11</w:t>
      </w:r>
      <w:r>
        <w:t xml:space="preserve">, 1144778.</w:t>
      </w:r>
      <w:r>
        <w:t xml:space="preserve"> </w:t>
      </w:r>
      <w:hyperlink r:id="rId87">
        <w:r>
          <w:rPr>
            <w:rStyle w:val="Hyperlink"/>
          </w:rPr>
          <w:t xml:space="preserve">https://doi.org/10.3389/fevo.2023.1144778</w:t>
        </w:r>
      </w:hyperlink>
    </w:p>
    <w:bookmarkEnd w:id="88"/>
    <w:bookmarkStart w:id="90" w:name="ref-nelson2021"/>
    <w:p>
      <w:pPr>
        <w:pStyle w:val="Bibliography"/>
      </w:pPr>
      <w:r>
        <w:t xml:space="preserve">Nelson, N. G., Cuchiara, M. L., Hendren, C. O., Jones, J. L., &amp; Marshall, A.-M. (2021). Hazardous spills at retired fertilizer manufacturing plants will continue to occur in the absence of scientific innovation and regulatory enforcement.</w:t>
      </w:r>
      <w:r>
        <w:t xml:space="preserve"> </w:t>
      </w:r>
      <w:r>
        <w:rPr>
          <w:iCs/>
          <w:i/>
        </w:rPr>
        <w:t xml:space="preserve">Environmental Science &amp; Technology</w:t>
      </w:r>
      <w:r>
        <w:t xml:space="preserve">,</w:t>
      </w:r>
      <w:r>
        <w:t xml:space="preserve"> </w:t>
      </w:r>
      <w:r>
        <w:rPr>
          <w:iCs/>
          <w:i/>
        </w:rPr>
        <w:t xml:space="preserve">55</w:t>
      </w:r>
      <w:r>
        <w:t xml:space="preserve">(24), 16267–16269.</w:t>
      </w:r>
      <w:r>
        <w:t xml:space="preserve"> </w:t>
      </w:r>
      <w:hyperlink r:id="rId89">
        <w:r>
          <w:rPr>
            <w:rStyle w:val="Hyperlink"/>
          </w:rPr>
          <w:t xml:space="preserve">https://doi.org/10.1021/acs.est.1c05311</w:t>
        </w:r>
      </w:hyperlink>
    </w:p>
    <w:bookmarkEnd w:id="90"/>
    <w:bookmarkStart w:id="92"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Cs/>
          <w:i/>
        </w:rPr>
        <w:t xml:space="preserve">Nature Communications</w:t>
      </w:r>
      <w:r>
        <w:t xml:space="preserve">,</w:t>
      </w:r>
      <w:r>
        <w:t xml:space="preserve"> </w:t>
      </w:r>
      <w:r>
        <w:rPr>
          <w:iCs/>
          <w:i/>
        </w:rPr>
        <w:t xml:space="preserve">9</w:t>
      </w:r>
      <w:r>
        <w:t xml:space="preserve">(1324).</w:t>
      </w:r>
      <w:r>
        <w:t xml:space="preserve"> </w:t>
      </w:r>
      <w:hyperlink r:id="rId91">
        <w:r>
          <w:rPr>
            <w:rStyle w:val="Hyperlink"/>
          </w:rPr>
          <w:t xml:space="preserve">https://doi.org/10.1038/s41467-018-03732-9</w:t>
        </w:r>
      </w:hyperlink>
    </w:p>
    <w:bookmarkEnd w:id="92"/>
    <w:bookmarkStart w:id="93"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w:t>
      </w:r>
      <w:r>
        <w:t xml:space="preserve"> </w:t>
      </w:r>
      <w:r>
        <w:rPr>
          <w:iCs/>
          <w:i/>
        </w:rPr>
        <w:t xml:space="preserve">86</w:t>
      </w:r>
      <w:r>
        <w:t xml:space="preserve">, 2.</w:t>
      </w:r>
    </w:p>
    <w:bookmarkEnd w:id="93"/>
    <w:bookmarkStart w:id="95"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w:t>
      </w:r>
      <w:r>
        <w:t xml:space="preserve"> </w:t>
      </w:r>
      <w:r>
        <w:rPr>
          <w:iCs/>
          <w:i/>
        </w:rPr>
        <w:t xml:space="preserve">53</w:t>
      </w:r>
      <w:r>
        <w:t xml:space="preserve">(2), 401–415.</w:t>
      </w:r>
      <w:r>
        <w:t xml:space="preserve"> </w:t>
      </w:r>
      <w:hyperlink r:id="rId94">
        <w:r>
          <w:rPr>
            <w:rStyle w:val="Hyperlink"/>
          </w:rPr>
          <w:t xml:space="preserve">https://doi.org/10.1007/s00267-013-0179-5</w:t>
        </w:r>
      </w:hyperlink>
    </w:p>
    <w:bookmarkEnd w:id="95"/>
    <w:bookmarkStart w:id="97" w:name="ref-sherwood2016"/>
    <w:p>
      <w:pPr>
        <w:pStyle w:val="Bibliography"/>
      </w:pPr>
      <w:r>
        <w:t xml:space="preserve">Sherwood, E. T., Greening, H. S., Janicki, A. J., &amp; Karlen, D. J. (2016). Tampa Bay estuary: Monitoring long-term recovery through regional partnerships.</w:t>
      </w:r>
      <w:r>
        <w:t xml:space="preserve"> </w:t>
      </w:r>
      <w:r>
        <w:rPr>
          <w:iCs/>
          <w:i/>
        </w:rPr>
        <w:t xml:space="preserve">Regional Studies in Marine Science</w:t>
      </w:r>
      <w:r>
        <w:t xml:space="preserve">,</w:t>
      </w:r>
      <w:r>
        <w:t xml:space="preserve"> </w:t>
      </w:r>
      <w:r>
        <w:rPr>
          <w:iCs/>
          <w:i/>
        </w:rPr>
        <w:t xml:space="preserve">4</w:t>
      </w:r>
      <w:r>
        <w:t xml:space="preserve">, 1–11.</w:t>
      </w:r>
      <w:r>
        <w:t xml:space="preserve"> </w:t>
      </w:r>
      <w:hyperlink r:id="rId96">
        <w:r>
          <w:rPr>
            <w:rStyle w:val="Hyperlink"/>
          </w:rPr>
          <w:t xml:space="preserve">https://doi.org/10.1016/j.rsma.2015.05.005</w:t>
        </w:r>
      </w:hyperlink>
    </w:p>
    <w:bookmarkEnd w:id="97"/>
    <w:bookmarkStart w:id="99"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w:t>
      </w:r>
      <w:r>
        <w:t xml:space="preserve"> </w:t>
      </w:r>
      <w:r>
        <w:rPr>
          <w:iCs/>
          <w:i/>
        </w:rPr>
        <w:t xml:space="preserve">57</w:t>
      </w:r>
      <w:r>
        <w:t xml:space="preserve">(3), 294–319.</w:t>
      </w:r>
      <w:r>
        <w:t xml:space="preserve"> </w:t>
      </w:r>
      <w:hyperlink r:id="rId98">
        <w:r>
          <w:rPr>
            <w:rStyle w:val="Hyperlink"/>
          </w:rPr>
          <w:t xml:space="preserve">https://doi.org/10.1353/sgo.2017.0026</w:t>
        </w:r>
      </w:hyperlink>
    </w:p>
    <w:bookmarkEnd w:id="99"/>
    <w:bookmarkStart w:id="101" w:name="ref-tbep0525"/>
    <w:p>
      <w:pPr>
        <w:pStyle w:val="Bibliography"/>
      </w:pPr>
      <w:r>
        <w:t xml:space="preserve">Stantec Consulting Services, Inc. (2025).</w:t>
      </w:r>
      <w:r>
        <w:t xml:space="preserve"> </w:t>
      </w:r>
      <w:r>
        <w:rPr>
          <w:iCs/>
          <w:i/>
        </w:rPr>
        <w:t xml:space="preserve">O</w:t>
      </w:r>
      <w:r>
        <w:rPr>
          <w:iCs/>
          <w:i/>
        </w:rPr>
        <w:t xml:space="preserve">ld</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 assimilative capacity study: Task 2 evaluation of eutrophication indicator targets, thresholds, and numeric nutrient criteria and proposed adjustments</w:t>
      </w:r>
      <w:r>
        <w:t xml:space="preserve"> </w:t>
      </w:r>
      <w:r>
        <w:t xml:space="preserve">(05-25; p. 107). Tampa Bay Estuary Program.</w:t>
      </w:r>
      <w:r>
        <w:t xml:space="preserve"> </w:t>
      </w:r>
      <w:hyperlink r:id="rId100">
        <w:r>
          <w:rPr>
            <w:rStyle w:val="Hyperlink"/>
          </w:rPr>
          <w:t xml:space="preserve">https://drive.google.com/file/d/12xYfSs-4bxhLa1ZVQbmhQSv5Jo4Jf-oY/view?usp=sharing</w:t>
        </w:r>
      </w:hyperlink>
    </w:p>
    <w:bookmarkEnd w:id="101"/>
    <w:bookmarkStart w:id="102" w:name="ref-switzer2011"/>
    <w:p>
      <w:pPr>
        <w:pStyle w:val="Bibliography"/>
      </w:pPr>
      <w:r>
        <w:t xml:space="preserve">Switzer, T. S., Tyler-Jedlund, A. J., Rogers, K. R., Grier, H., McMichael Jr, R. H., &amp; Fox, S. (2011).</w:t>
      </w:r>
      <w:r>
        <w:t xml:space="preserve"> </w:t>
      </w:r>
      <w:r>
        <w:rPr>
          <w:iCs/>
          <w:i/>
        </w:rPr>
        <w:t xml:space="preserve">Response of estuarine nekton to the regulated discharge of treated phosphate-production process water</w:t>
      </w:r>
      <w:r>
        <w:t xml:space="preserve"> </w:t>
      </w:r>
      <w:r>
        <w:t xml:space="preserve">(p. 24). Florida Fish; Wildlife Conservation Commission, Fish; Wildlife Research Institute.</w:t>
      </w:r>
    </w:p>
    <w:bookmarkEnd w:id="102"/>
    <w:bookmarkStart w:id="104" w:name="ref-tbep2022"/>
    <w:p>
      <w:pPr>
        <w:pStyle w:val="Bibliography"/>
      </w:pPr>
      <w:r>
        <w:t xml:space="preserve">Tampa Bay Estuary Program. (2022).</w:t>
      </w:r>
      <w:r>
        <w:t xml:space="preserve"> </w:t>
      </w:r>
      <w:r>
        <w:rPr>
          <w:iCs/>
          <w:i/>
        </w:rPr>
        <w:t xml:space="preserve">Piney Point Monitoring</w:t>
      </w:r>
      <w:r>
        <w:t xml:space="preserve">. Tampa Bay Estuary Program.</w:t>
      </w:r>
      <w:r>
        <w:t xml:space="preserve"> </w:t>
      </w:r>
      <w:hyperlink r:id="rId103">
        <w:r>
          <w:rPr>
            <w:rStyle w:val="Hyperlink"/>
          </w:rPr>
          <w:t xml:space="preserve">https://tbep.org/piney-point/</w:t>
        </w:r>
      </w:hyperlink>
    </w:p>
    <w:bookmarkEnd w:id="104"/>
    <w:bookmarkStart w:id="106" w:name="ref-usepa2025"/>
    <w:p>
      <w:pPr>
        <w:pStyle w:val="Bibliography"/>
      </w:pPr>
      <w:r>
        <w:t xml:space="preserve">U.S. Environmental Protection Agency. (2025).</w:t>
      </w:r>
      <w:r>
        <w:t xml:space="preserve"> </w:t>
      </w:r>
      <w:r>
        <w:rPr>
          <w:iCs/>
          <w:i/>
        </w:rPr>
        <w:t xml:space="preserve">TENORM: Fertilizer and Fertilizer Production Wastes</w:t>
      </w:r>
      <w:r>
        <w:t xml:space="preserve">. United States Environmental Protection Agency.</w:t>
      </w:r>
      <w:r>
        <w:t xml:space="preserve"> </w:t>
      </w:r>
      <w:hyperlink r:id="rId105">
        <w:r>
          <w:rPr>
            <w:rStyle w:val="Hyperlink"/>
          </w:rPr>
          <w:t xml:space="preserve">https://www.epa.gov/radiation/tenorm-fertilizer-and-fertilizer-production-wastes</w:t>
        </w:r>
      </w:hyperlink>
    </w:p>
    <w:bookmarkEnd w:id="106"/>
    <w:bookmarkStart w:id="107" w:name="ref-vandale2023"/>
    <w:p>
      <w:pPr>
        <w:pStyle w:val="Bibliography"/>
      </w:pPr>
      <w:r>
        <w:t xml:space="preserve">Vandale, N., Gowans, S., &amp; Siuda, A. N. (2023). Monitoring microplastics in</w:t>
      </w:r>
      <w:r>
        <w:t xml:space="preserve"> </w:t>
      </w:r>
      <w:r>
        <w:t xml:space="preserve">T</w:t>
      </w:r>
      <w:r>
        <w:t xml:space="preserve">ampa</w:t>
      </w:r>
      <w:r>
        <w:t xml:space="preserve"> </w:t>
      </w:r>
      <w:r>
        <w:t xml:space="preserve">B</w:t>
      </w:r>
      <w:r>
        <w:t xml:space="preserve">ay.</w:t>
      </w:r>
      <w:r>
        <w:t xml:space="preserve"> </w:t>
      </w:r>
      <w:r>
        <w:rPr>
          <w:iCs/>
          <w:i/>
        </w:rPr>
        <w:t xml:space="preserve">Florida Scientist</w:t>
      </w:r>
      <w:r>
        <w:t xml:space="preserve">,</w:t>
      </w:r>
      <w:r>
        <w:t xml:space="preserve"> </w:t>
      </w:r>
      <w:r>
        <w:rPr>
          <w:iCs/>
          <w:i/>
        </w:rPr>
        <w:t xml:space="preserve">86</w:t>
      </w:r>
      <w:r>
        <w:t xml:space="preserve">(2), 91–94.</w:t>
      </w:r>
    </w:p>
    <w:bookmarkEnd w:id="107"/>
    <w:bookmarkStart w:id="109" w:name="ref-wang1999"/>
    <w:p>
      <w:pPr>
        <w:pStyle w:val="Bibliography"/>
      </w:pPr>
      <w:r>
        <w:t xml:space="preserve">Wang, P., Martin, J., &amp; Morrison, G. (1999). Water quality and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Estuarine, Coastal and Shelf Science</w:t>
      </w:r>
      <w:r>
        <w:t xml:space="preserve">,</w:t>
      </w:r>
      <w:r>
        <w:t xml:space="preserve"> </w:t>
      </w:r>
      <w:r>
        <w:rPr>
          <w:iCs/>
          <w:i/>
        </w:rPr>
        <w:t xml:space="preserve">49</w:t>
      </w:r>
      <w:r>
        <w:t xml:space="preserve">(1), 1–20.</w:t>
      </w:r>
      <w:r>
        <w:t xml:space="preserve"> </w:t>
      </w:r>
      <w:hyperlink r:id="rId108">
        <w:r>
          <w:rPr>
            <w:rStyle w:val="Hyperlink"/>
          </w:rPr>
          <w:t xml:space="preserve">https://doi.org/10.1006/ecss.1999.0490</w:t>
        </w:r>
      </w:hyperlink>
    </w:p>
    <w:bookmarkEnd w:id="109"/>
    <w:bookmarkEnd w:id="110"/>
    <w:bookmarkEnd w:id="111"/>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0" Target="media/rId30.jp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24"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08" Target="https://doi.org/10.1006/ecss.1999.0490" TargetMode="External" /><Relationship Type="http://schemas.openxmlformats.org/officeDocument/2006/relationships/hyperlink" Id="rId70" Target="https://doi.org/10.1007/s00267-005-0079-4" TargetMode="External" /><Relationship Type="http://schemas.openxmlformats.org/officeDocument/2006/relationships/hyperlink" Id="rId94"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2" Target="https://doi.org/10.1016/j.ecss.2014.10.003" TargetMode="External" /><Relationship Type="http://schemas.openxmlformats.org/officeDocument/2006/relationships/hyperlink" Id="rId74" Target="https://doi.org/10.1016/j.jenvman.2016.11.018" TargetMode="External" /><Relationship Type="http://schemas.openxmlformats.org/officeDocument/2006/relationships/hyperlink" Id="rId66"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5" Target="https://doi.org/10.1016/j.marpolbul.2023.115840" TargetMode="External" /><Relationship Type="http://schemas.openxmlformats.org/officeDocument/2006/relationships/hyperlink" Id="rId96" Target="https://doi.org/10.1016/j.rsma.2015.05.005" TargetMode="External" /><Relationship Type="http://schemas.openxmlformats.org/officeDocument/2006/relationships/hyperlink" Id="rId89" Target="https://doi.org/10.1021/acs.est.1c05311" TargetMode="External" /><Relationship Type="http://schemas.openxmlformats.org/officeDocument/2006/relationships/hyperlink" Id="rId91" Target="https://doi.org/10.1038/s41467-018-03732-9" TargetMode="External" /><Relationship Type="http://schemas.openxmlformats.org/officeDocument/2006/relationships/hyperlink" Id="rId98" Target="https://doi.org/10.1353/sgo.2017.0026" TargetMode="External" /><Relationship Type="http://schemas.openxmlformats.org/officeDocument/2006/relationships/hyperlink" Id="rId68" Target="https://doi.org/10.3389/fevo.2023.1143310" TargetMode="External" /><Relationship Type="http://schemas.openxmlformats.org/officeDocument/2006/relationships/hyperlink" Id="rId87" Target="https://doi.org/10.3389/fevo.2023.1144778" TargetMode="External" /><Relationship Type="http://schemas.openxmlformats.org/officeDocument/2006/relationships/hyperlink" Id="rId100" Target="https://drive.google.com/file/d/12xYfSs-4bxhLa1ZVQbmhQSv5Jo4Jf-oY/view?usp=sharing" TargetMode="External" /><Relationship Type="http://schemas.openxmlformats.org/officeDocument/2006/relationships/hyperlink" Id="rId81" Target="https://drive.google.com/file/d/1KARuSC5fGx05MuT1wiOQFWNXysBokkQl/view?usp=share_link" TargetMode="External" /><Relationship Type="http://schemas.openxmlformats.org/officeDocument/2006/relationships/hyperlink" Id="rId79" Target="https://drive.google.com/file/d/1XMULU8w4syWcSv_ciOUOhnC_G4xt6GIF/view?usp=drivesdk" TargetMode="External" /><Relationship Type="http://schemas.openxmlformats.org/officeDocument/2006/relationships/hyperlink" Id="rId77" Target="https://drive.google.com/file/d/1kZkvuprvsMyN9nPS5PHYvXHyo1KQxKTr/view?usp=drivesdk" TargetMode="External" /><Relationship Type="http://schemas.openxmlformats.org/officeDocument/2006/relationships/hyperlink" Id="rId103" Target="https://tbep.org/piney-point/" TargetMode="External" /><Relationship Type="http://schemas.openxmlformats.org/officeDocument/2006/relationships/hyperlink" Id="rId105" Target="https://www.epa.gov/radiation/tenorm-fertilizer-and-fertilizer-production-wastes"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24"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08" Target="https://doi.org/10.1006/ecss.1999.0490" TargetMode="External" /><Relationship Type="http://schemas.openxmlformats.org/officeDocument/2006/relationships/hyperlink" Id="rId70" Target="https://doi.org/10.1007/s00267-005-0079-4" TargetMode="External" /><Relationship Type="http://schemas.openxmlformats.org/officeDocument/2006/relationships/hyperlink" Id="rId94"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2" Target="https://doi.org/10.1016/j.ecss.2014.10.003" TargetMode="External" /><Relationship Type="http://schemas.openxmlformats.org/officeDocument/2006/relationships/hyperlink" Id="rId74" Target="https://doi.org/10.1016/j.jenvman.2016.11.018" TargetMode="External" /><Relationship Type="http://schemas.openxmlformats.org/officeDocument/2006/relationships/hyperlink" Id="rId66"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5" Target="https://doi.org/10.1016/j.marpolbul.2023.115840" TargetMode="External" /><Relationship Type="http://schemas.openxmlformats.org/officeDocument/2006/relationships/hyperlink" Id="rId96" Target="https://doi.org/10.1016/j.rsma.2015.05.005" TargetMode="External" /><Relationship Type="http://schemas.openxmlformats.org/officeDocument/2006/relationships/hyperlink" Id="rId89" Target="https://doi.org/10.1021/acs.est.1c05311" TargetMode="External" /><Relationship Type="http://schemas.openxmlformats.org/officeDocument/2006/relationships/hyperlink" Id="rId91" Target="https://doi.org/10.1038/s41467-018-03732-9" TargetMode="External" /><Relationship Type="http://schemas.openxmlformats.org/officeDocument/2006/relationships/hyperlink" Id="rId98" Target="https://doi.org/10.1353/sgo.2017.0026" TargetMode="External" /><Relationship Type="http://schemas.openxmlformats.org/officeDocument/2006/relationships/hyperlink" Id="rId68" Target="https://doi.org/10.3389/fevo.2023.1143310" TargetMode="External" /><Relationship Type="http://schemas.openxmlformats.org/officeDocument/2006/relationships/hyperlink" Id="rId87" Target="https://doi.org/10.3389/fevo.2023.1144778" TargetMode="External" /><Relationship Type="http://schemas.openxmlformats.org/officeDocument/2006/relationships/hyperlink" Id="rId100" Target="https://drive.google.com/file/d/12xYfSs-4bxhLa1ZVQbmhQSv5Jo4Jf-oY/view?usp=sharing" TargetMode="External" /><Relationship Type="http://schemas.openxmlformats.org/officeDocument/2006/relationships/hyperlink" Id="rId81" Target="https://drive.google.com/file/d/1KARuSC5fGx05MuT1wiOQFWNXysBokkQl/view?usp=share_link" TargetMode="External" /><Relationship Type="http://schemas.openxmlformats.org/officeDocument/2006/relationships/hyperlink" Id="rId79" Target="https://drive.google.com/file/d/1XMULU8w4syWcSv_ciOUOhnC_G4xt6GIF/view?usp=drivesdk" TargetMode="External" /><Relationship Type="http://schemas.openxmlformats.org/officeDocument/2006/relationships/hyperlink" Id="rId77" Target="https://drive.google.com/file/d/1kZkvuprvsMyN9nPS5PHYvXHyo1KQxKTr/view?usp=drivesdk" TargetMode="External" /><Relationship Type="http://schemas.openxmlformats.org/officeDocument/2006/relationships/hyperlink" Id="rId103" Target="https://tbep.org/piney-point/" TargetMode="External" /><Relationship Type="http://schemas.openxmlformats.org/officeDocument/2006/relationships/hyperlink" Id="rId105" Target="https://www.epa.gov/radiation/tenorm-fertilizer-and-fertilizer-production-wastes"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2025-05-05T17:23:09Z</dcterms:created>
  <dcterms:modified xsi:type="dcterms:W3CDTF">2025-05-05T17:23:09Z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