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28.jpg" ContentType="image/jpeg"/>
  <Override PartName="/word/media/rId40.png" ContentType="image/png"/>
  <Override PartName="/word/media/rId44.png" ContentType="image/png"/>
  <Override PartName="/word/media/rId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 recovery of Tampa Bay following the 2021 release of phosphate mine wastewater from the Piney Point facility</w:t>
      </w:r>
    </w:p>
    <w:p>
      <w:pPr>
        <w:pStyle w:val="Author"/>
      </w:pPr>
      <w:r>
        <w:t xml:space="preserve">Marcus W Beck</w:t>
      </w:r>
      <w:r>
        <w:rPr>
          <w:vertAlign w:val="superscript"/>
        </w:rPr>
        <w:t xml:space="preserve">1,✉</w:t>
      </w:r>
      <w:r>
        <w:t xml:space="preserve">, Sarina J Ergas</w:t>
      </w:r>
      <w:r>
        <w:rPr>
          <w:vertAlign w:val="superscript"/>
        </w:rPr>
        <w:t xml:space="preserve">2</w:t>
      </w:r>
      <w:r>
        <w:t xml:space="preserve">, and Jeffrey A Cunningham</w:t>
      </w:r>
      <w:r>
        <w:rPr>
          <w:vertAlign w:val="superscript"/>
        </w:rPr>
        <w:t xml:space="preserve">2</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215 million gallons of highly acidic and nutrient-laden (nitrogen, phosphorus) process water into Tampa Bay. A multi-agency, event-response monitoring program resulted, which documented ecosystem impacts over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environmental management will also be explored, with emphasis on its role coordinating monitoring efforts and disseminating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the television program Sixty Minutes drew national attention to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issues.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“Silent Spring”</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 motivated by public concern over the effects of population growth –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protect water quality, fish and wildlife, and the community. The TBEP is part of a broader National Estuary Program consisting of 28 similar programs around the country that have been established as Congressionally-recognized</w:t>
      </w:r>
      <w:r>
        <w:t xml:space="preserve"> </w:t>
      </w:r>
      <w:r>
        <w:t xml:space="preserve">“estuaries of national significance”</w:t>
      </w:r>
      <w:r>
        <w:t xml:space="preserve">, each with their own local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nutrient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 allocations not to exceed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beyond established water-quality targets and regulatory thresholds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ecological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challenging logistics of its safe removal. Central Florida has a long and complicated history with phosphate mining and fertilizer production</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been released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Bay over a ten-day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based on the details presented here.</w:t>
      </w:r>
    </w:p>
    <w:bookmarkEnd w:id="22"/>
    <w:bookmarkStart w:id="23" w:name="background-1000-2000-words"/>
    <w:p>
      <w:pPr>
        <w:pStyle w:val="Heading2"/>
      </w:pPr>
      <w:r>
        <w:t xml:space="preserve">2 Background (1000-2000 words)</w:t>
      </w:r>
    </w:p>
    <w:p>
      <w:pPr>
        <w:pStyle w:val="FirstParagraph"/>
      </w:pPr>
      <w:r>
        <w:t xml:space="preserve">The</w:t>
      </w:r>
      <w:r>
        <w:t xml:space="preserve"> </w:t>
      </w:r>
      <w:r>
        <w:t xml:space="preserve">“Bone Valley”</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or karst geology, where fossilized marine organisms have created a limestone base overlying a freshwater aquifer. This limestone is rich in phosphorus, which is mined for use as a main ingredient in commercially available fertilizer, either for residential use or large-scale agricultural production. Consequently, Tampa Bay waters have relatively high concentrations of phosphorus to which aquatic organisms have adapted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“nitrogen-limited”</w:t>
      </w:r>
      <w:r>
        <w:t xml:space="preserve">, water quality improvements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waste-intensive process. For every one kilogram of useful fertilizer that is produced from raw phosphorus ore, five kilograms of waste are created</w:t>
      </w:r>
      <w:r>
        <w:t xml:space="preserve"> </w:t>
      </w:r>
      <w:r>
        <w:t xml:space="preserve">(U.S. Environmental Protection Agency, 2025)</w:t>
      </w:r>
      <w:r>
        <w:t xml:space="preserve">. This waste is called phosphogypsum and it has minimal commercial applications, owing primarily to its radioactive characteristics and regulatory controls that limit its use after production. Phosphogypsum is typically stored on-site as large stacks (or</w:t>
      </w:r>
      <w:r>
        <w:t xml:space="preserve"> </w:t>
      </w:r>
      <w:r>
        <w:t xml:space="preserve">“gypstacks”</w:t>
      </w:r>
      <w:r>
        <w:t xml:space="preserve">) that are visible from miles away and are often the only topographical features on the flat Florida landscape. Phosphogypsum is initially produced as a slurry during fertilizer production. The gypstacks are formed as the solid materials settle out of the slurry, leaving a low-pH wastewater with similar chemical characteristics as the solid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 after fertilizer production stops, with 17 such examples in the Tampa Bay watershed [25 total in Florida;</w:t>
      </w:r>
      <w:r>
        <w:t xml:space="preserve"> </w:t>
      </w:r>
      <w:r>
        <w:t xml:space="preserve">Florida Department of Environmental Protection (2025)</w:t>
      </w:r>
      <w:r>
        <w:t xml:space="preserve">]. Distribution of fertilizer at port facilities can also introduce substantial nutrients to surface waters primarily through losses during physical transport on or off a vessel. Although regulation and adoption of best practices has greatly reduced</w:t>
      </w:r>
      <w:r>
        <w:t xml:space="preserve"> </w:t>
      </w:r>
      <w:r>
        <w:t xml:space="preserve">“material losses”</w:t>
      </w:r>
      <w:r>
        <w:t xml:space="preserve"> </w:t>
      </w:r>
      <w:r>
        <w:t xml:space="preserve">directly to the Bay 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(a small subembayment of Tampa Bay immediately adjacent to Piney Point), suspected groundwater contamination from industrial solvents, and air pollution from emissions produced during fertilizer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Wastewater from Piney Point was released to Bishop Harbor in 2001 due to tropical storm activity and again from late 2003 to early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such that any future uses must protect and be compatible with integrity of stack closure and long-term care, as defined in their agreement.</w:t>
      </w:r>
    </w:p>
    <w:p>
      <w:pPr>
        <w:pStyle w:val="BodyText"/>
      </w:pPr>
      <w:r>
        <w:t xml:space="preserve">Over the course of its ownership, site management decisions by HRK contributed to further decline in the holding capacity of the gypstacks at Piney Point. A port expansion project at Port Manatee near Piney Point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another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215 million gallons of wastewater were released from Piney Point into Tampa Bay</w:t>
      </w:r>
      <w:r>
        <w:t xml:space="preserve"> </w:t>
      </w:r>
      <w:r>
        <w:t xml:space="preserve">(Beck et al., 2022)</w:t>
      </w:r>
      <w:r>
        <w:t xml:space="preserve">. A year’s worth of external nutrient inputs entered lower Tampa Bay during this ten-day period. Given the environmental impacts that were expected, the TBEP coordinated a multi-agency, event-response monitoring program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w:t>
      </w:r>
      <w:r>
        <w:t xml:space="preserve"> </w:t>
      </w:r>
      <w:r>
        <w:t xml:space="preserve">“one-pagers”</w:t>
      </w:r>
      <w:r>
        <w:t xml:space="preserve"> </w:t>
      </w:r>
      <w:r>
        <w:t xml:space="preserve">that distilled complex environmental data into meaningful results</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Intensive 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observed covering seagrasses or floating on the surface. Increases in macroalgal species were also observed along seagrass monitoring transects</w:t>
      </w:r>
      <w:r>
        <w:t xml:space="preserve"> </w:t>
      </w:r>
      <w:r>
        <w:t xml:space="preserve">(Scolaro et al., 2023)</w:t>
      </w:r>
      <w:r>
        <w:t xml:space="preserve">. The cyanobacteria and macroalgal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and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manatee mortalities were also received during this time</w:t>
      </w:r>
      <w:r>
        <w:t xml:space="preserve"> </w:t>
      </w:r>
      <w:r>
        <w:t xml:space="preserve">(Florida Fish and Wildlife Conservation Commission, 2025)</w:t>
      </w:r>
      <w:r>
        <w:t xml:space="preserv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seawater at a control site over 30 miles to the north of the mouth of Tampa Bay having a chemical signature similar to the discharge</w:t>
      </w:r>
      <w:r>
        <w:t xml:space="preserve"> </w:t>
      </w:r>
      <w:r>
        <w:t xml:space="preserve">(Morrison et al., 2023)</w:t>
      </w:r>
      <w:r>
        <w:t xml:space="preserve">. Seagrasses, although not showing any notable changes in 2021,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observed 2022 decline. Further work has demonstrated that phosphorus and nitrogen from wastewater discharge from Piney Point, 2021 and previous, can be stored in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discharges, especially when nutrients can stimulate algal blooms in the water column during storm events that resuspend sediments. Lastly, the fate and effects of lesser studied contaminants from Piney Point have also been a concern. Elevated microplastic concentrations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 HRK was in violation of the federal US Clean Water Act, despite receiving a permit from FDEP to discharge the wastewater</w:t>
      </w:r>
      <w:r>
        <w:t xml:space="preserve"> </w:t>
      </w:r>
      <w:r>
        <w:t xml:space="preserve">(United States District Court, Middle District of Florida, 2024)</w:t>
      </w:r>
      <w:r>
        <w:t xml:space="preserve">.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full closure plan for the facility as adopted and implemented by FDEP</w:t>
      </w:r>
      <w:r>
        <w:t xml:space="preserve"> </w:t>
      </w:r>
      <w:r>
        <w:t xml:space="preserve">(Ardaman &amp; Associates, Inc., 2022)</w:t>
      </w:r>
      <w:r>
        <w:t xml:space="preserve">. These plans included using an independent third party as a court-appointed receiver to oversee the closure process, with specific actions to treat the wastewater onsite prior to pumping the water underground using a newly constructed deep-well injection site that was fully functioning by April 2023. Wastewater was also sent to local treatment plants to expedite the process. Once all wastewater is removed, the remaining ponds will be filled and capped with soil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 removed. As of writing, only one of the four holding ponds at Piney Point has been successfully closed.</w:t>
      </w:r>
    </w:p>
    <w:p>
      <w:pPr>
        <w:pStyle w:val="BodyText"/>
      </w:pPr>
      <w:r>
        <w:t xml:space="preserve">Piney Point has brought additional attention to the impacts of phosphate-mining facilities on the environment, with a renewed focus on the risks from additional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deep-well injection at Piney Point may set a precedent for future closure activities since long-term plans for many of these facilities have not been established. Deep-well injection has been proposed in the past to facilitate closures of inactive phosphate mining sites, although the method has not been viewed favorably by the public given uncertainty about the associated risks or simply misinformation about the risks of deep-well injection. Although wastewater is pumped much lower than the freshwater aquifer that serves as drinking water for many in the state, the extent to which this water could migrate to other locations is not well understood. Perhaps a larger risk is integrity of the injection site since leaks at more shallow depths could introduce the wastewater into drinking water sources. Phosphogypsum has also been proposed for use as a base material for road construction, although critics argue this may pose safety risks to road workers and serve as an additional source of contamination for surface water. Regardless of whether these methods are practical means of safely and responsibly closing inactive mining facilities, their proposal does suggest recognition by fertilizer producers that these facilities are substantial liabilities that require more attention to mitigate their external impacts. It is unclear if the liability is viewed as environmental, financial, or both.</w:t>
      </w:r>
    </w:p>
    <w:bookmarkEnd w:id="23"/>
    <w:bookmarkStart w:id="26" w:name="student-activities-500-1000-words"/>
    <w:p>
      <w:pPr>
        <w:pStyle w:val="Heading2"/>
      </w:pPr>
      <w:r>
        <w:t xml:space="preserve">3 Student Activities (500-1000 words)</w:t>
      </w:r>
    </w:p>
    <w:bookmarkStart w:id="24"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Although the events of 2021 were unprecedented, the coordinated monitoring response was not. The ability of environmental managers to respond to changes in the Bay and document the impacts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on the environment from these facilities? Do you feel that the economic benefits justify continued fertilizer production relative to the impacts from Piney Point and other facilities in the region?</w:t>
      </w:r>
    </w:p>
    <w:p>
      <w:pPr>
        <w:numPr>
          <w:ilvl w:val="0"/>
          <w:numId w:val="1001"/>
        </w:numPr>
      </w:pPr>
      <w:r>
        <w:t xml:space="preserve">Do you agree with the statement</w:t>
      </w:r>
      <w:r>
        <w:t xml:space="preserve"> </w:t>
      </w:r>
      <w:r>
        <w:t xml:space="preserve">“Piney Point was a disaster waiting to happen”</w:t>
      </w:r>
      <w:r>
        <w:t xml:space="preserve">? Why or why not?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 that could influence their choices on factors contributing to the events of 2021. Do you think any one party was to blame? How can more proactive measures be taken in the future to prevent similar events from occurring?</w:t>
      </w:r>
    </w:p>
    <w:bookmarkEnd w:id="24"/>
    <w:bookmarkStart w:id="25"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2</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3</w:t>
        </w:r>
      </w:hyperlink>
      <w:r>
        <w:t xml:space="preserve"> </w:t>
      </w:r>
      <w:r>
        <w:t xml:space="preserve">and</w:t>
      </w:r>
      <w:r>
        <w:t xml:space="preserve"> </w:t>
      </w:r>
      <w:hyperlink w:anchor="fig-seagrasschange">
        <w:r>
          <w:rPr>
            <w:rStyle w:val="Hyperlink"/>
          </w:rPr>
          <w:t xml:space="preserve">Figure 4</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Many options were considered to process and remove wastewater from Piney Point as part of the long-term closure plan. Ultimately, deep-well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management to reduce environmental impacts. What other factors in the Tampa Bay region must managers consider for protecting water quality?</w:t>
      </w:r>
    </w:p>
    <w:bookmarkEnd w:id="25"/>
    <w:bookmarkEnd w:id="26"/>
    <w:bookmarkStart w:id="27" w:name="conclusion-500-1000-words"/>
    <w:p>
      <w:pPr>
        <w:pStyle w:val="Heading2"/>
      </w:pPr>
      <w:r>
        <w:t xml:space="preserve">4 Conclusion (500-1000 words)</w:t>
      </w:r>
    </w:p>
    <w:p>
      <w:pPr>
        <w:pStyle w:val="FirstParagraph"/>
      </w:pPr>
      <w:r>
        <w:t xml:space="preserve">This chapter provided an in-depth summary of factors influencing the decision to release 215 million gallons of wastewater from Piney Point, and how that release negatively affected the natural resources of Tampa Bay. This decision and its impacts were provided in the context of the history of the Piney Point facility and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continues to track total nitrogen loads to the Bay, with representatives from dozens of regulated and regulatory entities in the region. Of note is the participation of Mosaic, a prominent mining group based in Tampa that has been and will continue to be a part of the TBNMC, as an explicit recognition of their responsibility in mitigating impacts to the Bay. Adoption of more concrete plans for the permanent closure of inactive phosphate mining sites, particularly plans that consider deep-well injection, is recognition that unintended wastewater releases into surface waters is a far worse outcome than inaction or adopting plans with some level of risk. The public may be ready to accept the risks associated with deep-well injection as a more desirable alternative than emergency release to the environment.</w:t>
      </w:r>
    </w:p>
    <w:p>
      <w:pPr>
        <w:pStyle w:val="BodyText"/>
      </w:pPr>
      <w:r>
        <w:t xml:space="preserve">Countless examples exist worldwide that demonstrate the tradeoffs of human use of natural resources and the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environmental sustainability. The long-term recovery of Tampa Bay is one such example of how the population of Tampa Bay continues to grow while water quality is much improved from historical conditions when development occurred unchecked. Despite this success, challenges still remain, and the events of 2021 further demonstrate the need for greater regulatory oversight and responsibility of regulated parties. In many cases, these challenges are not fully known or they are simply ignored until significant harm has already been done to the environment. Environmental management and regulatory oversight are more effective if actions are taken proactively rather than in reaction to events that cause harm to natural resources. However, proactive management is not possible unless all parties with vested interests in environmental health, including those that are sources of pollution, work together for a common good. Development and resource use cannot occur unabated and it is in everyone’s best interest to responsibly balance societal needs with environmental health, whether in Tampa Bay or elsewhere.</w:t>
      </w:r>
    </w:p>
    <w:p>
      <w:r>
        <w:br w:type="page"/>
      </w:r>
    </w:p>
    <w:bookmarkEnd w:id="27"/>
    <w:bookmarkStart w:id="48"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1" w:name="fig-map"/>
          <w:p>
            <w:pPr>
              <w:pStyle w:val="Compact"/>
              <w:jc w:val="center"/>
            </w:pPr>
            <w:r>
              <w:drawing>
                <wp:inline>
                  <wp:extent cx="5916168" cy="7070598"/>
                  <wp:effectExtent b="0" l="0" r="0" t="0"/>
                  <wp:docPr descr="" title="" id="29" name="Picture"/>
                  <a:graphic>
                    <a:graphicData uri="http://schemas.openxmlformats.org/drawingml/2006/picture">
                      <pic:pic>
                        <pic:nvPicPr>
                          <pic:cNvPr descr="figs/map.jpg" id="30" name="Picture"/>
                          <pic:cNvPicPr>
                            <a:picLocks noChangeArrowheads="1" noChangeAspect="1"/>
                          </pic:cNvPicPr>
                        </pic:nvPicPr>
                        <pic:blipFill>
                          <a:blip r:embed="rId28"/>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1"/>
        </w:tc>
      </w:tr>
    </w:tbl>
    <w:p>
      <w:r>
        <w:br w:type="page"/>
      </w:r>
    </w:p>
    <w:tbl>
      <w:tblPr>
        <w:tblStyle w:val="Table"/>
        <w:tblW w:type="pct" w:w="5000"/>
        <w:tblLayout w:type="fixed"/>
        <w:tblLook w:firstRow="0" w:lastRow="0" w:firstColumn="0" w:lastColumn="0" w:noHBand="0" w:noVBand="0" w:val="0000"/>
      </w:tblPr>
      <w:tblGrid>
        <w:gridCol w:w="7920"/>
      </w:tblGrid>
      <w:tr>
        <w:tc>
          <w:tcPr/>
          <w:bookmarkStart w:id="35" w:name="fig-wqchange"/>
          <w:p>
            <w:pPr>
              <w:pStyle w:val="Compact"/>
              <w:jc w:val="center"/>
            </w:pPr>
            <w:r>
              <w:drawing>
                <wp:inline>
                  <wp:extent cx="5943600" cy="5943600"/>
                  <wp:effectExtent b="0" l="0" r="0" t="0"/>
                  <wp:docPr descr="" title="" id="33" name="Picture"/>
                  <a:graphic>
                    <a:graphicData uri="http://schemas.openxmlformats.org/drawingml/2006/picture">
                      <pic:pic>
                        <pic:nvPicPr>
                          <pic:cNvPr descr="figs/wqchange.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for nutrients, (b) chlorophyll-a as an indicator of algal production,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5"/>
        </w:tc>
      </w:tr>
    </w:tbl>
    <w:p>
      <w:r>
        <w:br w:type="page"/>
      </w:r>
    </w:p>
    <w:tbl>
      <w:tblPr>
        <w:tblStyle w:val="Table"/>
        <w:tblW w:type="pct" w:w="5000"/>
        <w:tblLayout w:type="fixed"/>
        <w:tblLook w:firstRow="0" w:lastRow="0" w:firstColumn="0" w:lastColumn="0" w:noHBand="0" w:noVBand="0" w:val="0000"/>
      </w:tblPr>
      <w:tblGrid>
        <w:gridCol w:w="7920"/>
      </w:tblGrid>
      <w:tr>
        <w:tc>
          <w:tcPr/>
          <w:bookmarkStart w:id="39" w:name="fig-fishkill"/>
          <w:p>
            <w:pPr>
              <w:pStyle w:val="Compact"/>
              <w:jc w:val="center"/>
            </w:pPr>
            <w:r>
              <w:drawing>
                <wp:inline>
                  <wp:extent cx="5943600" cy="3343274"/>
                  <wp:effectExtent b="0" l="0" r="0" t="0"/>
                  <wp:docPr descr="" title="" id="37" name="Picture"/>
                  <a:graphic>
                    <a:graphicData uri="http://schemas.openxmlformats.org/drawingml/2006/picture">
                      <pic:pic>
                        <pic:nvPicPr>
                          <pic:cNvPr descr="figs/fishkill.png" id="38" name="Picture"/>
                          <pic:cNvPicPr>
                            <a:picLocks noChangeArrowheads="1" noChangeAspect="1"/>
                          </pic:cNvPicPr>
                        </pic:nvPicPr>
                        <pic:blipFill>
                          <a:blip r:embed="rId36"/>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39"/>
        </w:tc>
      </w:tr>
    </w:tbl>
    <w:p>
      <w:r>
        <w:br w:type="page"/>
      </w:r>
    </w:p>
    <w:tbl>
      <w:tblPr>
        <w:tblStyle w:val="Table"/>
        <w:tblW w:type="pct" w:w="5000"/>
        <w:tblLayout w:type="fixed"/>
        <w:tblLook w:firstRow="0" w:lastRow="0" w:firstColumn="0" w:lastColumn="0" w:noHBand="0" w:noVBand="0" w:val="0000"/>
      </w:tblPr>
      <w:tblGrid>
        <w:gridCol w:w="7920"/>
      </w:tblGrid>
      <w:tr>
        <w:tc>
          <w:tcPr/>
          <w:bookmarkStart w:id="43" w:name="fig-seagrasschange"/>
          <w:p>
            <w:pPr>
              <w:pStyle w:val="Compact"/>
              <w:jc w:val="center"/>
            </w:pPr>
            <w:r>
              <w:drawing>
                <wp:inline>
                  <wp:extent cx="5943600" cy="3962400"/>
                  <wp:effectExtent b="0" l="0" r="0" t="0"/>
                  <wp:docPr descr="" title="" id="41" name="Picture"/>
                  <a:graphic>
                    <a:graphicData uri="http://schemas.openxmlformats.org/drawingml/2006/picture">
                      <pic:pic>
                        <pic:nvPicPr>
                          <pic:cNvPr descr="figs/seagrasschange.png" id="42" name="Picture"/>
                          <pic:cNvPicPr>
                            <a:picLocks noChangeArrowheads="1" noChangeAspect="1"/>
                          </pic:cNvPicPr>
                        </pic:nvPicPr>
                        <pic:blipFill>
                          <a:blip r:embed="rId40"/>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3"/>
        </w:tc>
      </w:tr>
    </w:tbl>
    <w:p>
      <w:r>
        <w:br w:type="page"/>
      </w:r>
    </w:p>
    <w:tbl>
      <w:tblPr>
        <w:tblStyle w:val="Table"/>
        <w:tblW w:type="pct" w:w="5000"/>
        <w:tblLayout w:type="fixed"/>
        <w:tblLook w:firstRow="0" w:lastRow="0" w:firstColumn="0" w:lastColumn="0" w:noHBand="0" w:noVBand="0" w:val="0000"/>
      </w:tblPr>
      <w:tblGrid>
        <w:gridCol w:w="7920"/>
      </w:tblGrid>
      <w:tr>
        <w:tc>
          <w:tcPr/>
          <w:bookmarkStart w:id="47" w:name="fig-capacity"/>
          <w:p>
            <w:pPr>
              <w:pStyle w:val="Compact"/>
              <w:jc w:val="center"/>
            </w:pPr>
            <w:r>
              <w:drawing>
                <wp:inline>
                  <wp:extent cx="5943600" cy="2641600"/>
                  <wp:effectExtent b="0" l="0" r="0" t="0"/>
                  <wp:docPr descr="" title="" id="45" name="Picture"/>
                  <a:graphic>
                    <a:graphicData uri="http://schemas.openxmlformats.org/drawingml/2006/picture">
                      <pic:pic>
                        <pic:nvPicPr>
                          <pic:cNvPr descr="figs/siteclose.png" id="46" name="Picture"/>
                          <pic:cNvPicPr>
                            <a:picLocks noChangeArrowheads="1" noChangeAspect="1"/>
                          </pic:cNvPicPr>
                        </pic:nvPicPr>
                        <pic:blipFill>
                          <a:blip r:embed="rId4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7"/>
        </w:tc>
      </w:tr>
    </w:tbl>
    <w:p>
      <w:r>
        <w:br w:type="page"/>
      </w:r>
    </w:p>
    <w:bookmarkEnd w:id="48"/>
    <w:bookmarkStart w:id="115" w:name="references"/>
    <w:p>
      <w:pPr>
        <w:pStyle w:val="Heading2"/>
      </w:pPr>
      <w:r>
        <w:t xml:space="preserve">References</w:t>
      </w:r>
    </w:p>
    <w:bookmarkStart w:id="114" w:name="refs"/>
    <w:bookmarkStart w:id="50" w:name="ref-ardaman2022"/>
    <w:p>
      <w:pPr>
        <w:pStyle w:val="Bibliography"/>
      </w:pPr>
      <w:r>
        <w:t xml:space="preserve">Ardaman &amp; Associates, Inc. (2022).</w:t>
      </w:r>
      <w:r>
        <w:t xml:space="preserve"> </w:t>
      </w:r>
      <w:r>
        <w:rPr>
          <w:i/>
          <w:iCs/>
        </w:rPr>
        <w:t xml:space="preserve">Updated conceptual closure plan for ponds</w:t>
      </w:r>
      <w:r>
        <w:rPr>
          <w:i/>
          <w:iCs/>
        </w:rPr>
        <w:t xml:space="preserve"> </w:t>
      </w:r>
      <w:r>
        <w:rPr>
          <w:i/>
          <w:iCs/>
        </w:rPr>
        <w:t xml:space="preserve">NGS-N</w:t>
      </w:r>
      <w:r>
        <w:rPr>
          <w:i/>
          <w:iCs/>
        </w:rPr>
        <w:t xml:space="preserve">,</w:t>
      </w:r>
      <w:r>
        <w:rPr>
          <w:i/>
          <w:iCs/>
        </w:rPr>
        <w:t xml:space="preserve"> </w:t>
      </w:r>
      <w:r>
        <w:rPr>
          <w:i/>
          <w:iCs/>
        </w:rPr>
        <w:t xml:space="preserve">NGS-S</w:t>
      </w:r>
      <w:r>
        <w:rPr>
          <w:i/>
          <w:iCs/>
        </w:rPr>
        <w:t xml:space="preserve">,</w:t>
      </w:r>
      <w:r>
        <w:rPr>
          <w:i/>
          <w:iCs/>
        </w:rPr>
        <w:t xml:space="preserve"> </w:t>
      </w:r>
      <w:r>
        <w:rPr>
          <w:i/>
          <w:iCs/>
        </w:rPr>
        <w:t xml:space="preserve">OGS-S</w:t>
      </w:r>
      <w:r>
        <w:rPr>
          <w:i/>
          <w:iCs/>
        </w:rPr>
        <w:t xml:space="preserve">, and</w:t>
      </w:r>
      <w:r>
        <w:rPr>
          <w:i/>
          <w:iCs/>
        </w:rPr>
        <w:t xml:space="preserve"> </w:t>
      </w:r>
      <w:r>
        <w:rPr>
          <w:i/>
          <w:iCs/>
        </w:rPr>
        <w:t xml:space="preserve">OGS-N</w:t>
      </w:r>
      <w:r>
        <w:rPr>
          <w:i/>
          <w:iCs/>
        </w:rPr>
        <w:t xml:space="preserve"> </w:t>
      </w:r>
      <w:r>
        <w:rPr>
          <w:i/>
          <w:iCs/>
        </w:rPr>
        <w:t xml:space="preserve">in response to</w:t>
      </w:r>
      <w:r>
        <w:rPr>
          <w:i/>
          <w:iCs/>
        </w:rPr>
        <w:t xml:space="preserve"> </w:t>
      </w:r>
      <w:r>
        <w:rPr>
          <w:i/>
          <w:iCs/>
        </w:rPr>
        <w:t xml:space="preserve">FDEP</w:t>
      </w:r>
      <w:r>
        <w:rPr>
          <w:i/>
          <w:iCs/>
        </w:rPr>
        <w:t xml:space="preserve"> </w:t>
      </w:r>
      <w:r>
        <w:rPr>
          <w:i/>
          <w:iCs/>
        </w:rPr>
        <w:t xml:space="preserve">request for additional information,</w:t>
      </w:r>
      <w:r>
        <w:rPr>
          <w:i/>
          <w:iCs/>
        </w:rPr>
        <w:t xml:space="preserve"> </w:t>
      </w:r>
      <w:r>
        <w:rPr>
          <w:i/>
          <w:iCs/>
        </w:rPr>
        <w:t xml:space="preserve">P</w:t>
      </w:r>
      <w:r>
        <w:rPr>
          <w:i/>
          <w:iCs/>
        </w:rPr>
        <w:t xml:space="preserve">iney</w:t>
      </w:r>
      <w:r>
        <w:rPr>
          <w:i/>
          <w:iCs/>
        </w:rPr>
        <w:t xml:space="preserve"> </w:t>
      </w:r>
      <w:r>
        <w:rPr>
          <w:i/>
          <w:iCs/>
        </w:rPr>
        <w:t xml:space="preserve">P</w:t>
      </w:r>
      <w:r>
        <w:rPr>
          <w:i/>
          <w:iCs/>
        </w:rPr>
        <w:t xml:space="preserve">oint phosphogypsum stack system,</w:t>
      </w:r>
      <w:r>
        <w:rPr>
          <w:i/>
          <w:iCs/>
        </w:rPr>
        <w:t xml:space="preserve"> </w:t>
      </w:r>
      <w:r>
        <w:rPr>
          <w:i/>
          <w:iCs/>
        </w:rPr>
        <w:t xml:space="preserve">M</w:t>
      </w:r>
      <w:r>
        <w:rPr>
          <w:i/>
          <w:iCs/>
        </w:rPr>
        <w:t xml:space="preserve">anatee</w:t>
      </w:r>
      <w:r>
        <w:rPr>
          <w:i/>
          <w:iCs/>
        </w:rPr>
        <w:t xml:space="preserve"> </w:t>
      </w:r>
      <w:r>
        <w:rPr>
          <w:i/>
          <w:iCs/>
        </w:rPr>
        <w:t xml:space="preserve">C</w:t>
      </w:r>
      <w:r>
        <w:rPr>
          <w:i/>
          <w:iCs/>
        </w:rPr>
        <w:t xml:space="preserve">ounty,</w:t>
      </w:r>
      <w:r>
        <w:rPr>
          <w:i/>
          <w:iCs/>
        </w:rPr>
        <w:t xml:space="preserve"> </w:t>
      </w:r>
      <w:r>
        <w:rPr>
          <w:i/>
          <w:iCs/>
        </w:rPr>
        <w:t xml:space="preserve">F</w:t>
      </w:r>
      <w:r>
        <w:rPr>
          <w:i/>
          <w:iCs/>
        </w:rPr>
        <w:t xml:space="preserve">lorida</w:t>
      </w:r>
      <w:r>
        <w:t xml:space="preserve"> </w:t>
      </w:r>
      <w:r>
        <w:t xml:space="preserve">(21-13-0031C; p. 268). Ardaman &amp; Associates, Inc.</w:t>
      </w:r>
      <w:r>
        <w:t xml:space="preserve"> </w:t>
      </w:r>
      <w:hyperlink r:id="rId49">
        <w:r>
          <w:rPr>
            <w:rStyle w:val="Hyperlink"/>
          </w:rPr>
          <w:t xml:space="preserve">https://content.govdelivery.com/attachments/FLDEP/2022/03/31/file_attachments/2118832/ConceptualClosurePlan03252022_revisedsmall.pdf</w:t>
        </w:r>
      </w:hyperlink>
    </w:p>
    <w:bookmarkEnd w:id="50"/>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fwc2025"/>
    <w:p>
      <w:pPr>
        <w:pStyle w:val="Bibliography"/>
      </w:pPr>
      <w:r>
        <w:t xml:space="preserve">Florida Fish and Wildlife Conservation Commission. (2025).</w:t>
      </w:r>
      <w:r>
        <w:t xml:space="preserve"> </w:t>
      </w:r>
      <w:r>
        <w:rPr>
          <w:i/>
          <w:iCs/>
        </w:rPr>
        <w:t xml:space="preserve">Red tide manatee mortalities</w:t>
      </w:r>
      <w:r>
        <w:t xml:space="preserve">.</w:t>
      </w:r>
      <w:r>
        <w:t xml:space="preserve"> </w:t>
      </w:r>
      <w:hyperlink r:id="rId66">
        <w:r>
          <w:rPr>
            <w:rStyle w:val="Hyperlink"/>
          </w:rPr>
          <w:t xml:space="preserve">https://myfwc.com/research/manatee/rescue-mortality-response/statistics/mortality/red-tide/</w:t>
        </w:r>
      </w:hyperlink>
    </w:p>
    <w:bookmarkEnd w:id="67"/>
    <w:bookmarkStart w:id="69"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68">
        <w:r>
          <w:rPr>
            <w:rStyle w:val="Hyperlink"/>
          </w:rPr>
          <w:t xml:space="preserve">https://doi.org/10.1016/j.marpolbul.2010.11.017</w:t>
        </w:r>
      </w:hyperlink>
    </w:p>
    <w:bookmarkEnd w:id="69"/>
    <w:bookmarkStart w:id="71"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70">
        <w:r>
          <w:rPr>
            <w:rStyle w:val="Hyperlink"/>
          </w:rPr>
          <w:t xml:space="preserve">https://doi.org/10.3389/fevo.2023.1143310</w:t>
        </w:r>
      </w:hyperlink>
    </w:p>
    <w:bookmarkEnd w:id="71"/>
    <w:bookmarkStart w:id="73"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72">
        <w:r>
          <w:rPr>
            <w:rStyle w:val="Hyperlink"/>
          </w:rPr>
          <w:t xml:space="preserve">https://doi.org/10.1007/s00267-005-0079-4</w:t>
        </w:r>
      </w:hyperlink>
    </w:p>
    <w:bookmarkEnd w:id="73"/>
    <w:bookmarkStart w:id="75"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74">
        <w:r>
          <w:rPr>
            <w:rStyle w:val="Hyperlink"/>
          </w:rPr>
          <w:t xml:space="preserve">https://doi.org/10.1016/j.ecss.2014.10.003</w:t>
        </w:r>
      </w:hyperlink>
    </w:p>
    <w:bookmarkEnd w:id="75"/>
    <w:bookmarkStart w:id="77"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76">
        <w:r>
          <w:rPr>
            <w:rStyle w:val="Hyperlink"/>
          </w:rPr>
          <w:t xml:space="preserve">https://doi.org/10.1016/j.jenvman.2016.11.018</w:t>
        </w:r>
      </w:hyperlink>
    </w:p>
    <w:bookmarkEnd w:id="77"/>
    <w:bookmarkStart w:id="78"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78"/>
    <w:bookmarkStart w:id="80"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79">
        <w:r>
          <w:rPr>
            <w:rStyle w:val="Hyperlink"/>
          </w:rPr>
          <w:t xml:space="preserve">https://drive.google.com/file/d/1kZkvuprvsMyN9nPS5PHYvXHyo1KQxKTr/view?usp=drivesdk</w:t>
        </w:r>
      </w:hyperlink>
    </w:p>
    <w:bookmarkEnd w:id="80"/>
    <w:bookmarkStart w:id="82"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81">
        <w:r>
          <w:rPr>
            <w:rStyle w:val="Hyperlink"/>
          </w:rPr>
          <w:t xml:space="preserve">https://drive.google.com/file/d/1XMULU8w4syWcSv_ciOUOhnC_G4xt6GIF/view?usp=drivesdk</w:t>
        </w:r>
      </w:hyperlink>
    </w:p>
    <w:bookmarkEnd w:id="82"/>
    <w:bookmarkStart w:id="84"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83">
        <w:r>
          <w:rPr>
            <w:rStyle w:val="Hyperlink"/>
          </w:rPr>
          <w:t xml:space="preserve">https://drive.google.com/file/d/1KARuSC5fGx05MuT1wiOQFWNXysBokkQl/view?usp=share_link</w:t>
        </w:r>
      </w:hyperlink>
    </w:p>
    <w:bookmarkEnd w:id="84"/>
    <w:bookmarkStart w:id="85"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85"/>
    <w:bookmarkStart w:id="86"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86"/>
    <w:bookmarkStart w:id="88"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87">
        <w:r>
          <w:rPr>
            <w:rStyle w:val="Hyperlink"/>
          </w:rPr>
          <w:t xml:space="preserve">https://doi.org/10.1016/j.marpolbul.2023.115840</w:t>
        </w:r>
      </w:hyperlink>
    </w:p>
    <w:bookmarkEnd w:id="88"/>
    <w:bookmarkStart w:id="90"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89">
        <w:r>
          <w:rPr>
            <w:rStyle w:val="Hyperlink"/>
          </w:rPr>
          <w:t xml:space="preserve">https://doi.org/10.3389/fevo.2023.1144778</w:t>
        </w:r>
      </w:hyperlink>
    </w:p>
    <w:bookmarkEnd w:id="90"/>
    <w:bookmarkStart w:id="92"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91">
        <w:r>
          <w:rPr>
            <w:rStyle w:val="Hyperlink"/>
          </w:rPr>
          <w:t xml:space="preserve">https://doi.org/10.1021/acs.est.1c05311</w:t>
        </w:r>
      </w:hyperlink>
    </w:p>
    <w:bookmarkEnd w:id="92"/>
    <w:bookmarkStart w:id="94"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93">
        <w:r>
          <w:rPr>
            <w:rStyle w:val="Hyperlink"/>
          </w:rPr>
          <w:t xml:space="preserve">https://doi.org/10.1038/s41467-018-03732-9</w:t>
        </w:r>
      </w:hyperlink>
    </w:p>
    <w:bookmarkEnd w:id="94"/>
    <w:bookmarkStart w:id="95"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95"/>
    <w:bookmarkStart w:id="97"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96">
        <w:r>
          <w:rPr>
            <w:rStyle w:val="Hyperlink"/>
          </w:rPr>
          <w:t xml:space="preserve">https://doi.org/10.1007/s00267-013-0179-5</w:t>
        </w:r>
      </w:hyperlink>
    </w:p>
    <w:bookmarkEnd w:id="97"/>
    <w:bookmarkStart w:id="99"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98">
        <w:r>
          <w:rPr>
            <w:rStyle w:val="Hyperlink"/>
          </w:rPr>
          <w:t xml:space="preserve">https://doi.org/10.1016/j.rsma.2015.05.005</w:t>
        </w:r>
      </w:hyperlink>
    </w:p>
    <w:bookmarkEnd w:id="99"/>
    <w:bookmarkStart w:id="101"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100">
        <w:r>
          <w:rPr>
            <w:rStyle w:val="Hyperlink"/>
          </w:rPr>
          <w:t xml:space="preserve">https://doi.org/10.1353/sgo.2017.0026</w:t>
        </w:r>
      </w:hyperlink>
    </w:p>
    <w:bookmarkEnd w:id="101"/>
    <w:bookmarkStart w:id="103"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2">
        <w:r>
          <w:rPr>
            <w:rStyle w:val="Hyperlink"/>
          </w:rPr>
          <w:t xml:space="preserve">https://drive.google.com/file/d/12xYfSs-4bxhLa1ZVQbmhQSv5Jo4Jf-oY/view?usp=sharing</w:t>
        </w:r>
      </w:hyperlink>
    </w:p>
    <w:bookmarkEnd w:id="103"/>
    <w:bookmarkStart w:id="104"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4"/>
    <w:bookmarkStart w:id="106"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05">
        <w:r>
          <w:rPr>
            <w:rStyle w:val="Hyperlink"/>
          </w:rPr>
          <w:t xml:space="preserve">https://tbep.org/piney-point/</w:t>
        </w:r>
      </w:hyperlink>
    </w:p>
    <w:bookmarkEnd w:id="106"/>
    <w:bookmarkStart w:id="108" w:name="ref-usdc2024"/>
    <w:p>
      <w:pPr>
        <w:pStyle w:val="Bibliography"/>
      </w:pPr>
      <w:r>
        <w:t xml:space="preserve">United States District Court, Middle District of Florida. (2024).</w:t>
      </w:r>
      <w:r>
        <w:t xml:space="preserve"> </w:t>
      </w:r>
      <w:r>
        <w:rPr>
          <w:i/>
          <w:iCs/>
        </w:rPr>
        <w:t xml:space="preserve">Order: Default judgment</w:t>
      </w:r>
      <w:r>
        <w:t xml:space="preserve">. Court Order.</w:t>
      </w:r>
      <w:r>
        <w:t xml:space="preserve"> </w:t>
      </w:r>
      <w:hyperlink r:id="rId107">
        <w:r>
          <w:rPr>
            <w:rStyle w:val="Hyperlink"/>
          </w:rPr>
          <w:t xml:space="preserve">https://biologicaldiversity.org/programs/environmental_health/pdfs/Default-Jugment-Order_HRK_Piney-Point.pdf</w:t>
        </w:r>
      </w:hyperlink>
    </w:p>
    <w:bookmarkEnd w:id="108"/>
    <w:bookmarkStart w:id="110"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09">
        <w:r>
          <w:rPr>
            <w:rStyle w:val="Hyperlink"/>
          </w:rPr>
          <w:t xml:space="preserve">https://www.epa.gov/radiation/tenorm-fertilizer-and-fertilizer-production-wastes</w:t>
        </w:r>
      </w:hyperlink>
    </w:p>
    <w:bookmarkEnd w:id="110"/>
    <w:bookmarkStart w:id="111"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11"/>
    <w:bookmarkStart w:id="113"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12">
        <w:r>
          <w:rPr>
            <w:rStyle w:val="Hyperlink"/>
          </w:rPr>
          <w:t xml:space="preserve">https://doi.org/10.1006/ecss.1999.0490</w:t>
        </w:r>
      </w:hyperlink>
    </w:p>
    <w:bookmarkEnd w:id="113"/>
    <w:bookmarkEnd w:id="114"/>
    <w:bookmarkEnd w:id="11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8" Target="media/rId28.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107"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49"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12" Target="https://doi.org/10.1006/ecss.1999.0490" TargetMode="External" /><Relationship Type="http://schemas.openxmlformats.org/officeDocument/2006/relationships/hyperlink" Id="rId72" Target="https://doi.org/10.1007/s00267-005-0079-4" TargetMode="External" /><Relationship Type="http://schemas.openxmlformats.org/officeDocument/2006/relationships/hyperlink" Id="rId96"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4" Target="https://doi.org/10.1016/j.ecss.2014.10.003" TargetMode="External" /><Relationship Type="http://schemas.openxmlformats.org/officeDocument/2006/relationships/hyperlink" Id="rId76" Target="https://doi.org/10.1016/j.jenvman.2016.11.018" TargetMode="External" /><Relationship Type="http://schemas.openxmlformats.org/officeDocument/2006/relationships/hyperlink" Id="rId68"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7" Target="https://doi.org/10.1016/j.marpolbul.2023.115840" TargetMode="External" /><Relationship Type="http://schemas.openxmlformats.org/officeDocument/2006/relationships/hyperlink" Id="rId98" Target="https://doi.org/10.1016/j.rsma.2015.05.005" TargetMode="External" /><Relationship Type="http://schemas.openxmlformats.org/officeDocument/2006/relationships/hyperlink" Id="rId91" Target="https://doi.org/10.1021/acs.est.1c05311" TargetMode="External" /><Relationship Type="http://schemas.openxmlformats.org/officeDocument/2006/relationships/hyperlink" Id="rId93" Target="https://doi.org/10.1038/s41467-018-03732-9" TargetMode="External" /><Relationship Type="http://schemas.openxmlformats.org/officeDocument/2006/relationships/hyperlink" Id="rId100" Target="https://doi.org/10.1353/sgo.2017.0026" TargetMode="External" /><Relationship Type="http://schemas.openxmlformats.org/officeDocument/2006/relationships/hyperlink" Id="rId70" Target="https://doi.org/10.3389/fevo.2023.1143310" TargetMode="External" /><Relationship Type="http://schemas.openxmlformats.org/officeDocument/2006/relationships/hyperlink" Id="rId89" Target="https://doi.org/10.3389/fevo.2023.1144778" TargetMode="External" /><Relationship Type="http://schemas.openxmlformats.org/officeDocument/2006/relationships/hyperlink" Id="rId102" Target="https://drive.google.com/file/d/12xYfSs-4bxhLa1ZVQbmhQSv5Jo4Jf-oY/view?usp=sharing" TargetMode="External" /><Relationship Type="http://schemas.openxmlformats.org/officeDocument/2006/relationships/hyperlink" Id="rId83" Target="https://drive.google.com/file/d/1KARuSC5fGx05MuT1wiOQFWNXysBokkQl/view?usp=share_link" TargetMode="External" /><Relationship Type="http://schemas.openxmlformats.org/officeDocument/2006/relationships/hyperlink" Id="rId81" Target="https://drive.google.com/file/d/1XMULU8w4syWcSv_ciOUOhnC_G4xt6GIF/view?usp=drivesdk" TargetMode="External" /><Relationship Type="http://schemas.openxmlformats.org/officeDocument/2006/relationships/hyperlink" Id="rId79" Target="https://drive.google.com/file/d/1kZkvuprvsMyN9nPS5PHYvXHyo1KQxKTr/view?usp=drivesdk" TargetMode="External" /><Relationship Type="http://schemas.openxmlformats.org/officeDocument/2006/relationships/hyperlink" Id="rId66" Target="https://myfwc.com/research/manatee/rescue-mortality-response/statistics/mortality/red-tide/" TargetMode="External" /><Relationship Type="http://schemas.openxmlformats.org/officeDocument/2006/relationships/hyperlink" Id="rId105" Target="https://tbep.org/piney-point/" TargetMode="External" /><Relationship Type="http://schemas.openxmlformats.org/officeDocument/2006/relationships/hyperlink" Id="rId109"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7"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49"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12" Target="https://doi.org/10.1006/ecss.1999.0490" TargetMode="External" /><Relationship Type="http://schemas.openxmlformats.org/officeDocument/2006/relationships/hyperlink" Id="rId72" Target="https://doi.org/10.1007/s00267-005-0079-4" TargetMode="External" /><Relationship Type="http://schemas.openxmlformats.org/officeDocument/2006/relationships/hyperlink" Id="rId96"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4" Target="https://doi.org/10.1016/j.ecss.2014.10.003" TargetMode="External" /><Relationship Type="http://schemas.openxmlformats.org/officeDocument/2006/relationships/hyperlink" Id="rId76" Target="https://doi.org/10.1016/j.jenvman.2016.11.018" TargetMode="External" /><Relationship Type="http://schemas.openxmlformats.org/officeDocument/2006/relationships/hyperlink" Id="rId68"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7" Target="https://doi.org/10.1016/j.marpolbul.2023.115840" TargetMode="External" /><Relationship Type="http://schemas.openxmlformats.org/officeDocument/2006/relationships/hyperlink" Id="rId98" Target="https://doi.org/10.1016/j.rsma.2015.05.005" TargetMode="External" /><Relationship Type="http://schemas.openxmlformats.org/officeDocument/2006/relationships/hyperlink" Id="rId91" Target="https://doi.org/10.1021/acs.est.1c05311" TargetMode="External" /><Relationship Type="http://schemas.openxmlformats.org/officeDocument/2006/relationships/hyperlink" Id="rId93" Target="https://doi.org/10.1038/s41467-018-03732-9" TargetMode="External" /><Relationship Type="http://schemas.openxmlformats.org/officeDocument/2006/relationships/hyperlink" Id="rId100" Target="https://doi.org/10.1353/sgo.2017.0026" TargetMode="External" /><Relationship Type="http://schemas.openxmlformats.org/officeDocument/2006/relationships/hyperlink" Id="rId70" Target="https://doi.org/10.3389/fevo.2023.1143310" TargetMode="External" /><Relationship Type="http://schemas.openxmlformats.org/officeDocument/2006/relationships/hyperlink" Id="rId89" Target="https://doi.org/10.3389/fevo.2023.1144778" TargetMode="External" /><Relationship Type="http://schemas.openxmlformats.org/officeDocument/2006/relationships/hyperlink" Id="rId102" Target="https://drive.google.com/file/d/12xYfSs-4bxhLa1ZVQbmhQSv5Jo4Jf-oY/view?usp=sharing" TargetMode="External" /><Relationship Type="http://schemas.openxmlformats.org/officeDocument/2006/relationships/hyperlink" Id="rId83" Target="https://drive.google.com/file/d/1KARuSC5fGx05MuT1wiOQFWNXysBokkQl/view?usp=share_link" TargetMode="External" /><Relationship Type="http://schemas.openxmlformats.org/officeDocument/2006/relationships/hyperlink" Id="rId81" Target="https://drive.google.com/file/d/1XMULU8w4syWcSv_ciOUOhnC_G4xt6GIF/view?usp=drivesdk" TargetMode="External" /><Relationship Type="http://schemas.openxmlformats.org/officeDocument/2006/relationships/hyperlink" Id="rId79" Target="https://drive.google.com/file/d/1kZkvuprvsMyN9nPS5PHYvXHyo1KQxKTr/view?usp=drivesdk" TargetMode="External" /><Relationship Type="http://schemas.openxmlformats.org/officeDocument/2006/relationships/hyperlink" Id="rId66" Target="https://myfwc.com/research/manatee/rescue-mortality-response/statistics/mortality/red-tide/" TargetMode="External" /><Relationship Type="http://schemas.openxmlformats.org/officeDocument/2006/relationships/hyperlink" Id="rId105" Target="https://tbep.org/piney-point/" TargetMode="External" /><Relationship Type="http://schemas.openxmlformats.org/officeDocument/2006/relationships/hyperlink" Id="rId109"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Sarina J Ergas2, and Jeffrey A Cunningham2</dc:creator>
  <cp:keywords/>
  <dcterms:created xsi:type="dcterms:W3CDTF">2025-06-23T21:02:52Z</dcterms:created>
  <dcterms:modified xsi:type="dcterms:W3CDTF">2025-06-23T21:02:52Z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