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jpg" ContentType="image/jpeg"/>
  <Override PartName="/word/media/rId37.png" ContentType="image/png"/>
  <Override PartName="/word/media/rId41.png" ContentType="image/png"/>
  <Override PartName="/word/media/rId3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successfully recover a degraded aquatic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The discharge of untreated wastewater into Tampa Bay was a culprit for many of these maladies. Over the following decades, efforts to restore Tampa Bay were successful in reducing nutrient loads from wastewater and other external sources by 2/3. By 2016, seagrasses had recovered to an all-time recorded high of 41,656 acres, exceeding the management goal by several thousand acres.</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 Focus was primarily on the discharge of untreated sewage directly to the bay, as legislation was ultimately passed that required all wastewater treatment plants to upgrade to advanced technologies to remove excess nutrients before the water was returned to the environment.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local communities, private businesses, and municipal governments to work towards the common goal of a healthy Tampa Bay. The TBEP also manages the Tampa Bay Nitrogen Management Consortium that has worked to reduce nitrogen loads as a key pollutant to the Bay, with primary sources being wastewater and stormwater. The management approach is simple; reduced nitrogen loads will produce less algal growth, promoting a light environment in the water that is supportive of seagrass growth. The TBNMC has quantified and allocated sources of nitrogen among public and private entities that directly or indirectly discharge to the bay, with totals not to exceed based on the capacity of the Bay to assimilate these nutrients.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w:t>
      </w:r>
      <w:r>
        <w:t xml:space="preserve">. These additional stressors mean that further reductions in nutrient loads may be needed to account for external climate factors that are difficult, if not impossible, to control at the local scale.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a condition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Large amounts of wastewater as a byproduct of historical processing are stored on site, with no useful application given the chemical characteristics of the water. Central Florida has had a long and complicated history with fertilizer mining. While these activities support economic growth, there are often unintended consequences for the natural environment. Piney Point embodies this relationship, as fertilizer export from nearby Port Manatee has supported the local economy,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4"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large concentrations of phosphorus that aquatic organisms have adapted to over geologic time scales.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 However, byproducts from fertilizer production can be rich in both phosphorus and nitrogen. Fertilizer processing facilities are often located near distribution centers like port facilities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 This waste is called phosphogypsum and it has no useful commercial application. As a result, phosphogypsum is stored on-site as large stacks (or gypstacks) that are visible miles away and are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persist long-after production stops, with many such examples in the Tampa Bay watershed.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p>
    <w:p>
      <w:pPr>
        <w:pStyle w:val="BodyText"/>
      </w:pPr>
      <w:r>
        <w:t xml:space="preserve">The Piney Point facility has a long and complicated history of ownership and management.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of fertilizer process water into the Alafia River in 1997. During its ownership of Piney Point, wastewater was released to Bishop Harber in 2001 due to tropical storm activity and again in November 2003 to October 2004 to ease pressure on the gypstacks.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by agreeing that any future uses must protect and be compatible with integrity of stack closure and long-term care.</w:t>
      </w:r>
    </w:p>
    <w:p>
      <w:pPr>
        <w:pStyle w:val="BodyText"/>
      </w:pPr>
      <w:r>
        <w:t xml:space="preserve">Over the course of its ownership, site management decisions by HRK, as approved by FDEP, contributed to a further decline in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by a tear in the plastic liner of the holding pond. Concerns of public safety and damage to private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academic partners from the College of Marine Science at the University of South Florida. This model provided an assessment of where the released water was likely to travel, thus providing guidance on where sampling should occur each week. The TBEP provided support for these effort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bloom concentrations in the bay proper on May 23rd, increasing to high bloom concentrations (&gt; 1 million cells / L) by late June, and peaking on July 4th at greater than 10 million cells / L in the middle of Tampa Bay.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w:t>
      </w:r>
      <w:r>
        <w:t xml:space="preserve"> </w:t>
      </w:r>
      <w:hyperlink w:anchor="fig-seagrasschange">
        <w:r>
          <w:rPr>
            <w:rStyle w:val="Hyperlink"/>
          </w:rPr>
          <w:t xml:space="preserve">Figure 3</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personal communication). Microplastics have widespread distribution in Tampa Bay and any attempts to mitigate sources should be made to prevent further negative impacts on bay habitats and wildlife.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 closure plan for the facility as adopted and implemented by FDEP. These plans included using an independent third-party as a court-appointed receiver to oversee the closure process, with specific actions to treat the wastewater onsite prior to pumping the water underground using a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4</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p>
      <w:pPr>
        <w:pStyle w:val="BodyText"/>
      </w:pPr>
      <w:r>
        <w:t xml:space="preserve">Figures:</w:t>
      </w:r>
    </w:p>
    <w:p>
      <w:pPr>
        <w:pStyle w:val="Compact"/>
        <w:numPr>
          <w:ilvl w:val="0"/>
          <w:numId w:val="1001"/>
        </w:numPr>
      </w:pPr>
      <w:r>
        <w:t xml:space="preserve">map</w:t>
      </w:r>
    </w:p>
    <w:p>
      <w:pPr>
        <w:pStyle w:val="Compact"/>
        <w:numPr>
          <w:ilvl w:val="0"/>
          <w:numId w:val="1001"/>
        </w:numPr>
      </w:pPr>
      <w:r>
        <w:t xml:space="preserve">water quality</w:t>
      </w:r>
    </w:p>
    <w:p>
      <w:pPr>
        <w:pStyle w:val="Compact"/>
        <w:numPr>
          <w:ilvl w:val="0"/>
          <w:numId w:val="1001"/>
        </w:numPr>
      </w:pPr>
      <w:r>
        <w:t xml:space="preserve">red tide</w:t>
      </w:r>
    </w:p>
    <w:p>
      <w:pPr>
        <w:pStyle w:val="Compact"/>
        <w:numPr>
          <w:ilvl w:val="0"/>
          <w:numId w:val="1001"/>
        </w:numPr>
      </w:pPr>
      <w:r>
        <w:t xml:space="preserve">seagrass/macro?</w:t>
      </w:r>
    </w:p>
    <w:p>
      <w:pPr>
        <w:pStyle w:val="Compact"/>
        <w:numPr>
          <w:ilvl w:val="0"/>
          <w:numId w:val="1001"/>
        </w:numPr>
      </w:pPr>
      <w:r>
        <w:t xml:space="preserve">fisheries (we now have good nekton data to report)</w:t>
      </w:r>
    </w:p>
    <w:bookmarkEnd w:id="24"/>
    <w:bookmarkStart w:id="27" w:name="student-activities-500-1000-words"/>
    <w:p>
      <w:pPr>
        <w:pStyle w:val="Heading2"/>
      </w:pPr>
      <w:r>
        <w:t xml:space="preserve">3 Student Activities (500-1000 words)</w:t>
      </w:r>
    </w:p>
    <w:bookmarkStart w:id="25" w:name="classroom-discussion-questions"/>
    <w:p>
      <w:pPr>
        <w:pStyle w:val="Heading3"/>
      </w:pPr>
      <w:r>
        <w:t xml:space="preserve">3.1 Classroom discussion questions</w:t>
      </w:r>
    </w:p>
    <w:p>
      <w:pPr>
        <w:pStyle w:val="FirstParagraph"/>
      </w:pPr>
      <w:r>
        <w:t xml:space="preserve">This chapter has focused on the long-term recovery of Tampa Bay and its recent challenges, often evaluating the change in seagrasses as a means to evaluate the bay’s response to chronic and acute stressors.</w:t>
      </w:r>
    </w:p>
    <w:p>
      <w:pPr>
        <w:pStyle w:val="BodyText"/>
      </w:pPr>
      <w:r>
        <w:t xml:space="preserve">Include at least 3 discussion questions based on the case study that can be used in a classroom situation.</w:t>
      </w:r>
    </w:p>
    <w:p>
      <w:pPr>
        <w:pStyle w:val="BodyText"/>
      </w:pPr>
      <w:r>
        <w:t xml:space="preserve">My notes:</w:t>
      </w:r>
    </w:p>
    <w:p>
      <w:pPr>
        <w:pStyle w:val="BodyText"/>
      </w:pPr>
      <w:r>
        <w:t xml:space="preserve">Something about communication/transparency of information</w:t>
      </w:r>
    </w:p>
    <w:p>
      <w:pPr>
        <w:pStyle w:val="BodyText"/>
      </w:pPr>
      <w:r>
        <w:t xml:space="preserve">Something about history of past partnerships, why were they so important</w:t>
      </w:r>
    </w:p>
    <w:p>
      <w:pPr>
        <w:pStyle w:val="BodyText"/>
      </w:pPr>
      <w:r>
        <w:t xml:space="preserve">Something about reactive v proactive, i.e., Piney Point was a disaster waiting to happen, but somethign was only done once it happened. What are the forces at play that prevent proactive action?</w:t>
      </w:r>
    </w:p>
    <w:bookmarkEnd w:id="25"/>
    <w:bookmarkStart w:id="26" w:name="individual-student-responses"/>
    <w:p>
      <w:pPr>
        <w:pStyle w:val="Heading3"/>
      </w:pPr>
      <w:r>
        <w:t xml:space="preserve">3.2 Individual student responses</w:t>
      </w:r>
    </w:p>
    <w:p>
      <w:pPr>
        <w:pStyle w:val="FirstParagraph"/>
      </w:pPr>
      <w:r>
        <w:t xml:space="preserve">Include at least 3 questions/prompts based on the case study that can be used in a homework assignment or on an exam. These could include further reading (be sure to provide references to readily available materials) or personal reflections.</w:t>
      </w:r>
    </w:p>
    <w:p>
      <w:pPr>
        <w:pStyle w:val="BodyText"/>
      </w:pPr>
      <w:r>
        <w:t xml:space="preserve">My notes:</w:t>
      </w:r>
    </w:p>
    <w:p>
      <w:pPr>
        <w:pStyle w:val="BodyText"/>
      </w:pPr>
      <w:r>
        <w:t xml:space="preserve">Something about interpretation of the figures/tables in this chapter</w:t>
      </w:r>
    </w:p>
    <w:bookmarkEnd w:id="26"/>
    <w:bookmarkEnd w:id="27"/>
    <w:bookmarkStart w:id="28"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8"/>
    <w:bookmarkStart w:id="45"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2" w:name="fig-map"/>
          <w:p>
            <w:pPr>
              <w:pStyle w:val="Compact"/>
              <w:jc w:val="center"/>
            </w:pPr>
            <w:r>
              <w:drawing>
                <wp:inline>
                  <wp:extent cx="5916168" cy="7070598"/>
                  <wp:effectExtent b="0" l="0" r="0" t="0"/>
                  <wp:docPr descr="" title="" id="30" name="Picture"/>
                  <a:graphic>
                    <a:graphicData uri="http://schemas.openxmlformats.org/drawingml/2006/picture">
                      <pic:pic>
                        <pic:nvPicPr>
                          <pic:cNvPr descr="figs/map.jpg" id="31" name="Picture"/>
                          <pic:cNvPicPr>
                            <a:picLocks noChangeArrowheads="1" noChangeAspect="1"/>
                          </pic:cNvPicPr>
                        </pic:nvPicPr>
                        <pic:blipFill>
                          <a:blip r:embed="rId29"/>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NGS-N: New Gypsum Stack North; NGS-S: New Gypsum Stack South; OGS-N: Old Gypsum Stack North; OGS-S: Old Gypsum Stack South. Basemap credits: Esri, HERE, Garmin, OpenStreetMap, Maxar, and Earthstar Geographics.</w:t>
            </w:r>
          </w:p>
          <w:bookmarkEnd w:id="32"/>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fig-wqchange"/>
          <w:p>
            <w:pPr>
              <w:pStyle w:val="Compact"/>
              <w:jc w:val="center"/>
            </w:pPr>
            <w:r>
              <w:drawing>
                <wp:inline>
                  <wp:extent cx="5943600" cy="2447364"/>
                  <wp:effectExtent b="0" l="0" r="0" t="0"/>
                  <wp:docPr descr="" title="" id="34" name="Picture"/>
                  <a:graphic>
                    <a:graphicData uri="http://schemas.openxmlformats.org/drawingml/2006/picture">
                      <pic:pic>
                        <pic:nvPicPr>
                          <pic:cNvPr descr="figs/wqchange.png" id="35" name="Picture"/>
                          <pic:cNvPicPr>
                            <a:picLocks noChangeArrowheads="1" noChangeAspect="1"/>
                          </pic:cNvPicPr>
                        </pic:nvPicPr>
                        <pic:blipFill>
                          <a:blip r:embed="rId33"/>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fig-seagrasschange"/>
          <w:p>
            <w:pPr>
              <w:pStyle w:val="Compact"/>
              <w:jc w:val="center"/>
            </w:pPr>
            <w:r>
              <w:drawing>
                <wp:inline>
                  <wp:extent cx="5943600" cy="3962400"/>
                  <wp:effectExtent b="0" l="0" r="0" t="0"/>
                  <wp:docPr descr="" title="" id="38" name="Picture"/>
                  <a:graphic>
                    <a:graphicData uri="http://schemas.openxmlformats.org/drawingml/2006/picture">
                      <pic:pic>
                        <pic:nvPicPr>
                          <pic:cNvPr descr="figs/seagrasschange.png" id="39" name="Picture"/>
                          <pic:cNvPicPr>
                            <a:picLocks noChangeArrowheads="1" noChangeAspect="1"/>
                          </pic:cNvPicPr>
                        </pic:nvPicPr>
                        <pic:blipFill>
                          <a:blip r:embed="rId37"/>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3: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w:t>
            </w:r>
          </w:p>
          <w:bookmarkEnd w:id="40"/>
        </w:tc>
      </w:tr>
    </w:tbl>
    <w:p>
      <w:r>
        <w:br w:type="page"/>
      </w:r>
    </w:p>
    <w:tbl>
      <w:tblPr>
        <w:tblStyle w:val="Table"/>
        <w:tblW w:type="pct" w:w="5000"/>
        <w:tblLayout w:type="fixed"/>
        <w:tblLook w:firstRow="0" w:lastRow="0" w:firstColumn="0" w:lastColumn="0" w:noHBand="0" w:noVBand="0" w:val="0000"/>
      </w:tblPr>
      <w:tblGrid>
        <w:gridCol w:w="7920"/>
      </w:tblGrid>
      <w:tr>
        <w:tc>
          <w:tcPr/>
          <w:bookmarkStart w:id="44" w:name="fig-capacity"/>
          <w:p>
            <w:pPr>
              <w:pStyle w:val="Compact"/>
              <w:jc w:val="center"/>
            </w:pPr>
            <w:r>
              <w:drawing>
                <wp:inline>
                  <wp:extent cx="5943600" cy="2641600"/>
                  <wp:effectExtent b="0" l="0" r="0" t="0"/>
                  <wp:docPr descr="" title="" id="42" name="Picture"/>
                  <a:graphic>
                    <a:graphicData uri="http://schemas.openxmlformats.org/drawingml/2006/picture">
                      <pic:pic>
                        <pic:nvPicPr>
                          <pic:cNvPr descr="figs/siteclose.png" id="43" name="Picture"/>
                          <pic:cNvPicPr>
                            <a:picLocks noChangeArrowheads="1" noChangeAspect="1"/>
                          </pic:cNvPicPr>
                        </pic:nvPicPr>
                        <pic:blipFill>
                          <a:blip r:embed="rId41"/>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4: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w:t>
            </w:r>
          </w:p>
          <w:bookmarkEnd w:id="44"/>
        </w:tc>
      </w:tr>
    </w:tbl>
    <w:p>
      <w:r>
        <w:br w:type="page"/>
      </w:r>
    </w:p>
    <w:bookmarkEnd w:id="45"/>
    <w:bookmarkStart w:id="60" w:name="references"/>
    <w:p>
      <w:pPr>
        <w:pStyle w:val="Heading2"/>
      </w:pPr>
      <w:r>
        <w:t xml:space="preserve">References</w:t>
      </w:r>
    </w:p>
    <w:bookmarkStart w:id="59" w:name="refs"/>
    <w:bookmarkStart w:id="47"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46">
        <w:r>
          <w:rPr>
            <w:rStyle w:val="Hyperlink"/>
          </w:rPr>
          <w:t xml:space="preserve">https://doi.org/10.1016/j.marpolbul.2022.113598</w:t>
        </w:r>
      </w:hyperlink>
    </w:p>
    <w:bookmarkEnd w:id="47"/>
    <w:bookmarkStart w:id="49"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48">
        <w:r>
          <w:rPr>
            <w:rStyle w:val="Hyperlink"/>
          </w:rPr>
          <w:t xml:space="preserve">https://doi.org/10.1007/s12237-024-01385-0</w:t>
        </w:r>
      </w:hyperlink>
    </w:p>
    <w:bookmarkEnd w:id="49"/>
    <w:bookmarkStart w:id="51"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50">
        <w:r>
          <w:rPr>
            <w:rStyle w:val="Hyperlink"/>
          </w:rPr>
          <w:t xml:space="preserve">https://doi.org/10.1007/s12237-019-00619-w</w:t>
        </w:r>
      </w:hyperlink>
    </w:p>
    <w:bookmarkEnd w:id="51"/>
    <w:bookmarkStart w:id="53"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52">
        <w:r>
          <w:rPr>
            <w:rStyle w:val="Hyperlink"/>
          </w:rPr>
          <w:t xml:space="preserve">https://doi.org/10.1016/j.ecolind.2025.113329</w:t>
        </w:r>
      </w:hyperlink>
    </w:p>
    <w:bookmarkEnd w:id="53"/>
    <w:bookmarkStart w:id="55"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54">
        <w:r>
          <w:rPr>
            <w:rStyle w:val="Hyperlink"/>
          </w:rPr>
          <w:t xml:space="preserve">https://doi.org/10.3389/fevo.2023.1144778</w:t>
        </w:r>
      </w:hyperlink>
    </w:p>
    <w:bookmarkEnd w:id="55"/>
    <w:bookmarkStart w:id="57"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56">
        <w:r>
          <w:rPr>
            <w:rStyle w:val="Hyperlink"/>
          </w:rPr>
          <w:t xml:space="preserve">https://doi.org/10.1038/s41467-018-03732-9</w:t>
        </w:r>
      </w:hyperlink>
    </w:p>
    <w:bookmarkEnd w:id="57"/>
    <w:bookmarkStart w:id="58"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58"/>
    <w:bookmarkEnd w:id="59"/>
    <w:bookmarkEnd w:id="60"/>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9" Target="media/rId29.jp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0" Target="https://doi.org/10.1007/s12237-019-00619-w" TargetMode="External" /><Relationship Type="http://schemas.openxmlformats.org/officeDocument/2006/relationships/hyperlink" Id="rId48" Target="https://doi.org/10.1007/s12237-024-01385-0" TargetMode="External" /><Relationship Type="http://schemas.openxmlformats.org/officeDocument/2006/relationships/hyperlink" Id="rId52" Target="https://doi.org/10.1016/j.ecolind.2025.113329" TargetMode="External" /><Relationship Type="http://schemas.openxmlformats.org/officeDocument/2006/relationships/hyperlink" Id="rId46" Target="https://doi.org/10.1016/j.marpolbul.2022.113598" TargetMode="External" /><Relationship Type="http://schemas.openxmlformats.org/officeDocument/2006/relationships/hyperlink" Id="rId56" Target="https://doi.org/10.1038/s41467-018-03732-9" TargetMode="External" /><Relationship Type="http://schemas.openxmlformats.org/officeDocument/2006/relationships/hyperlink" Id="rId54" Target="https://doi.org/10.3389/fevo.2023.1144778"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0" Target="https://doi.org/10.1007/s12237-019-00619-w" TargetMode="External" /><Relationship Type="http://schemas.openxmlformats.org/officeDocument/2006/relationships/hyperlink" Id="rId48" Target="https://doi.org/10.1007/s12237-024-01385-0" TargetMode="External" /><Relationship Type="http://schemas.openxmlformats.org/officeDocument/2006/relationships/hyperlink" Id="rId52" Target="https://doi.org/10.1016/j.ecolind.2025.113329" TargetMode="External" /><Relationship Type="http://schemas.openxmlformats.org/officeDocument/2006/relationships/hyperlink" Id="rId46" Target="https://doi.org/10.1016/j.marpolbul.2022.113598" TargetMode="External" /><Relationship Type="http://schemas.openxmlformats.org/officeDocument/2006/relationships/hyperlink" Id="rId56" Target="https://doi.org/10.1038/s41467-018-03732-9" TargetMode="External" /><Relationship Type="http://schemas.openxmlformats.org/officeDocument/2006/relationships/hyperlink" Id="rId54" Target="https://doi.org/10.3389/fevo.2023.1144778"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2025-04-25T14:22:10Z</dcterms:created>
  <dcterms:modified xsi:type="dcterms:W3CDTF">2025-04-25T14:22:10Z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