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3.jpg" ContentType="image/jpeg"/>
  <Override PartName="/word/media/rId62.jpg" ContentType="image/jpeg"/>
  <Override PartName="/word/media/rId56.jpg" ContentType="image/jpeg"/>
  <Override PartName="/word/media/rId57.jpg" ContentType="image/jpeg"/>
  <Override PartName="/word/media/rId60.jpg" ContentType="image/jpeg"/>
  <Override PartName="/word/media/rId61.jpg" ContentType="image/jpeg"/>
  <Override PartName="/word/media/rId58.jpg" ContentType="image/jpeg"/>
  <Override PartName="/word/media/rId59.jpg" ContentType="image/jpeg"/>
  <Override PartName="/word/media/rId64.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1">
        <w:r>
          <w:rPr>
            <w:rStyle w:val="Hyperlink"/>
          </w:rPr>
          <w:t xml:space="preserve">mburke@tbep.org</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2">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3">
        <w:r>
          <w:rPr>
            <w:rStyle w:val="Hyperlink"/>
          </w:rPr>
          <w:t xml:space="preserve">jlewis@tbep.org</w:t>
        </w:r>
      </w:hyperlink>
      <w:r>
        <w:t xml:space="preserve">),</w:t>
      </w:r>
      <w:r>
        <w:t xml:space="preserve"> </w:t>
      </w:r>
      <w:r>
        <w:t xml:space="preserve">Miles</w:t>
      </w:r>
      <w:r>
        <w:t xml:space="preserve"> </w:t>
      </w:r>
      <w:r>
        <w:t xml:space="preserve">Medina</w:t>
      </w:r>
      <w:r>
        <w:t xml:space="preserve"> </w:t>
      </w:r>
      <w:r>
        <w:t xml:space="preserve">(</w:t>
      </w:r>
      <w:hyperlink r:id="rId24">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5">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6">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7">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28">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9">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0">
        <w:r>
          <w:rPr>
            <w:rStyle w:val="Hyperlink"/>
          </w:rPr>
          <w:t xml:space="preserve">dave@sarasotabay.org</w:t>
        </w:r>
      </w:hyperlink>
      <w:r>
        <w:t xml:space="preserve">),</w:t>
      </w:r>
      <w:r>
        <w:t xml:space="preserve"> </w:t>
      </w:r>
      <w:r>
        <w:t xml:space="preserve">Joe</w:t>
      </w:r>
      <w:r>
        <w:t xml:space="preserve"> </w:t>
      </w:r>
      <w:r>
        <w:t xml:space="preserve">Whalen</w:t>
      </w:r>
      <w:r>
        <w:t xml:space="preserve"> </w:t>
      </w:r>
      <w:r>
        <w:t xml:space="preserve">(</w:t>
      </w:r>
      <w:hyperlink r:id="rId31">
        <w:r>
          <w:rPr>
            <w:rStyle w:val="Hyperlink"/>
          </w:rPr>
          <w:t xml:space="preserve">jwhalen@tbep.org</w:t>
        </w:r>
      </w:hyperlink>
      <w:r>
        <w:t xml:space="preserve">)</w:t>
      </w:r>
    </w:p>
    <w:p>
      <w:pPr>
        <w:pStyle w:val="FirstParagraph"/>
      </w:pPr>
      <w:r>
        <w:t xml:space="preserve">Last manuscript build 2021-09-02 11:31:07</w:t>
      </w:r>
    </w:p>
    <w:bookmarkStart w:id="32"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Though present south of Tampa Bay prior to the event,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nitrogen, phosphate mining, Tampa Bay, wastewater, water quality</w:t>
      </w:r>
    </w:p>
    <w:bookmarkEnd w:id="32"/>
    <w:bookmarkStart w:id="35"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While point-source inputs of nutrient loads from wastewater treatment plants and industrial sources into Tampa Bay have been much reduced, non-point source loads from wastewater sources and stormwater runoff are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through implementation of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and its partners has been instrumental in coordinating efforts among local and regional stakeholders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3">
        <w:r>
          <w:rPr>
            <w:rStyle w:val="Hyperlink"/>
          </w:rPr>
          <w:t xml:space="preserve">Florida Department of Environmental Protection</w:t>
        </w:r>
      </w:hyperlink>
      <w:r>
        <w:t xml:space="preserve">) exist in the Tampa Bay watershed with no comprehensive, long-term plan for closure or disposal of waste to prevent unforeseen impacts to the environment. The Piney Point facility located in Palmetto, Florida is a large, remnant phosphogypsum stack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34">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 At that time, approximately 480 million gallons of legacy phosphate mining wastewater was being held in the failing stack.</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35"/>
    <w:bookmarkStart w:id="45" w:name="methods"/>
    <w:p>
      <w:pPr>
        <w:pStyle w:val="Heading1"/>
      </w:pPr>
      <w:r>
        <w:t xml:space="preserve">Methods</w:t>
      </w:r>
    </w:p>
    <w:bookmarkStart w:id="36"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gypsumstack holding pond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Legacy wastewater discharges from Piney Point did not occur again until 2021, although onsite stormwater management and discharges have occurred throughout its history.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4">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at Berth 12 in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6"/>
    <w:bookmarkStart w:id="41"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37">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E.T. Sherwood, G. Raulerson, M. Beck, M. Burke, 2020</w:t>
        </w:r>
      </w:hyperlink>
      <w:r>
        <w:t xml:space="preserve">)</w:t>
      </w:r>
      <w:r>
        <w:t xml:space="preserve">. Many of the local partners also participate in the Southwest Florida</w:t>
      </w:r>
      <w:r>
        <w:t xml:space="preserve"> </w:t>
      </w:r>
      <w:hyperlink r:id="rId38">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 Values below laboratory detection limits (or Secchi values on the bottom) were assessed prior to analysis. Appropriate analysis methods to include parameters with observations below detection are described below.</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of Mexico and occurring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9">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40">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1"/>
    <w:bookmarkStart w:id="43"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concentrations relative to results at the closest monitoring station that was sampled in response to Piney Point. Methods in the NADA R package</w:t>
      </w:r>
      <w:r>
        <w:t xml:space="preserve"> </w:t>
      </w:r>
      <w:r>
        <w:t xml:space="preserve">(</w:t>
      </w:r>
      <w:hyperlink w:anchor="ref-Lee20">
        <w:r>
          <w:rPr>
            <w:rStyle w:val="Hyperlink"/>
          </w:rPr>
          <w:t xml:space="preserve">Lee, 2020</w:t>
        </w:r>
      </w:hyperlink>
      <w:r>
        <w:t xml:space="preserve">)</w:t>
      </w:r>
      <w:r>
        <w:t xml:space="preserve"> </w:t>
      </w:r>
      <w:r>
        <w:t xml:space="preserve">to account for observations below detection limits were used for all summary statistics.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August).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These long-term water quality data are available from the University of South Florida Water Atlas (</w:t>
      </w:r>
      <w:hyperlink r:id="rId42">
        <w:r>
          <w:rPr>
            <w:rStyle w:val="Hyperlink"/>
          </w:rPr>
          <w:t xml:space="preserve">https://wateratlas.usf.edu/</w:t>
        </w:r>
      </w:hyperlink>
      <w:r>
        <w:t xml:space="preserve">).</w:t>
      </w:r>
    </w:p>
    <w:bookmarkEnd w:id="43"/>
    <w:bookmarkStart w:id="44"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(14 observations of 343 in the FDEP data) were removed from analysis because these are right-censored data, whereas all other non-detects were left-censored and can be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4"/>
    <w:bookmarkEnd w:id="45"/>
    <w:bookmarkStart w:id="51" w:name="results"/>
    <w:p>
      <w:pPr>
        <w:pStyle w:val="Heading1"/>
      </w:pPr>
      <w:r>
        <w:t xml:space="preserve">Results</w:t>
      </w:r>
    </w:p>
    <w:bookmarkStart w:id="46"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by August. The remainder of this section is quantitative description these events.</w:t>
      </w:r>
    </w:p>
    <w:bookmarkEnd w:id="46"/>
    <w:bookmarkStart w:id="47" w:name="water-quality-trends"/>
    <w:p>
      <w:pPr>
        <w:pStyle w:val="Heading2"/>
      </w:pPr>
      <w:r>
        <w:t xml:space="preserve">Water quality trends</w:t>
      </w:r>
    </w:p>
    <w:p>
      <w:pPr>
        <w:pStyle w:val="FirstParagraph"/>
      </w:pPr>
      <w:r>
        <w:t xml:space="preserve">From April to August 2021, 7051 samples were collected for chl-a, dissolved oxygen, total nitrogen, total phosphorus, total ammonia nitrogen, nitrate/nitrite, pH, salinity, secchi depth, and temperature (Table</w:t>
      </w:r>
      <w:r>
        <w:t xml:space="preserve"> </w:t>
      </w:r>
      <w:r>
        <w:t xml:space="preserve">2</w:t>
      </w:r>
      <w:r>
        <w:t xml:space="preserve">). Of these samples, 8.5% were outside of the normal range defined by the long-term monthly monitoring data for the baseline period from 2006 to 2020 (below for Secchi depth, above for all others). The percent of observations outside of the normal range varied by location and parameter. For chl-a, 54% of the observations were above the normal range for area 1, whereas only 8% and 24% were above for areas 2 and 3, respectively. Total nitrogen concentrations were above the normal range for 39% of observations in area 1, whereas concentrations were above for 24% of observations in area 2 and 24% in area 3. Secchi observations for the period of observation were below the normal range for 36% of observations in area 1 and for 21% and 36% of observations in areas 2 and 3. Notable differences were also observed for dissolved oxygen (e.g., 54% were above in area 1, 45% in area 2). Physical parameters (salinity, temperature) were generally within range over the five month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June.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47"/>
    <w:bookmarkStart w:id="48" w:name="seagrass-and-macroalgae-trends"/>
    <w:p>
      <w:pPr>
        <w:pStyle w:val="Heading2"/>
      </w:pPr>
      <w:r>
        <w:t xml:space="preserve">Seagrass and macroalgae trends</w:t>
      </w:r>
    </w:p>
    <w:p>
      <w:pPr>
        <w:pStyle w:val="FirstParagraph"/>
      </w:pPr>
      <w:r>
        <w:t xml:space="preserve">A total of 38 transects were sampled for seagrasses and macroalgae from April to August, each visited on average 1.6 times per month. Turtle grass (</w:t>
      </w:r>
      <w:r>
        <w:rPr>
          <w:iCs/>
          <w:i/>
        </w:rPr>
        <w:t xml:space="preserve">T. testudinum</w:t>
      </w:r>
      <w:r>
        <w:t xml:space="preserve">) was the dominant seagrass species with frequency occurrence of 51.1%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32.3% and 30.8%, respectively. Widgeon grass (</w:t>
      </w:r>
      <w:r>
        <w:rPr>
          <w:iCs/>
          <w:i/>
        </w:rPr>
        <w:t xml:space="preserve">R. maritima</w:t>
      </w:r>
      <w:r>
        <w:t xml:space="preserve">) and star grass (</w:t>
      </w:r>
      <w:r>
        <w:rPr>
          <w:iCs/>
          <w:i/>
        </w:rPr>
        <w:t xml:space="preserve">H. engelmanni</w:t>
      </w:r>
      <w:r>
        <w:t xml:space="preserve"> </w:t>
      </w:r>
      <w:r>
        <w:t xml:space="preserve">and</w:t>
      </w:r>
      <w:r>
        <w:t xml:space="preserve"> </w:t>
      </w:r>
      <w:r>
        <w:rPr>
          <w:iCs/>
          <w:i/>
        </w:rPr>
        <w:t xml:space="preserve">H. decipiens</w:t>
      </w:r>
      <w:r>
        <w:t xml:space="preserve">) were uncommon, with frequency occurrences of 4.1% and 0.5%.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59.8%.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5.9% and 14.7%.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abundunce of seagrass did not change dramatically from April 22nd to August 9th.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peristed through June and July, but not was observed after July 20th. Green macroalgae taxa were first observed in July, although at generally low abundances. By August, macroalgae abundances were low. Trends in macroalgae somewhat followed seasonal patterns observed baywide with red macroalgae transitioning to green macroalgae. However, overall macroalgae trends, including June dominance of cyanobacteria was observed at nearly all transects that suggests a broader impact from wastewater discharge at Piney Point.</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August frequency occurrence of 14.6%).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August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with the highest coverage of 16.7% observed in August in area 1. Brown macroalgae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48"/>
    <w:bookmarkStart w:id="49" w:name="X7d509d12c8a268d66c5cdc1551e1d6f1f197d15"/>
    <w:p>
      <w:pPr>
        <w:pStyle w:val="Heading2"/>
      </w:pPr>
      <w:r>
        <w:t xml:space="preserve">Water quality compared to seagrass and macrolagae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28% of the variation among all variables, whereas the second and third axes explained 23% and 14 of the remaining variation. For the water quality variables, the first principal component axis had strong, positive loadings for dissolved oxygen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positive loading with shoal grass (</w:t>
      </w:r>
      <w:r>
        <w:rPr>
          <w:iCs/>
          <w:i/>
        </w:rPr>
        <w:t xml:space="preserve">H. wrightii</w:t>
      </w:r>
      <w:r>
        <w:t xml:space="preserve">) and negative association with manatee grass (</w:t>
      </w:r>
      <w:r>
        <w:rPr>
          <w:iCs/>
          <w:i/>
        </w:rPr>
        <w:t xml:space="preserve">S. filiforme</w:t>
      </w:r>
      <w:r>
        <w:t xml:space="preserve">). Observations by area showed that samples in area 3 were grouped by positive loadings on on the first PCA axis and negative loadings on the second PCA axis and were distinct from points in area 1.</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pH)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and negatively correlated with salinity and secchi (</w:t>
      </w:r>
      <m:oMath>
        <m:r>
          <m:t>p</m:t>
        </m:r>
        <m:r>
          <m:rPr>
            <m:sty m:val="p"/>
          </m:rPr>
          <m:t>&lt;</m:t>
        </m:r>
        <m:r>
          <m:t>0.05</m:t>
        </m:r>
      </m:oMath>
      <w:r>
        <w:t xml:space="preserve">). Among the macroalgae, green and red groups were positively correlated (</w:t>
      </w:r>
      <m:oMath>
        <m:r>
          <m:t>p</m:t>
        </m:r>
        <m:r>
          <m:rPr>
            <m:sty m:val="p"/>
          </m:rPr>
          <m:t>&lt;</m:t>
        </m:r>
        <m:r>
          <m:t>0.05</m:t>
        </m:r>
      </m:oMath>
      <w:r>
        <w:t xml:space="preserve">), whereas both were negatively correlated with cyanobacteria (</w:t>
      </w:r>
      <m:oMath>
        <m:r>
          <m:t>p</m:t>
        </m:r>
        <m:r>
          <m:rPr>
            <m:sty m:val="p"/>
          </m:rPr>
          <m:t>&lt;</m:t>
        </m:r>
        <m:r>
          <m:t>0.005</m:t>
        </m:r>
      </m:oMath>
      <w:r>
        <w:t xml:space="preserve"> </w:t>
      </w:r>
      <w:r>
        <w:t xml:space="preserve">for red,</w:t>
      </w:r>
      <w:r>
        <w:t xml:space="preserve"> </w:t>
      </w:r>
      <m:oMath>
        <m:r>
          <m:t>p</m:t>
        </m:r>
        <m:r>
          <m:rPr>
            <m:sty m:val="p"/>
          </m:rPr>
          <m:t>&lt;</m:t>
        </m:r>
        <m:r>
          <m:t>0.05</m:t>
        </m:r>
      </m:oMath>
      <w:r>
        <w:t xml:space="preserve"> </w:t>
      </w:r>
      <w:r>
        <w:t xml:space="preserve">for green). Among the seagrasses, manatee grass was negatively correlated wtih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For water quality and seagrass, chl-a, total nitrogen, and total phosphorus were negatively correlated to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associated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49"/>
    <w:bookmarkStart w:id="50"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10k cells/L, notably 2001 and 2012, although several years had concentrations above the median that were at bloom levels. Median cell concentrations for most years were well below 1k cells/L. The highest concentration of 17.6 million cells/L was observed in 2021, whereas only 2006 had a maximum observed concentration above 10 million cells/L. Seasonally in 2021, bloom concentrations were not observed until the week of May 23, with concentrations peaking by the week of July 4th, after which concentrations declined through August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reports were made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over nearly five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City of St. Petersburg, pers. comm. Aug. 2021).</w:t>
      </w:r>
    </w:p>
    <w:bookmarkEnd w:id="50"/>
    <w:bookmarkEnd w:id="51"/>
    <w:bookmarkStart w:id="54" w:name="discussion"/>
    <w:p>
      <w:pPr>
        <w:pStyle w:val="Heading1"/>
      </w:pPr>
      <w:r>
        <w:t xml:space="preserve">Discussion</w:t>
      </w:r>
    </w:p>
    <w:p>
      <w:pPr>
        <w:pStyle w:val="FirstParagraph"/>
      </w:pPr>
      <w:r>
        <w:t xml:space="preserve">The observed conditions in Tampa Bay from April to July, 2021 following effluent release from Piney Point together represent an adverse environmental response to a large pulse of inorganic nitrogen into the system. Collectively, these observations provide a weight of evidence that conditions in 2021 were anomalous when compared to the long-term record of water quality and habitat data for Tampa Bay. These anomalous events included 1) a large, spring diatom bloom in the vicinity of the discharge at Port Manatee, 2) high abundance of the macroalgae</w:t>
      </w:r>
      <w:r>
        <w:t xml:space="preserve"> </w:t>
      </w:r>
      <w:r>
        <w:rPr>
          <w:iCs/>
          <w:i/>
        </w:rPr>
        <w:t xml:space="preserve">Lyngbya sp.</w:t>
      </w:r>
      <w:r>
        <w:t xml:space="preserve"> </w:t>
      </w:r>
      <w:r>
        <w:t xml:space="preserve">in Anna Maria Sound and near Port Manatee, 3) bloom concentrations of red tide in lower and middle Tampa Bay,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an unusual amount of observations supported by the decades of long-term monitoring data as a baseline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during the period of observation, they were seen throughout the bay suggesting a system-wide effect of effluent from Piney Point. In addition to the changing environmental conditions observed during the summer, the Piney Point event is also anomalous in the volume of effluent entering the system and estimated nutrient load to lower Tampa Bay. Spill events reported to FDEP have been documented for years (e.g., industrial spills, stormwater pump failures, sanitary sewer overflows) and spill volumes for these for these events are small (median volume 3630 gallons,</w:t>
      </w:r>
      <w:r>
        <w:t xml:space="preserve"> </w:t>
      </w:r>
      <w:hyperlink r:id="rId52">
        <w:r>
          <w:rPr>
            <w:rStyle w:val="Hyperlink"/>
          </w:rPr>
          <w:t xml:space="preserve">unpublished analysis</w:t>
        </w:r>
      </w:hyperlink>
      <w:r>
        <w:t xml:space="preserve">) compared to the 285 million gallons discharged from Piney Point. Moreover, the estimated nutrient load of 205 tons of nitrogen to Tampa Bay from Piney Point discharged over the ten day period exceeded current annual estimates of the external load into lower Tampa Bay. From both a monitoring perspective and the nature of the effluent into Tampa Bay, the observed response of conditions in the Bay in 2021 is an outlier compared to past years. These events were interpreted in the context of broad goals of the Tampa Bay Estuary Program and its partners to collectively manage ecosystem health following a nutrient management paradigm with seagrasses as both an indicator and asset for environmental quality.</w:t>
      </w:r>
    </w:p>
    <w:p>
      <w:pPr>
        <w:pStyle w:val="BodyText"/>
      </w:pPr>
      <w:r>
        <w:t xml:space="preserve">Several of the correlations in Figure</w:t>
      </w:r>
      <w:r>
        <w:t xml:space="preserve"> </w:t>
      </w:r>
      <w:r>
        <w:t xml:space="preserve">8</w:t>
      </w:r>
      <w:r>
        <w:t xml:space="preserve"> </w:t>
      </w:r>
      <w:r>
        <w:t xml:space="preserve">support known responses of water quality to nutrient loads and can be explained through mechanistic relationships among water quality, macroalgae, and seagrasses. Regarding the nutrient management paradigm for Tampa Bay, the linear association between nutrients, chlorophyll-a, and water transparency is supported by the significant correlations and loadings from the PCA in Figure</w:t>
      </w:r>
      <w:r>
        <w:t xml:space="preserve"> </w:t>
      </w:r>
      <w:r>
        <w:t xml:space="preserve">7</w:t>
      </w:r>
      <w:r>
        <w:t xml:space="preserve">. An increase in nitrogen was associated with an increase in chlorophyll, which in turn was associated with a decrease in water clarity. Temporally, these changes were observed at different times and by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already utilized by different taxa, including macroalgae.</w:t>
      </w:r>
    </w:p>
    <w:p>
      <w:pPr>
        <w:pStyle w:val="BodyText"/>
      </w:pPr>
      <w:r>
        <w:t xml:space="preserve">From a seagrass perspective, both major bloom events contributed to a reduction in water clarity and less light availability that may negatively affect seagrass growth. However, changes in frequency occurrence of seagrasses and associations with water quality and macroalgae were ambiguous. Evaluations of frequency occurrence across months showed no changes, although correlations with water quality and macroalgae can be explained with some certainty. Spatially, area 3 closer to the mouth of Tampa Bay and extending to the northern portion of Sarasota Bay had higher frequency occurrence of turtle grass and lower frequency of shoal grass. This reflects a natural partitioning of the species along a salinity gradient (as shown in the PCA in Figure</w:t>
      </w:r>
      <w:r>
        <w:t xml:space="preserve"> </w:t>
      </w:r>
      <w:r>
        <w:t xml:space="preserve">7</w:t>
      </w:r>
      <w:r>
        <w:t xml:space="preserve">) and not any association with effluent from Piney Point. Correlations among the macroalgae and seagrasses can also be explained by spatial differences among species along a depth gradient. Frequency occurrences of both shoal grass and turtle grass were negatively associated with manatee grass. Seagrasses are clonal organisms that grow together and species are usually not randomly dispersed in the same patch. Shoal grass and turtle grass typically grow at shallower depths than manatee grass and are often exposed during low tides. As an adaptive mechanism to varying water levels, blades of shoal grass and turtle grass can</w:t>
      </w:r>
      <w:r>
        <w:t xml:space="preserve"> </w:t>
      </w:r>
      <w:r>
        <w:t xml:space="preserve">“</w:t>
      </w:r>
      <w:r>
        <w:t xml:space="preserve">lay down</w:t>
      </w:r>
      <w:r>
        <w:t xml:space="preserve">”</w:t>
      </w:r>
      <w:r>
        <w:t xml:space="preserve"> </w:t>
      </w:r>
      <w:r>
        <w:t xml:space="preserve">during low tide to minimize dessication stress. Manatee grass has thicker, cylindrical blades that are more rigid and, as a result, the species is better suited at deeper depths that are minimally affected by varying tidal height. As such, the correlation analysis can be explained by spatial partitioning of seagrasses along depth gradients due to adaptive characteristics of each species. These associations may also reflect natural variation in water clarity along the longitidinal axis of Tampa Bay. Shoal grass can occur in more turbid waters that increase towards the northern portion of Tampa Bay, which are also shallower.</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w:t>
      </w:r>
      <w:r>
        <w:t xml:space="preserve">,</w:t>
      </w:r>
      <w:r>
        <w:t xml:space="preserve"> </w:t>
      </w:r>
      <w:r>
        <w:rPr>
          <w:iCs/>
          <w:i/>
        </w:rPr>
        <w:t xml:space="preserve">Acanthophora sp.</w:t>
      </w:r>
      <w:r>
        <w:t xml:space="preserve">) are more common than green macroalgae (e.g.,</w:t>
      </w:r>
      <w:r>
        <w:t xml:space="preserve"> </w:t>
      </w:r>
      <w:r>
        <w:rPr>
          <w:iCs/>
          <w:i/>
        </w:rPr>
        <w:t xml:space="preserve">Ulva sp.</w:t>
      </w:r>
      <w:r>
        <w:t xml:space="preserve">,</w:t>
      </w:r>
      <w:r>
        <w:t xml:space="preserve"> </w:t>
      </w:r>
      <w:r>
        <w:rPr>
          <w:iCs/>
          <w:i/>
        </w:rPr>
        <w:t xml:space="preserve">Caulerpa sp.</w:t>
      </w:r>
      <w:r>
        <w:t xml:space="preserve">) and seasonally occur earlier in the growing season. The dominance of the red groups early in the period of record followed by an increase in</w:t>
      </w:r>
      <w:r>
        <w:t xml:space="preserve"> </w:t>
      </w:r>
      <w:r>
        <w:rPr>
          <w:iCs/>
          <w:i/>
        </w:rPr>
        <w:t xml:space="preserve">Ulva sp.</w:t>
      </w:r>
      <w:r>
        <w:t xml:space="preserve"> </w:t>
      </w:r>
      <w:r>
        <w:t xml:space="preserve">likely reflects a natural phenology in Tampa Bay. However past spill events were associated with an increase in both red and green macroalgae in smaller subembayments of Tampa Bay, prompting manual removal to prevent conditions associated with hypoxia from decomposition of macroalgal biomass</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as a result of nutrient cycling stimulated by wastewater release. A clear difference in the macroalgae community in 2021 compared to past years was a high abundance of cyanobacteria macroalgae (i.e., Lyngbya sp.). Although cyanobacteria are observed in routine monitoring of seagrass transects in Tampa Bay, unusually high abundances of</w:t>
      </w:r>
      <w:r>
        <w:t xml:space="preserve"> </w:t>
      </w:r>
      <w:r>
        <w:rPr>
          <w:iCs/>
          <w:i/>
        </w:rPr>
        <w:t xml:space="preserve">Lyngbya sp.</w:t>
      </w:r>
      <w:r>
        <w:t xml:space="preserve"> </w:t>
      </w:r>
      <w:r>
        <w:t xml:space="preserve">in Anna Maria Sound and near Port Manatee was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Lyngbya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Although the seagrass community did not change significantly across the study period, long-term impacts may be observed. Reductions in seagrass coverage in Sarasota Bay were observed as a result of the 2018 red tide event that persisted over a year and half in southwest Florida. These changes may have resulted from a reduction in water clarity from heavy concentrations of</w:t>
      </w:r>
      <w:r>
        <w:t xml:space="preserve"> </w:t>
      </w:r>
      <w:r>
        <w:rPr>
          <w:iCs/>
          <w:i/>
        </w:rPr>
        <w:t xml:space="preserve">K. brevis</w:t>
      </w:r>
      <w:r>
        <w:t xml:space="preserve">, similar to what was observed in June and July in middle and lower Tampa Bay. Species shifts from macroalgal to seagrass dominated communities are also a concern, both in 2021 and as observed at some locations in recent years from the annual transect monitoring results for Tampa Bay. In particular, increasing abundance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of</w:t>
      </w:r>
      <w:r>
        <w:t xml:space="preserve"> </w:t>
      </w:r>
      <w:r>
        <w:rPr>
          <w:iCs/>
          <w:i/>
        </w:rPr>
        <w:t xml:space="preserve">Caulerpa</w:t>
      </w:r>
      <w:r>
        <w:t xml:space="preserve"> </w:t>
      </w:r>
      <w:r>
        <w:t xml:space="preserve">dominance relative to seagrasses.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communites. Regionally, seagrasses have declined in coverage as estimated from biennal maps provided by the Southwest Florida Water Managagement District. From 2018 to 2020, seagrass coverage declined by 16% in Tampa Bay, with similar losses observed in Sarasota Bay (18%), Lemon Bay (12%), and Charlotte Harbor (23%) to the south. These broader trends suggest drivers acting at a regional scale are affecting seagrass communities (e.g., variation in precipitation), yet local issues specific to individual bays also pose challenges to managing water quality and subtidal habitats. Acute stressors from short-term events, such as wastewater release from Piney Point, create additional and often preventable challenges in the context of broader issues affecting ecosystem health.</w:t>
      </w:r>
    </w:p>
    <w:p>
      <w:pPr>
        <w:numPr>
          <w:ilvl w:val="0"/>
          <w:numId w:val="1001"/>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53">
        <w:r>
          <w:rPr>
            <w:rStyle w:val="Hyperlink"/>
          </w:rPr>
          <w:t xml:space="preserve">link</w:t>
        </w:r>
      </w:hyperlink>
    </w:p>
    <w:p>
      <w:pPr>
        <w:numPr>
          <w:ilvl w:val="0"/>
          <w:numId w:val="1001"/>
        </w:numPr>
        <w:pStyle w:val="Compact"/>
      </w:pPr>
      <w:r>
        <w:t xml:space="preserve">Analysis limitations: no smoking gun but 2021 is an anomaly, additional info (benthic diversity TBD, nekton diversity TBD, large mammals, etc.), response-based monitoring may be biased</w:t>
      </w:r>
    </w:p>
    <w:p>
      <w:pPr>
        <w:numPr>
          <w:ilvl w:val="0"/>
          <w:numId w:val="1001"/>
        </w:numPr>
        <w:pStyle w:val="Compact"/>
      </w:pPr>
      <w:r>
        <w:t xml:space="preserve">Long-term closure plan? NGS-N is treated with spray evaporation system, but concentrations of TN/TP higher than NGS-S (see EO)/</w:t>
      </w:r>
    </w:p>
    <w:p>
      <w:pPr>
        <w:numPr>
          <w:ilvl w:val="0"/>
          <w:numId w:val="1001"/>
        </w:numPr>
        <w:pStyle w:val="Compact"/>
      </w:pPr>
      <w:r>
        <w:t xml:space="preserve">Potential long-term impacts TBD</w:t>
      </w:r>
    </w:p>
    <w:p>
      <w:pPr>
        <w:numPr>
          <w:ilvl w:val="0"/>
          <w:numId w:val="1001"/>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1"/>
        </w:numPr>
        <w:pStyle w:val="Compact"/>
      </w:pPr>
      <w:r>
        <w:t xml:space="preserve">Risk of decline (IRL ex.), regression of past progress</w:t>
      </w:r>
    </w:p>
    <w:bookmarkEnd w:id="54"/>
    <w:bookmarkStart w:id="55" w:name="acknowledgments"/>
    <w:p>
      <w:pPr>
        <w:pStyle w:val="Heading1"/>
      </w:pPr>
      <w:r>
        <w:t xml:space="preserve">Acknowledgments</w:t>
      </w:r>
    </w:p>
    <w:bookmarkEnd w:id="55"/>
    <w:bookmarkStart w:id="67"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T:/04_STAFF/MARCUS/03_GIT/piney-point-manu/figs/map.jpeg" id="0" name="Picture"/>
                    <pic:cNvPicPr>
                      <a:picLocks noChangeArrowheads="1" noChangeAspect="1"/>
                    </pic:cNvPicPr>
                  </pic:nvPicPr>
                  <pic:blipFill>
                    <a:blip r:embed="rId56"/>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T:/04_STAFF/MARCUS/03_GIT/piney-point-manu/figs/timeline.jpeg" id="0" name="Picture"/>
                    <pic:cNvPicPr>
                      <a:picLocks noChangeArrowheads="1" noChangeAspect="1"/>
                    </pic:cNvPicPr>
                  </pic:nvPicPr>
                  <pic:blipFill>
                    <a:blip r:embed="rId57"/>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 title="" id="1" name="Picture"/>
            <a:graphic>
              <a:graphicData uri="http://schemas.openxmlformats.org/drawingml/2006/picture">
                <pic:pic>
                  <pic:nvPicPr>
                    <pic:cNvPr descr="T:/04_STAFF/MARCUS/03_GIT/piney-point-manu/figs/wqmap.jpeg" id="0" name="Picture"/>
                    <pic:cNvPicPr>
                      <a:picLocks noChangeArrowheads="1" noChangeAspect="1"/>
                    </pic:cNvPicPr>
                  </pic:nvPicPr>
                  <pic:blipFill>
                    <a:blip r:embed="rId58"/>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 title="" id="1" name="Picture"/>
            <a:graphic>
              <a:graphicData uri="http://schemas.openxmlformats.org/drawingml/2006/picture">
                <pic:pic>
                  <pic:nvPicPr>
                    <pic:cNvPr descr="T:/04_STAFF/MARCUS/03_GIT/piney-point-manu/figs/wqtrnds.jpeg" id="0" name="Picture"/>
                    <pic:cNvPicPr>
                      <a:picLocks noChangeArrowheads="1" noChangeAspect="1"/>
                    </pic:cNvPicPr>
                  </pic:nvPicPr>
                  <pic:blipFill>
                    <a:blip r:embed="rId59"/>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T:/04_STAFF/MARCUS/03_GIT/piney-point-manu/figs/trnex.jpeg" id="0" name="Picture"/>
                    <pic:cNvPicPr>
                      <a:picLocks noChangeArrowheads="1" noChangeAspect="1"/>
                    </pic:cNvPicPr>
                  </pic:nvPicPr>
                  <pic:blipFill>
                    <a:blip r:embed="rId60"/>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2 (Figure 1a) for seagrass (top) and macroalgae (bottom) rapid response transect surveys across all transects (n = thirty-eight) near Piney Point. Estimates are grouped by sample months in 2021. Frequency occurrences are absolute for each taxa based on presence/absence." title="" id="1" name="Picture"/>
            <a:graphic>
              <a:graphicData uri="http://schemas.openxmlformats.org/drawingml/2006/picture">
                <pic:pic>
                  <pic:nvPicPr>
                    <pic:cNvPr descr="T:/04_STAFF/MARCUS/03_GIT/piney-point-manu/figs/trnfrq.jpeg" id="0"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2 (Figure</w:t>
      </w:r>
      <w:r>
        <w:t xml:space="preserve"> </w:t>
      </w:r>
      <w:r>
        <w:t xml:space="preserve">1</w:t>
      </w:r>
      <w:r>
        <w:t xml:space="preserve">a) for seagrass (top) and macroalgae (bottom) rapid response transect surveys across all transects (n = thirty-eight) near Piney Point. Estimates are grouped by sample months in 2021. Frequency occurrences are absolute for each taxa based on presence/absence.</w:t>
      </w:r>
    </w:p>
    <w:p>
      <w:pPr>
        <w:pStyle w:val="CaptionedFigure"/>
      </w:pPr>
      <w:r>
        <w:drawing>
          <wp:inline>
            <wp:extent cx="5943600" cy="3396342"/>
            <wp:effectExtent b="0" l="0" r="0" t="0"/>
            <wp:docPr descr="Figure 7: Principal components analysis (PCA)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T:/04_STAFF/MARCUS/03_GIT/piney-point-manu/figs/allpca.jpeg" id="0" name="Picture"/>
                    <pic:cNvPicPr>
                      <a:picLocks noChangeArrowheads="1" noChangeAspect="1"/>
                    </pic:cNvPicPr>
                  </pic:nvPicPr>
                  <pic:blipFill>
                    <a:blip r:embed="rId6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es by week for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T:/04_STAFF/MARCUS/03_GIT/piney-point-manu/figs/allcor.jpeg" id="0" name="Picture"/>
                    <pic:cNvPicPr>
                      <a:picLocks noChangeArrowheads="1" noChangeAspect="1"/>
                    </pic:cNvPicPr>
                  </pic:nvPicPr>
                  <pic:blipFill>
                    <a:blip r:embed="rId63"/>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64"/>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65">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66">
        <w:r>
          <w:rPr>
            <w:rStyle w:val="Hyperlink"/>
          </w:rPr>
          <w:t xml:space="preserve">https://public.myfwc.com/FWRI/FishKillReport/</w:t>
        </w:r>
      </w:hyperlink>
      <w:r>
        <w:t xml:space="preserve">).</w:t>
      </w:r>
    </w:p>
    <w:bookmarkEnd w:id="67"/>
    <w:bookmarkStart w:id="68"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from March to July 2021 in response to wastewater discharge from Piney Point. Variables are grouped by major areas of interest for evaluating status and trends shown in Figure 1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451</w:t>
            </w:r>
          </w:p>
        </w:tc>
        <w:tc>
          <w:p>
            <w:pPr>
              <w:pStyle w:val="Compact"/>
              <w:jc w:val="right"/>
            </w:pPr>
            <w:r>
              <w:t xml:space="preserve">40.6</w:t>
            </w:r>
          </w:p>
        </w:tc>
        <w:tc>
          <w:p>
            <w:pPr>
              <w:pStyle w:val="Compact"/>
              <w:jc w:val="right"/>
            </w:pPr>
            <w:r>
              <w:t xml:space="preserve">53.9</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98.2 (28.3, 215.3)</w:t>
            </w:r>
          </w:p>
        </w:tc>
        <w:tc>
          <w:p>
            <w:pPr>
              <w:pStyle w:val="Compact"/>
              <w:jc w:val="right"/>
            </w:pPr>
            <w:r>
              <w:t xml:space="preserve">398</w:t>
            </w:r>
          </w:p>
        </w:tc>
        <w:tc>
          <w:p>
            <w:pPr>
              <w:pStyle w:val="Compact"/>
              <w:jc w:val="right"/>
            </w:pPr>
            <w:r>
              <w:t xml:space="preserve">29.1</w:t>
            </w:r>
          </w:p>
        </w:tc>
        <w:tc>
          <w:p>
            <w:pPr>
              <w:pStyle w:val="Compact"/>
              <w:jc w:val="right"/>
            </w:pPr>
            <w:r>
              <w:t xml:space="preserve">53.8</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453</w:t>
            </w:r>
          </w:p>
        </w:tc>
        <w:tc>
          <w:p>
            <w:pPr>
              <w:pStyle w:val="Compact"/>
              <w:jc w:val="right"/>
            </w:pPr>
            <w:r>
              <w:t xml:space="preserve">63.6</w:t>
            </w:r>
          </w:p>
        </w:tc>
        <w:tc>
          <w:p>
            <w:pPr>
              <w:pStyle w:val="Compact"/>
              <w:jc w:val="right"/>
            </w:pPr>
            <w:r>
              <w:t xml:space="preserve">19.2</w:t>
            </w:r>
          </w:p>
        </w:tc>
        <w:tc>
          <w:p>
            <w:pPr>
              <w:pStyle w:val="Compact"/>
              <w:jc w:val="right"/>
            </w:pPr>
            <w:r>
              <w:t xml:space="preserve">17.2</w:t>
            </w:r>
          </w:p>
        </w:tc>
        <w:tc>
          <w:p>
            <w:pPr>
              <w:pStyle w:val="Compact"/>
              <w:jc w:val="right"/>
            </w:pPr>
            <w:r>
              <w:t xml:space="preserve">27.2</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475</w:t>
            </w:r>
          </w:p>
        </w:tc>
        <w:tc>
          <w:p>
            <w:pPr>
              <w:pStyle w:val="Compact"/>
              <w:jc w:val="right"/>
            </w:pPr>
            <w:r>
              <w:t xml:space="preserve">62.5</w:t>
            </w:r>
          </w:p>
        </w:tc>
        <w:tc>
          <w:p>
            <w:pPr>
              <w:pStyle w:val="Compact"/>
              <w:jc w:val="right"/>
            </w:pPr>
            <w:r>
              <w:t xml:space="preserve">19.2</w:t>
            </w:r>
          </w:p>
        </w:tc>
        <w:tc>
          <w:p>
            <w:pPr>
              <w:pStyle w:val="Compact"/>
              <w:jc w:val="right"/>
            </w:pPr>
            <w:r>
              <w:t xml:space="preserve">18.3</w:t>
            </w:r>
          </w:p>
        </w:tc>
        <w:tc>
          <w:p>
            <w:pPr>
              <w:pStyle w:val="Compact"/>
              <w:jc w:val="right"/>
            </w:pPr>
            <w:r>
              <w:t xml:space="preserve">70.9</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444</w:t>
            </w:r>
          </w:p>
        </w:tc>
        <w:tc>
          <w:p>
            <w:pPr>
              <w:pStyle w:val="Compact"/>
              <w:jc w:val="right"/>
            </w:pPr>
            <w:r>
              <w:t xml:space="preserve">59.7</w:t>
            </w:r>
          </w:p>
        </w:tc>
        <w:tc>
          <w:p>
            <w:pPr>
              <w:pStyle w:val="Compact"/>
              <w:jc w:val="right"/>
            </w:pPr>
            <w:r>
              <w:t xml:space="preserve">29.1</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409</w:t>
            </w:r>
          </w:p>
        </w:tc>
        <w:tc>
          <w:p>
            <w:pPr>
              <w:pStyle w:val="Compact"/>
              <w:jc w:val="right"/>
            </w:pPr>
            <w:r>
              <w:t xml:space="preserve">83.9</w:t>
            </w:r>
          </w:p>
        </w:tc>
        <w:tc>
          <w:p>
            <w:pPr>
              <w:pStyle w:val="Compact"/>
              <w:jc w:val="right"/>
            </w:pPr>
            <w:r>
              <w:t xml:space="preserve">3.7</w:t>
            </w:r>
          </w:p>
        </w:tc>
        <w:tc>
          <w:p>
            <w:pPr>
              <w:pStyle w:val="Compact"/>
              <w:jc w:val="right"/>
            </w:pPr>
            <w:r>
              <w:t xml:space="preserve">12.5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9.5)</w:t>
            </w:r>
          </w:p>
        </w:tc>
        <w:tc>
          <w:p>
            <w:pPr>
              <w:pStyle w:val="Compact"/>
              <w:jc w:val="right"/>
            </w:pPr>
            <w:r>
              <w:t xml:space="preserve">246</w:t>
            </w:r>
          </w:p>
        </w:tc>
        <w:tc>
          <w:p>
            <w:pPr>
              <w:pStyle w:val="Compact"/>
              <w:jc w:val="right"/>
            </w:pPr>
            <w:r>
              <w:t xml:space="preserve">43.5</w:t>
            </w:r>
          </w:p>
        </w:tc>
        <w:tc>
          <w:p>
            <w:pPr>
              <w:pStyle w:val="Compact"/>
              <w:jc w:val="right"/>
            </w:pPr>
            <w:r>
              <w:t xml:space="preserve">20.7</w:t>
            </w:r>
          </w:p>
        </w:tc>
        <w:tc>
          <w:p>
            <w:pPr>
              <w:pStyle w:val="Compact"/>
              <w:jc w:val="right"/>
            </w:pPr>
            <w:r>
              <w:t xml:space="preserve">35.8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410</w:t>
            </w:r>
          </w:p>
        </w:tc>
        <w:tc>
          <w:p>
            <w:pPr>
              <w:pStyle w:val="Compact"/>
              <w:jc w:val="right"/>
            </w:pPr>
            <w:r>
              <w:t xml:space="preserve">62.9</w:t>
            </w:r>
          </w:p>
        </w:tc>
        <w:tc>
          <w:p>
            <w:pPr>
              <w:pStyle w:val="Compact"/>
              <w:jc w:val="right"/>
            </w:pPr>
            <w:r>
              <w:t xml:space="preserve">16.3</w:t>
            </w:r>
          </w:p>
        </w:tc>
        <w:tc>
          <w:p>
            <w:pPr>
              <w:pStyle w:val="Compact"/>
              <w:jc w:val="right"/>
            </w:pPr>
            <w:r>
              <w:t xml:space="preserve">20.7</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390</w:t>
            </w:r>
          </w:p>
        </w:tc>
        <w:tc>
          <w:p>
            <w:pPr>
              <w:pStyle w:val="Compact"/>
              <w:jc w:val="right"/>
            </w:pPr>
            <w:r>
              <w:t xml:space="preserve">58.5</w:t>
            </w:r>
          </w:p>
        </w:tc>
        <w:tc>
          <w:p>
            <w:pPr>
              <w:pStyle w:val="Compact"/>
              <w:jc w:val="right"/>
            </w:pPr>
            <w:r>
              <w:t xml:space="preserve">39.2</w:t>
            </w:r>
          </w:p>
        </w:tc>
        <w:tc>
          <w:p>
            <w:pPr>
              <w:pStyle w:val="Compact"/>
              <w:jc w:val="right"/>
            </w:pPr>
            <w:r>
              <w:t xml:space="preserve">2.3</w:t>
            </w:r>
          </w:p>
        </w:tc>
        <w:tc>
          <w:p>
            <w:pPr>
              <w:pStyle w:val="Compact"/>
              <w:jc w:val="right"/>
            </w:pPr>
            <w:r>
              <w:t xml:space="preserve">3.1</w:t>
            </w:r>
          </w:p>
        </w:tc>
      </w:tr>
      <w:tr>
        <w:tc>
          <w:p/>
        </w:tc>
        <w:tc>
          <w:p>
            <w:pPr>
              <w:pStyle w:val="Compact"/>
              <w:jc w:val="left"/>
            </w:pPr>
            <w:r>
              <w:t xml:space="preserve">TP (mg/L)</w:t>
            </w:r>
          </w:p>
        </w:tc>
        <w:tc>
          <w:p>
            <w:pPr>
              <w:pStyle w:val="Compact"/>
              <w:jc w:val="left"/>
            </w:pPr>
            <w:r>
              <w:t xml:space="preserve">0.116 (0.019, 3.9)</w:t>
            </w:r>
          </w:p>
        </w:tc>
        <w:tc>
          <w:p>
            <w:pPr>
              <w:pStyle w:val="Compact"/>
              <w:jc w:val="right"/>
            </w:pPr>
            <w:r>
              <w:t xml:space="preserve">451</w:t>
            </w:r>
          </w:p>
        </w:tc>
        <w:tc>
          <w:p>
            <w:pPr>
              <w:pStyle w:val="Compact"/>
              <w:jc w:val="right"/>
            </w:pPr>
            <w:r>
              <w:t xml:space="preserve">79.8</w:t>
            </w:r>
          </w:p>
        </w:tc>
        <w:tc>
          <w:p>
            <w:pPr>
              <w:pStyle w:val="Compact"/>
              <w:jc w:val="right"/>
            </w:pPr>
            <w:r>
              <w:t xml:space="preserve">16.0</w:t>
            </w:r>
          </w:p>
        </w:tc>
        <w:tc>
          <w:p>
            <w:pPr>
              <w:pStyle w:val="Compact"/>
              <w:jc w:val="right"/>
            </w:pPr>
            <w:r>
              <w:t xml:space="preserve">4.2</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67</w:t>
            </w:r>
          </w:p>
        </w:tc>
        <w:tc>
          <w:p>
            <w:pPr>
              <w:pStyle w:val="Compact"/>
              <w:jc w:val="right"/>
            </w:pPr>
            <w:r>
              <w:t xml:space="preserve">61.2</w:t>
            </w:r>
          </w:p>
        </w:tc>
        <w:tc>
          <w:p>
            <w:pPr>
              <w:pStyle w:val="Compact"/>
              <w:jc w:val="right"/>
            </w:pPr>
            <w:r>
              <w:t xml:space="preserve">7.5</w:t>
            </w:r>
          </w:p>
        </w:tc>
        <w:tc>
          <w:p>
            <w:pPr>
              <w:pStyle w:val="Compact"/>
              <w:jc w:val="right"/>
            </w:pPr>
            <w:r>
              <w:t xml:space="preserve">31.3</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95.8 (60.6, 153.3)</w:t>
            </w:r>
          </w:p>
        </w:tc>
        <w:tc>
          <w:p>
            <w:pPr>
              <w:pStyle w:val="Compact"/>
              <w:jc w:val="right"/>
            </w:pPr>
            <w:r>
              <w:t xml:space="preserve">67</w:t>
            </w:r>
          </w:p>
        </w:tc>
        <w:tc>
          <w:p>
            <w:pPr>
              <w:pStyle w:val="Compact"/>
              <w:jc w:val="right"/>
            </w:pPr>
            <w:r>
              <w:t xml:space="preserve">41.8</w:t>
            </w:r>
          </w:p>
        </w:tc>
        <w:tc>
          <w:p>
            <w:pPr>
              <w:pStyle w:val="Compact"/>
              <w:jc w:val="right"/>
            </w:pPr>
            <w:r>
              <w:t xml:space="preserve">44.8</w:t>
            </w:r>
          </w:p>
        </w:tc>
        <w:tc>
          <w:p>
            <w:pPr>
              <w:pStyle w:val="Compact"/>
              <w:jc w:val="right"/>
            </w:pPr>
            <w:r>
              <w:t xml:space="preserve">13.4</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64</w:t>
            </w:r>
          </w:p>
        </w:tc>
        <w:tc>
          <w:p>
            <w:pPr>
              <w:pStyle w:val="Compact"/>
              <w:jc w:val="right"/>
            </w:pPr>
            <w:r>
              <w:t xml:space="preserve">85.9</w:t>
            </w:r>
          </w:p>
        </w:tc>
        <w:tc>
          <w:p>
            <w:pPr>
              <w:pStyle w:val="Compact"/>
              <w:jc w:val="right"/>
            </w:pPr>
            <w:r>
              <w:t xml:space="preserve">0.0</w:t>
            </w:r>
          </w:p>
        </w:tc>
        <w:tc>
          <w:p>
            <w:pPr>
              <w:pStyle w:val="Compact"/>
              <w:jc w:val="right"/>
            </w:pPr>
            <w:r>
              <w:t xml:space="preserve">14.1</w:t>
            </w:r>
          </w:p>
        </w:tc>
        <w:tc>
          <w:p>
            <w:pPr>
              <w:pStyle w:val="Compact"/>
              <w:jc w:val="right"/>
            </w:pPr>
            <w:r>
              <w:t xml:space="preserve">28.1</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75</w:t>
            </w:r>
          </w:p>
        </w:tc>
        <w:tc>
          <w:p>
            <w:pPr>
              <w:pStyle w:val="Compact"/>
              <w:jc w:val="right"/>
            </w:pPr>
            <w:r>
              <w:t xml:space="preserve">66.7</w:t>
            </w:r>
          </w:p>
        </w:tc>
        <w:tc>
          <w:p>
            <w:pPr>
              <w:pStyle w:val="Compact"/>
              <w:jc w:val="right"/>
            </w:pPr>
            <w:r>
              <w:t xml:space="preserve">12.0</w:t>
            </w:r>
          </w:p>
        </w:tc>
        <w:tc>
          <w:p>
            <w:pPr>
              <w:pStyle w:val="Compact"/>
              <w:jc w:val="right"/>
            </w:pPr>
            <w:r>
              <w:t xml:space="preserve">21.3</w:t>
            </w:r>
          </w:p>
        </w:tc>
        <w:tc>
          <w:p>
            <w:pPr>
              <w:pStyle w:val="Compact"/>
              <w:jc w:val="right"/>
            </w:pPr>
            <w:r>
              <w:t xml:space="preserve">84.0</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86</w:t>
            </w:r>
          </w:p>
        </w:tc>
        <w:tc>
          <w:p>
            <w:pPr>
              <w:pStyle w:val="Compact"/>
              <w:jc w:val="right"/>
            </w:pPr>
            <w:r>
              <w:t xml:space="preserve">80.2</w:t>
            </w:r>
          </w:p>
        </w:tc>
        <w:tc>
          <w:p>
            <w:pPr>
              <w:pStyle w:val="Compact"/>
              <w:jc w:val="right"/>
            </w:pPr>
            <w:r>
              <w:t xml:space="preserve">14.0</w:t>
            </w:r>
          </w:p>
        </w:tc>
        <w:tc>
          <w:p>
            <w:pPr>
              <w:pStyle w:val="Compact"/>
              <w:jc w:val="right"/>
            </w:pPr>
            <w:r>
              <w:t xml:space="preserve">5.8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27.4 (21.3, 32.3)</w:t>
            </w:r>
          </w:p>
        </w:tc>
        <w:tc>
          <w:p>
            <w:pPr>
              <w:pStyle w:val="Compact"/>
              <w:jc w:val="right"/>
            </w:pPr>
            <w:r>
              <w:t xml:space="preserve">67</w:t>
            </w:r>
          </w:p>
        </w:tc>
        <w:tc>
          <w:p>
            <w:pPr>
              <w:pStyle w:val="Compact"/>
              <w:jc w:val="right"/>
            </w:pPr>
            <w:r>
              <w:t xml:space="preserve">94.0</w:t>
            </w:r>
          </w:p>
        </w:tc>
        <w:tc>
          <w:p>
            <w:pPr>
              <w:pStyle w:val="Compact"/>
              <w:jc w:val="right"/>
            </w:pPr>
            <w:r>
              <w:t xml:space="preserve">0.0</w:t>
            </w:r>
          </w:p>
        </w:tc>
        <w:tc>
          <w:p>
            <w:pPr>
              <w:pStyle w:val="Compact"/>
              <w:jc w:val="right"/>
            </w:pPr>
            <w:r>
              <w:t xml:space="preserve">6.0</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25.1 (19.9, 31.6)</w:t>
            </w:r>
          </w:p>
        </w:tc>
        <w:tc>
          <w:p>
            <w:pPr>
              <w:pStyle w:val="Compact"/>
              <w:jc w:val="right"/>
            </w:pPr>
            <w:r>
              <w:t xml:space="preserve">67</w:t>
            </w:r>
          </w:p>
        </w:tc>
        <w:tc>
          <w:p>
            <w:pPr>
              <w:pStyle w:val="Compact"/>
              <w:jc w:val="right"/>
            </w:pPr>
            <w:r>
              <w:t xml:space="preserve">70.1</w:t>
            </w:r>
          </w:p>
        </w:tc>
        <w:tc>
          <w:p>
            <w:pPr>
              <w:pStyle w:val="Compact"/>
              <w:jc w:val="right"/>
            </w:pPr>
            <w:r>
              <w:t xml:space="preserve">7.5</w:t>
            </w:r>
          </w:p>
        </w:tc>
        <w:tc>
          <w:p>
            <w:pPr>
              <w:pStyle w:val="Compact"/>
              <w:jc w:val="right"/>
            </w:pPr>
            <w:r>
              <w:t xml:space="preserve">22.4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0.36 (0.068, 1.13)</w:t>
            </w:r>
          </w:p>
        </w:tc>
        <w:tc>
          <w:p>
            <w:pPr>
              <w:pStyle w:val="Compact"/>
              <w:jc w:val="right"/>
            </w:pPr>
            <w:r>
              <w:t xml:space="preserve">51</w:t>
            </w:r>
          </w:p>
        </w:tc>
        <w:tc>
          <w:p>
            <w:pPr>
              <w:pStyle w:val="Compact"/>
              <w:jc w:val="right"/>
            </w:pPr>
            <w:r>
              <w:t xml:space="preserve">64.7</w:t>
            </w:r>
          </w:p>
        </w:tc>
        <w:tc>
          <w:p>
            <w:pPr>
              <w:pStyle w:val="Compact"/>
              <w:jc w:val="right"/>
            </w:pPr>
            <w:r>
              <w:t xml:space="preserve">23.5</w:t>
            </w:r>
          </w:p>
        </w:tc>
        <w:tc>
          <w:p>
            <w:pPr>
              <w:pStyle w:val="Compact"/>
              <w:jc w:val="right"/>
            </w:pPr>
            <w:r>
              <w:t xml:space="preserve">11.8</w:t>
            </w:r>
          </w:p>
        </w:tc>
        <w:tc>
          <w:p>
            <w:pPr>
              <w:pStyle w:val="Compact"/>
              <w:jc w:val="right"/>
            </w:pPr>
            <w:r>
              <w:t xml:space="preserve">17.6</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56</w:t>
            </w:r>
          </w:p>
        </w:tc>
        <w:tc>
          <w:p>
            <w:pPr>
              <w:pStyle w:val="Compact"/>
              <w:jc w:val="right"/>
            </w:pPr>
            <w:r>
              <w:t xml:space="preserve">57.1</w:t>
            </w:r>
          </w:p>
        </w:tc>
        <w:tc>
          <w:p>
            <w:pPr>
              <w:pStyle w:val="Compact"/>
              <w:jc w:val="right"/>
            </w:pPr>
            <w:r>
              <w:t xml:space="preserve">10.7</w:t>
            </w:r>
          </w:p>
        </w:tc>
        <w:tc>
          <w:p>
            <w:pPr>
              <w:pStyle w:val="Compact"/>
              <w:jc w:val="right"/>
            </w:pPr>
            <w:r>
              <w:t xml:space="preserve">32.1</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225</w:t>
            </w:r>
          </w:p>
        </w:tc>
        <w:tc>
          <w:p>
            <w:pPr>
              <w:pStyle w:val="Compact"/>
              <w:jc w:val="right"/>
            </w:pPr>
            <w:r>
              <w:t xml:space="preserve">67.6</w:t>
            </w:r>
          </w:p>
        </w:tc>
        <w:tc>
          <w:p>
            <w:pPr>
              <w:pStyle w:val="Compact"/>
              <w:jc w:val="right"/>
            </w:pPr>
            <w:r>
              <w:t xml:space="preserve">24.0</w:t>
            </w:r>
          </w:p>
        </w:tc>
        <w:tc>
          <w:p>
            <w:pPr>
              <w:pStyle w:val="Compact"/>
              <w:jc w:val="right"/>
            </w:pPr>
            <w:r>
              <w:t xml:space="preserve">8.4</w:t>
            </w:r>
          </w:p>
        </w:tc>
        <w:tc>
          <w:p>
            <w:pPr>
              <w:pStyle w:val="Compact"/>
              <w:jc w:val="right"/>
            </w:pPr>
            <w:r>
              <w:t xml:space="preserve">0.4</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204</w:t>
            </w:r>
          </w:p>
        </w:tc>
        <w:tc>
          <w:p>
            <w:pPr>
              <w:pStyle w:val="Compact"/>
              <w:jc w:val="right"/>
            </w:pPr>
            <w:r>
              <w:t xml:space="preserve">52.0</w:t>
            </w:r>
          </w:p>
        </w:tc>
        <w:tc>
          <w:p>
            <w:pPr>
              <w:pStyle w:val="Compact"/>
              <w:jc w:val="right"/>
            </w:pPr>
            <w:r>
              <w:t xml:space="preserve">27.0</w:t>
            </w:r>
          </w:p>
        </w:tc>
        <w:tc>
          <w:p>
            <w:pPr>
              <w:pStyle w:val="Compact"/>
              <w:jc w:val="right"/>
            </w:pPr>
            <w:r>
              <w:t xml:space="preserve">21.1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219</w:t>
            </w:r>
          </w:p>
        </w:tc>
        <w:tc>
          <w:p>
            <w:pPr>
              <w:pStyle w:val="Compact"/>
              <w:jc w:val="right"/>
            </w:pPr>
            <w:r>
              <w:t xml:space="preserve">49.8</w:t>
            </w:r>
          </w:p>
        </w:tc>
        <w:tc>
          <w:p>
            <w:pPr>
              <w:pStyle w:val="Compact"/>
              <w:jc w:val="right"/>
            </w:pPr>
            <w:r>
              <w:t xml:space="preserve">0.0</w:t>
            </w:r>
          </w:p>
        </w:tc>
        <w:tc>
          <w:p>
            <w:pPr>
              <w:pStyle w:val="Compact"/>
              <w:jc w:val="right"/>
            </w:pPr>
            <w:r>
              <w:t xml:space="preserve">50.2</w:t>
            </w:r>
          </w:p>
        </w:tc>
        <w:tc>
          <w:p>
            <w:pPr>
              <w:pStyle w:val="Compact"/>
              <w:jc w:val="right"/>
            </w:pPr>
            <w:r>
              <w:t xml:space="preserve">52.5</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238</w:t>
            </w:r>
          </w:p>
        </w:tc>
        <w:tc>
          <w:p>
            <w:pPr>
              <w:pStyle w:val="Compact"/>
              <w:jc w:val="right"/>
            </w:pPr>
            <w:r>
              <w:t xml:space="preserve">60.1</w:t>
            </w:r>
          </w:p>
        </w:tc>
        <w:tc>
          <w:p>
            <w:pPr>
              <w:pStyle w:val="Compact"/>
              <w:jc w:val="right"/>
            </w:pPr>
            <w:r>
              <w:t xml:space="preserve">7.1</w:t>
            </w:r>
          </w:p>
        </w:tc>
        <w:tc>
          <w:p>
            <w:pPr>
              <w:pStyle w:val="Compact"/>
              <w:jc w:val="right"/>
            </w:pPr>
            <w:r>
              <w:t xml:space="preserve">32.8</w:t>
            </w:r>
          </w:p>
        </w:tc>
        <w:tc>
          <w:p>
            <w:pPr>
              <w:pStyle w:val="Compact"/>
              <w:jc w:val="right"/>
            </w:pPr>
            <w:r>
              <w:t xml:space="preserve">93.3</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227</w:t>
            </w:r>
          </w:p>
        </w:tc>
        <w:tc>
          <w:p>
            <w:pPr>
              <w:pStyle w:val="Compact"/>
              <w:jc w:val="right"/>
            </w:pPr>
            <w:r>
              <w:t xml:space="preserve">74.4</w:t>
            </w:r>
          </w:p>
        </w:tc>
        <w:tc>
          <w:p>
            <w:pPr>
              <w:pStyle w:val="Compact"/>
              <w:jc w:val="right"/>
            </w:pPr>
            <w:r>
              <w:t xml:space="preserve">21.6</w:t>
            </w:r>
          </w:p>
        </w:tc>
        <w:tc>
          <w:p>
            <w:pPr>
              <w:pStyle w:val="Compact"/>
              <w:jc w:val="right"/>
            </w:pPr>
            <w:r>
              <w:t xml:space="preserve">4.0</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 (1.4, 36.5)</w:t>
            </w:r>
          </w:p>
        </w:tc>
        <w:tc>
          <w:p>
            <w:pPr>
              <w:pStyle w:val="Compact"/>
              <w:jc w:val="right"/>
            </w:pPr>
            <w:r>
              <w:t xml:space="preserve">275</w:t>
            </w:r>
          </w:p>
        </w:tc>
        <w:tc>
          <w:p>
            <w:pPr>
              <w:pStyle w:val="Compact"/>
              <w:jc w:val="right"/>
            </w:pPr>
            <w:r>
              <w:t xml:space="preserve">80.7</w:t>
            </w:r>
          </w:p>
        </w:tc>
        <w:tc>
          <w:p>
            <w:pPr>
              <w:pStyle w:val="Compact"/>
              <w:jc w:val="right"/>
            </w:pPr>
            <w:r>
              <w:t xml:space="preserve">8.0</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1.8 (0.2, 5.1)</w:t>
            </w:r>
          </w:p>
        </w:tc>
        <w:tc>
          <w:p>
            <w:pPr>
              <w:pStyle w:val="Compact"/>
              <w:jc w:val="right"/>
            </w:pPr>
            <w:r>
              <w:t xml:space="preserve">189</w:t>
            </w:r>
          </w:p>
        </w:tc>
        <w:tc>
          <w:p>
            <w:pPr>
              <w:pStyle w:val="Compact"/>
              <w:jc w:val="right"/>
            </w:pPr>
            <w:r>
              <w:t xml:space="preserve">46.6</w:t>
            </w:r>
          </w:p>
        </w:tc>
        <w:tc>
          <w:p>
            <w:pPr>
              <w:pStyle w:val="Compact"/>
              <w:jc w:val="right"/>
            </w:pPr>
            <w:r>
              <w:t xml:space="preserve">16.9</w:t>
            </w:r>
          </w:p>
        </w:tc>
        <w:tc>
          <w:p>
            <w:pPr>
              <w:pStyle w:val="Compact"/>
              <w:jc w:val="right"/>
            </w:pPr>
            <w:r>
              <w:t xml:space="preserve">36.5</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26.4 (19.6, 32.1)</w:t>
            </w:r>
          </w:p>
        </w:tc>
        <w:tc>
          <w:p>
            <w:pPr>
              <w:pStyle w:val="Compact"/>
              <w:jc w:val="right"/>
            </w:pPr>
            <w:r>
              <w:t xml:space="preserve">275</w:t>
            </w:r>
          </w:p>
        </w:tc>
        <w:tc>
          <w:p>
            <w:pPr>
              <w:pStyle w:val="Compact"/>
              <w:jc w:val="right"/>
            </w:pPr>
            <w:r>
              <w:t xml:space="preserve">61.5</w:t>
            </w:r>
          </w:p>
        </w:tc>
        <w:tc>
          <w:p>
            <w:pPr>
              <w:pStyle w:val="Compact"/>
              <w:jc w:val="right"/>
            </w:pPr>
            <w:r>
              <w:t xml:space="preserve">13.5</w:t>
            </w:r>
          </w:p>
        </w:tc>
        <w:tc>
          <w:p>
            <w:pPr>
              <w:pStyle w:val="Compact"/>
              <w:jc w:val="right"/>
            </w:pPr>
            <w:r>
              <w:t xml:space="preserve">25.1</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221</w:t>
            </w:r>
          </w:p>
        </w:tc>
        <w:tc>
          <w:p>
            <w:pPr>
              <w:pStyle w:val="Compact"/>
              <w:jc w:val="right"/>
            </w:pPr>
            <w:r>
              <w:t xml:space="preserve">73.3</w:t>
            </w:r>
          </w:p>
        </w:tc>
        <w:tc>
          <w:p>
            <w:pPr>
              <w:pStyle w:val="Compact"/>
              <w:jc w:val="right"/>
            </w:pPr>
            <w:r>
              <w:t xml:space="preserve">23.5</w:t>
            </w:r>
          </w:p>
        </w:tc>
        <w:tc>
          <w:p>
            <w:pPr>
              <w:pStyle w:val="Compact"/>
              <w:jc w:val="right"/>
            </w:pPr>
            <w:r>
              <w:t xml:space="preserve">3.2</w:t>
            </w:r>
          </w:p>
        </w:tc>
        <w:tc>
          <w:p>
            <w:pPr>
              <w:pStyle w:val="Compact"/>
              <w:jc w:val="right"/>
            </w:pPr>
            <w:r>
              <w:t xml:space="preserve">6.3</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227</w:t>
            </w:r>
          </w:p>
        </w:tc>
        <w:tc>
          <w:p>
            <w:pPr>
              <w:pStyle w:val="Compact"/>
              <w:jc w:val="right"/>
            </w:pPr>
            <w:r>
              <w:t xml:space="preserve">79.3</w:t>
            </w:r>
          </w:p>
        </w:tc>
        <w:tc>
          <w:p>
            <w:pPr>
              <w:pStyle w:val="Compact"/>
              <w:jc w:val="right"/>
            </w:pPr>
            <w:r>
              <w:t xml:space="preserve">8.4</w:t>
            </w:r>
          </w:p>
        </w:tc>
        <w:tc>
          <w:p>
            <w:pPr>
              <w:pStyle w:val="Compact"/>
              <w:jc w:val="right"/>
            </w:pPr>
            <w:r>
              <w:t xml:space="preserve">12.3</w:t>
            </w:r>
          </w:p>
        </w:tc>
        <w:tc>
          <w:p>
            <w:pPr>
              <w:pStyle w:val="Compact"/>
              <w:jc w:val="right"/>
            </w:pPr>
            <w:r>
              <w:t xml:space="preserve">14.5</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68"/>
    <w:bookmarkStart w:id="136" w:name="references"/>
    <w:p>
      <w:pPr>
        <w:pStyle w:val="Heading1"/>
      </w:pPr>
      <w:r>
        <w:t xml:space="preserve">References</w:t>
      </w:r>
    </w:p>
    <w:bookmarkStart w:id="135" w:name="refs"/>
    <w:bookmarkStart w:id="69" w:name="ref-Beck21"/>
    <w:p>
      <w:pPr>
        <w:pStyle w:val="Bibliography"/>
      </w:pPr>
      <w:r>
        <w:t xml:space="preserve">Beck, M., Schrandt, M., Wessel, M., Sherwood, E., Raulerson, G., Best, B., 2021. Tbeptools: Data and indicators for the tampa bay estuary program.</w:t>
      </w:r>
    </w:p>
    <w:bookmarkEnd w:id="69"/>
    <w:bookmarkStart w:id="70" w:name="ref-Beck21b"/>
    <w:p>
      <w:pPr>
        <w:pStyle w:val="Bibliography"/>
      </w:pPr>
      <w:r>
        <w:t xml:space="preserve">Beck, M.W., 2021. Ggord: Ordination plots with ggplot2.</w:t>
      </w:r>
    </w:p>
    <w:bookmarkEnd w:id="70"/>
    <w:bookmarkStart w:id="72"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1">
        <w:r>
          <w:rPr>
            <w:rStyle w:val="Hyperlink"/>
          </w:rPr>
          <w:t xml:space="preserve">https://doi.org/10.18785/gcr.2901.02</w:t>
        </w:r>
      </w:hyperlink>
    </w:p>
    <w:bookmarkEnd w:id="72"/>
    <w:bookmarkStart w:id="74"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73">
        <w:r>
          <w:rPr>
            <w:rStyle w:val="Hyperlink"/>
          </w:rPr>
          <w:t xml:space="preserve">https://doi.org/10.1007/s12237-017-0287-1</w:t>
        </w:r>
      </w:hyperlink>
    </w:p>
    <w:bookmarkEnd w:id="74"/>
    <w:bookmarkStart w:id="75" w:name="ref-Bryan20"/>
    <w:p>
      <w:pPr>
        <w:pStyle w:val="Bibliography"/>
      </w:pPr>
      <w:r>
        <w:t xml:space="preserve">Bryan, J., 2020. googlesheets4: Access google sheets using the sheets API V4.</w:t>
      </w:r>
    </w:p>
    <w:bookmarkEnd w:id="75"/>
    <w:bookmarkStart w:id="76"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76"/>
    <w:bookmarkStart w:id="78"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77">
        <w:r>
          <w:rPr>
            <w:rStyle w:val="Hyperlink"/>
          </w:rPr>
          <w:t xml:space="preserve">https://doi.org/10.1016/S0265-931X(00)00164-8</w:t>
        </w:r>
      </w:hyperlink>
    </w:p>
    <w:bookmarkEnd w:id="78"/>
    <w:bookmarkStart w:id="79" w:name="ref-DAgostino20"/>
    <w:p>
      <w:pPr>
        <w:pStyle w:val="Bibliography"/>
      </w:pPr>
      <w:r>
        <w:t xml:space="preserve">D’Agostino McGowan, L., Bryan, J., 2020. Googledrive: An interface to google drive.</w:t>
      </w:r>
    </w:p>
    <w:bookmarkEnd w:id="79"/>
    <w:bookmarkStart w:id="80"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80"/>
    <w:bookmarkStart w:id="81" w:name="ref-tbep1620"/>
    <w:p>
      <w:pPr>
        <w:pStyle w:val="Bibliography"/>
      </w:pPr>
      <w:r>
        <w:t xml:space="preserve">E.T. Sherwood, G. Raulerson, M. Beck, M. Burke, 2020.</w:t>
      </w:r>
      <w:r>
        <w:t xml:space="preserve"> </w:t>
      </w:r>
      <w:r>
        <w:t xml:space="preserve">Tampa Bay Estuary Program: Quality Management Plan</w:t>
      </w:r>
      <w:r>
        <w:t xml:space="preserve"> </w:t>
      </w:r>
      <w:r>
        <w:t xml:space="preserve">(No. 16-20). Tampa Bay Estuary Program, St. Petersburg, Florida.</w:t>
      </w:r>
    </w:p>
    <w:bookmarkEnd w:id="81"/>
    <w:bookmarkStart w:id="83"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82">
        <w:r>
          <w:rPr>
            <w:rStyle w:val="Hyperlink"/>
          </w:rPr>
          <w:t xml:space="preserve">https://doi.org/10.1016/j.marpolbul.2015.10.047</w:t>
        </w:r>
      </w:hyperlink>
    </w:p>
    <w:bookmarkEnd w:id="83"/>
    <w:bookmarkStart w:id="85"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84">
        <w:r>
          <w:rPr>
            <w:rStyle w:val="Hyperlink"/>
          </w:rPr>
          <w:t xml:space="preserve">https://doi.org/10.1016/j.marpolbul.2010.11.017</w:t>
        </w:r>
      </w:hyperlink>
    </w:p>
    <w:bookmarkEnd w:id="85"/>
    <w:bookmarkStart w:id="87"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86">
        <w:r>
          <w:rPr>
            <w:rStyle w:val="Hyperlink"/>
          </w:rPr>
          <w:t xml:space="preserve">https://doi.org/10.1007/s00267-005-0079-4</w:t>
        </w:r>
      </w:hyperlink>
    </w:p>
    <w:bookmarkEnd w:id="87"/>
    <w:bookmarkStart w:id="88"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88"/>
    <w:bookmarkStart w:id="90"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89">
        <w:r>
          <w:rPr>
            <w:rStyle w:val="Hyperlink"/>
          </w:rPr>
          <w:t xml:space="preserve">https://doi.org/10.1016/j.ecss.2014.10.003</w:t>
        </w:r>
      </w:hyperlink>
    </w:p>
    <w:bookmarkEnd w:id="90"/>
    <w:bookmarkStart w:id="91"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91"/>
    <w:bookmarkStart w:id="92" w:name="ref-Hollander13"/>
    <w:p>
      <w:pPr>
        <w:pStyle w:val="Bibliography"/>
      </w:pPr>
      <w:r>
        <w:t xml:space="preserve">Hollander, M., Wolfe, D.A., Chicken, E., 2013. Nonparametric statistical methods. John Wiley &amp; Sons.</w:t>
      </w:r>
    </w:p>
    <w:bookmarkEnd w:id="92"/>
    <w:bookmarkStart w:id="93" w:name="ref-Holm79"/>
    <w:p>
      <w:pPr>
        <w:pStyle w:val="Bibliography"/>
      </w:pPr>
      <w:r>
        <w:t xml:space="preserve">Holm, S., 1979. A simple sequentially rejective multiple test procedure. Scandinavian journal of statistics 65–70.</w:t>
      </w:r>
    </w:p>
    <w:bookmarkEnd w:id="93"/>
    <w:bookmarkStart w:id="95"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94">
        <w:r>
          <w:rPr>
            <w:rStyle w:val="Hyperlink"/>
          </w:rPr>
          <w:t xml:space="preserve">https://doi.org/10.4319/lo.2006.51.1_part_2.0364</w:t>
        </w:r>
      </w:hyperlink>
    </w:p>
    <w:bookmarkEnd w:id="95"/>
    <w:bookmarkStart w:id="96"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96"/>
    <w:bookmarkStart w:id="98" w:name="ref-Hudson11"/>
    <w:p>
      <w:pPr>
        <w:pStyle w:val="Bibliography"/>
      </w:pPr>
      <w:r>
        <w:t xml:space="preserve">Hudson-Edwards, K.A., Jamieson, H.E., Lottermoser, B.G., 2011. Mine wastes: Past, present, future. Elements 7, 375–380.</w:t>
      </w:r>
      <w:r>
        <w:t xml:space="preserve"> </w:t>
      </w:r>
      <w:hyperlink r:id="rId97">
        <w:r>
          <w:rPr>
            <w:rStyle w:val="Hyperlink"/>
          </w:rPr>
          <w:t xml:space="preserve">https://doi.org/10.2113/gselements.7.6.375</w:t>
        </w:r>
      </w:hyperlink>
    </w:p>
    <w:bookmarkEnd w:id="98"/>
    <w:bookmarkStart w:id="99"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99"/>
    <w:bookmarkStart w:id="100"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00"/>
    <w:bookmarkStart w:id="101" w:name="ref-Janicki08"/>
    <w:p>
      <w:pPr>
        <w:pStyle w:val="Bibliography"/>
      </w:pPr>
      <w:r>
        <w:t xml:space="preserve">Janicki Environmental, Inc., 2008. Estimation of nitrogen loading from residential irrigation. Tampa Bay Estuary Program, St. Petersburg, Florida.</w:t>
      </w:r>
    </w:p>
    <w:bookmarkEnd w:id="101"/>
    <w:bookmarkStart w:id="102"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02"/>
    <w:bookmarkStart w:id="103" w:name="ref-Lee20"/>
    <w:p>
      <w:pPr>
        <w:pStyle w:val="Bibliography"/>
      </w:pPr>
      <w:r>
        <w:t xml:space="preserve">Lee, L., 2020. NADA: Nondetects and data analysis for environmental data.</w:t>
      </w:r>
    </w:p>
    <w:bookmarkEnd w:id="103"/>
    <w:bookmarkStart w:id="105"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04">
        <w:r>
          <w:rPr>
            <w:rStyle w:val="Hyperlink"/>
          </w:rPr>
          <w:t xml:space="preserve">https://doi.org/10.18637/jss.v025.i01</w:t>
        </w:r>
      </w:hyperlink>
    </w:p>
    <w:bookmarkEnd w:id="105"/>
    <w:bookmarkStart w:id="106"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106"/>
    <w:bookmarkStart w:id="108" w:name="ref-Nixon95"/>
    <w:p>
      <w:pPr>
        <w:pStyle w:val="Bibliography"/>
      </w:pPr>
      <w:r>
        <w:t xml:space="preserve">Nixon, S.W., 1995. Coastal marine eutrophication: A definition, social causes, and future concerns. Ophelia 41, 199–219.</w:t>
      </w:r>
      <w:r>
        <w:t xml:space="preserve"> </w:t>
      </w:r>
      <w:hyperlink r:id="rId107">
        <w:r>
          <w:rPr>
            <w:rStyle w:val="Hyperlink"/>
          </w:rPr>
          <w:t xml:space="preserve">https://doi.org/10.1080/00785236.1995.10422044</w:t>
        </w:r>
      </w:hyperlink>
    </w:p>
    <w:bookmarkEnd w:id="108"/>
    <w:bookmarkStart w:id="109"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09"/>
    <w:bookmarkStart w:id="111"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10">
        <w:r>
          <w:rPr>
            <w:rStyle w:val="Hyperlink"/>
          </w:rPr>
          <w:t xml:space="preserve">https://doi.org/10.32614/RJ-2018-009</w:t>
        </w:r>
      </w:hyperlink>
    </w:p>
    <w:bookmarkEnd w:id="111"/>
    <w:bookmarkStart w:id="113"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12">
        <w:r>
          <w:rPr>
            <w:rStyle w:val="Hyperlink"/>
          </w:rPr>
          <w:t xml:space="preserve">https://doi.org/10.1016/j.scitotenv.2016.02.070</w:t>
        </w:r>
      </w:hyperlink>
    </w:p>
    <w:bookmarkEnd w:id="113"/>
    <w:bookmarkStart w:id="115"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14">
        <w:r>
          <w:rPr>
            <w:rStyle w:val="Hyperlink"/>
          </w:rPr>
          <w:t xml:space="preserve">https://doi.org/10.1016/j.apgeochem.2010.02.003</w:t>
        </w:r>
      </w:hyperlink>
    </w:p>
    <w:bookmarkEnd w:id="115"/>
    <w:bookmarkStart w:id="117"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16">
        <w:r>
          <w:rPr>
            <w:rStyle w:val="Hyperlink"/>
          </w:rPr>
          <w:t xml:space="preserve">https://doi.org/10.1016/j.atmosenv.2012.12.030</w:t>
        </w:r>
      </w:hyperlink>
    </w:p>
    <w:bookmarkEnd w:id="117"/>
    <w:bookmarkStart w:id="118" w:name="ref-RCT20"/>
    <w:p>
      <w:pPr>
        <w:pStyle w:val="Bibliography"/>
      </w:pPr>
      <w:r>
        <w:t xml:space="preserve">R Core Team, 2020. R: A language and environment for statistical computing, v4.0.3. R Foundation for Statistical Computing, Vienna, Austria.</w:t>
      </w:r>
    </w:p>
    <w:bookmarkEnd w:id="118"/>
    <w:bookmarkStart w:id="120"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19">
        <w:r>
          <w:rPr>
            <w:rStyle w:val="Hyperlink"/>
          </w:rPr>
          <w:t xml:space="preserve">https://doi.org/10.1007/s11270-013-1742-7</w:t>
        </w:r>
      </w:hyperlink>
    </w:p>
    <w:bookmarkEnd w:id="120"/>
    <w:bookmarkStart w:id="122"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21">
        <w:r>
          <w:rPr>
            <w:rStyle w:val="Hyperlink"/>
          </w:rPr>
          <w:t xml:space="preserve">https://doi.org/10.1007/s00267-013-0179-5</w:t>
        </w:r>
      </w:hyperlink>
    </w:p>
    <w:bookmarkEnd w:id="122"/>
    <w:bookmarkStart w:id="124"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23">
        <w:r>
          <w:rPr>
            <w:rStyle w:val="Hyperlink"/>
          </w:rPr>
          <w:t xml:space="preserve">https://doi.org/10.1353/sgo.2017.0026</w:t>
        </w:r>
      </w:hyperlink>
    </w:p>
    <w:bookmarkEnd w:id="124"/>
    <w:bookmarkStart w:id="125"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25"/>
    <w:bookmarkStart w:id="126"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126"/>
    <w:bookmarkStart w:id="128"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27">
        <w:r>
          <w:rPr>
            <w:rStyle w:val="Hyperlink"/>
          </w:rPr>
          <w:t xml:space="preserve">https://doi.org/10.1016/j.jenvman.2009.03.007</w:t>
        </w:r>
      </w:hyperlink>
    </w:p>
    <w:bookmarkEnd w:id="128"/>
    <w:bookmarkStart w:id="130"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129">
        <w:r>
          <w:rPr>
            <w:rStyle w:val="Hyperlink"/>
          </w:rPr>
          <w:t xml:space="preserve">https://doi.org/10.1016/j.marpolbul.2020.111247</w:t>
        </w:r>
      </w:hyperlink>
    </w:p>
    <w:bookmarkEnd w:id="130"/>
    <w:bookmarkStart w:id="132"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31">
        <w:r>
          <w:rPr>
            <w:rStyle w:val="Hyperlink"/>
          </w:rPr>
          <w:t xml:space="preserve">https://doi.org/10.4319/lo.1997.42.5_part_2.1105</w:t>
        </w:r>
      </w:hyperlink>
    </w:p>
    <w:bookmarkEnd w:id="132"/>
    <w:bookmarkStart w:id="134"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33">
        <w:r>
          <w:rPr>
            <w:rStyle w:val="Hyperlink"/>
          </w:rPr>
          <w:t xml:space="preserve">https://doi.org/10.21105/joss.01686</w:t>
        </w:r>
      </w:hyperlink>
    </w:p>
    <w:bookmarkEnd w:id="134"/>
    <w:bookmarkEnd w:id="135"/>
    <w:bookmarkEnd w:id="136"/>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3" Target="media/rId63.jpg" /><Relationship Type="http://schemas.openxmlformats.org/officeDocument/2006/relationships/image" Id="rId62" Target="media/rId62.jpg" /><Relationship Type="http://schemas.openxmlformats.org/officeDocument/2006/relationships/image" Id="rId56" Target="media/rId56.jpg" /><Relationship Type="http://schemas.openxmlformats.org/officeDocument/2006/relationships/image" Id="rId57" Target="media/rId57.jpg" /><Relationship Type="http://schemas.openxmlformats.org/officeDocument/2006/relationships/image" Id="rId60" Target="media/rId60.jpg" /><Relationship Type="http://schemas.openxmlformats.org/officeDocument/2006/relationships/image" Id="rId61" Target="media/rId61.jpg" /><Relationship Type="http://schemas.openxmlformats.org/officeDocument/2006/relationships/image" Id="rId58" Target="media/rId58.jpg" /><Relationship Type="http://schemas.openxmlformats.org/officeDocument/2006/relationships/image" Id="rId59" Target="media/rId59.jpg" /><Relationship Type="http://schemas.openxmlformats.org/officeDocument/2006/relationships/image" Id="rId64" Target="media/rId64.jpg" /><Relationship Type="http://schemas.openxmlformats.org/officeDocument/2006/relationships/hyperlink" Id="rId86" Target="https://doi.org/10.1007/s00267-005-0079-4" TargetMode="External" /><Relationship Type="http://schemas.openxmlformats.org/officeDocument/2006/relationships/hyperlink" Id="rId121" Target="https://doi.org/10.1007/s00267-013-0179-5" TargetMode="External" /><Relationship Type="http://schemas.openxmlformats.org/officeDocument/2006/relationships/hyperlink" Id="rId119" Target="https://doi.org/10.1007/s11270-013-1742-7" TargetMode="External" /><Relationship Type="http://schemas.openxmlformats.org/officeDocument/2006/relationships/hyperlink" Id="rId73" Target="https://doi.org/10.1007/s12237-017-0287-1" TargetMode="External" /><Relationship Type="http://schemas.openxmlformats.org/officeDocument/2006/relationships/hyperlink" Id="rId77" Target="https://doi.org/10.1016/S0265-931X(00)00164-8" TargetMode="External" /><Relationship Type="http://schemas.openxmlformats.org/officeDocument/2006/relationships/hyperlink" Id="rId114" Target="https://doi.org/10.1016/j.apgeochem.2010.02.003" TargetMode="External" /><Relationship Type="http://schemas.openxmlformats.org/officeDocument/2006/relationships/hyperlink" Id="rId116" Target="https://doi.org/10.1016/j.atmosenv.2012.12.030" TargetMode="External" /><Relationship Type="http://schemas.openxmlformats.org/officeDocument/2006/relationships/hyperlink" Id="rId89" Target="https://doi.org/10.1016/j.ecss.2014.10.003" TargetMode="External" /><Relationship Type="http://schemas.openxmlformats.org/officeDocument/2006/relationships/hyperlink" Id="rId127" Target="https://doi.org/10.1016/j.jenvman.2009.03.007" TargetMode="External" /><Relationship Type="http://schemas.openxmlformats.org/officeDocument/2006/relationships/hyperlink" Id="rId84" Target="https://doi.org/10.1016/j.marpolbul.2010.11.017" TargetMode="External" /><Relationship Type="http://schemas.openxmlformats.org/officeDocument/2006/relationships/hyperlink" Id="rId82" Target="https://doi.org/10.1016/j.marpolbul.2015.10.047" TargetMode="External" /><Relationship Type="http://schemas.openxmlformats.org/officeDocument/2006/relationships/hyperlink" Id="rId129" Target="https://doi.org/10.1016/j.marpolbul.2020.111247" TargetMode="External" /><Relationship Type="http://schemas.openxmlformats.org/officeDocument/2006/relationships/hyperlink" Id="rId112" Target="https://doi.org/10.1016/j.scitotenv.2016.02.070" TargetMode="External" /><Relationship Type="http://schemas.openxmlformats.org/officeDocument/2006/relationships/hyperlink" Id="rId107" Target="https://doi.org/10.1080/00785236.1995.10422044" TargetMode="External" /><Relationship Type="http://schemas.openxmlformats.org/officeDocument/2006/relationships/hyperlink" Id="rId123" Target="https://doi.org/10.1353/sgo.2017.0026" TargetMode="External" /><Relationship Type="http://schemas.openxmlformats.org/officeDocument/2006/relationships/hyperlink" Id="rId104" Target="https://doi.org/10.18637/jss.v025.i01" TargetMode="External" /><Relationship Type="http://schemas.openxmlformats.org/officeDocument/2006/relationships/hyperlink" Id="rId71" Target="https://doi.org/10.18785/gcr.2901.02" TargetMode="External" /><Relationship Type="http://schemas.openxmlformats.org/officeDocument/2006/relationships/hyperlink" Id="rId133" Target="https://doi.org/10.21105/joss.01686" TargetMode="External" /><Relationship Type="http://schemas.openxmlformats.org/officeDocument/2006/relationships/hyperlink" Id="rId97" Target="https://doi.org/10.2113/gselements.7.6.375" TargetMode="External" /><Relationship Type="http://schemas.openxmlformats.org/officeDocument/2006/relationships/hyperlink" Id="rId110" Target="https://doi.org/10.32614/RJ-2018-009" TargetMode="External" /><Relationship Type="http://schemas.openxmlformats.org/officeDocument/2006/relationships/hyperlink" Id="rId131" Target="https://doi.org/10.4319/lo.1997.42.5_part_2.1105" TargetMode="External" /><Relationship Type="http://schemas.openxmlformats.org/officeDocument/2006/relationships/hyperlink" Id="rId94"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66"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52" Target="https://tbep-tech.github.io/piney-point-analysis/spills"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5" Target="https://www.ncei.noaa.gov/maps/habsos" TargetMode="External" /><Relationship Type="http://schemas.openxmlformats.org/officeDocument/2006/relationships/hyperlink" Id="rId53" Target="https://www.wrri.msstate.edu/pdf/2016dillon_finalreport.pdf"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86" Target="https://doi.org/10.1007/s00267-005-0079-4" TargetMode="External" /><Relationship Type="http://schemas.openxmlformats.org/officeDocument/2006/relationships/hyperlink" Id="rId121" Target="https://doi.org/10.1007/s00267-013-0179-5" TargetMode="External" /><Relationship Type="http://schemas.openxmlformats.org/officeDocument/2006/relationships/hyperlink" Id="rId119" Target="https://doi.org/10.1007/s11270-013-1742-7" TargetMode="External" /><Relationship Type="http://schemas.openxmlformats.org/officeDocument/2006/relationships/hyperlink" Id="rId73" Target="https://doi.org/10.1007/s12237-017-0287-1" TargetMode="External" /><Relationship Type="http://schemas.openxmlformats.org/officeDocument/2006/relationships/hyperlink" Id="rId77" Target="https://doi.org/10.1016/S0265-931X(00)00164-8" TargetMode="External" /><Relationship Type="http://schemas.openxmlformats.org/officeDocument/2006/relationships/hyperlink" Id="rId114" Target="https://doi.org/10.1016/j.apgeochem.2010.02.003" TargetMode="External" /><Relationship Type="http://schemas.openxmlformats.org/officeDocument/2006/relationships/hyperlink" Id="rId116" Target="https://doi.org/10.1016/j.atmosenv.2012.12.030" TargetMode="External" /><Relationship Type="http://schemas.openxmlformats.org/officeDocument/2006/relationships/hyperlink" Id="rId89" Target="https://doi.org/10.1016/j.ecss.2014.10.003" TargetMode="External" /><Relationship Type="http://schemas.openxmlformats.org/officeDocument/2006/relationships/hyperlink" Id="rId127" Target="https://doi.org/10.1016/j.jenvman.2009.03.007" TargetMode="External" /><Relationship Type="http://schemas.openxmlformats.org/officeDocument/2006/relationships/hyperlink" Id="rId84" Target="https://doi.org/10.1016/j.marpolbul.2010.11.017" TargetMode="External" /><Relationship Type="http://schemas.openxmlformats.org/officeDocument/2006/relationships/hyperlink" Id="rId82" Target="https://doi.org/10.1016/j.marpolbul.2015.10.047" TargetMode="External" /><Relationship Type="http://schemas.openxmlformats.org/officeDocument/2006/relationships/hyperlink" Id="rId129" Target="https://doi.org/10.1016/j.marpolbul.2020.111247" TargetMode="External" /><Relationship Type="http://schemas.openxmlformats.org/officeDocument/2006/relationships/hyperlink" Id="rId112" Target="https://doi.org/10.1016/j.scitotenv.2016.02.070" TargetMode="External" /><Relationship Type="http://schemas.openxmlformats.org/officeDocument/2006/relationships/hyperlink" Id="rId107" Target="https://doi.org/10.1080/00785236.1995.10422044" TargetMode="External" /><Relationship Type="http://schemas.openxmlformats.org/officeDocument/2006/relationships/hyperlink" Id="rId123" Target="https://doi.org/10.1353/sgo.2017.0026" TargetMode="External" /><Relationship Type="http://schemas.openxmlformats.org/officeDocument/2006/relationships/hyperlink" Id="rId104" Target="https://doi.org/10.18637/jss.v025.i01" TargetMode="External" /><Relationship Type="http://schemas.openxmlformats.org/officeDocument/2006/relationships/hyperlink" Id="rId71" Target="https://doi.org/10.18785/gcr.2901.02" TargetMode="External" /><Relationship Type="http://schemas.openxmlformats.org/officeDocument/2006/relationships/hyperlink" Id="rId133" Target="https://doi.org/10.21105/joss.01686" TargetMode="External" /><Relationship Type="http://schemas.openxmlformats.org/officeDocument/2006/relationships/hyperlink" Id="rId97" Target="https://doi.org/10.2113/gselements.7.6.375" TargetMode="External" /><Relationship Type="http://schemas.openxmlformats.org/officeDocument/2006/relationships/hyperlink" Id="rId110" Target="https://doi.org/10.32614/RJ-2018-009" TargetMode="External" /><Relationship Type="http://schemas.openxmlformats.org/officeDocument/2006/relationships/hyperlink" Id="rId131" Target="https://doi.org/10.4319/lo.1997.42.5_part_2.1105" TargetMode="External" /><Relationship Type="http://schemas.openxmlformats.org/officeDocument/2006/relationships/hyperlink" Id="rId94"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66"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52" Target="https://tbep-tech.github.io/piney-point-analysis/spills"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5" Target="https://www.ncei.noaa.gov/maps/habsos" TargetMode="External" /><Relationship Type="http://schemas.openxmlformats.org/officeDocument/2006/relationships/hyperlink" Id="rId53" Target="https://www.wrri.msstate.edu/pdf/2016dillon_finalreport.pdf"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Maya C. Burke (mburke@tbep.org), Emma E. Dontis (edontis@co.pinellas.fl.us), Jessica Lewis (jlewis@tbep.org), Miles Medina (miles.medina@ufl.edu), Elise Morrison (elise.morrison@essie.ufl.edu), Mark Rains (Mark.Rains@floridadep.gov), Gary E. Raulerson (graulerson@tbep.org), Sheila Scolaro (sscolar@tbep.org), Ed T. Sherwood (esherwood@tbep.org), David Tomasko (dave@sarasotabay.org), Joe Whalen (jwhalen@tbep.org)</dc:creator>
  <cp:keywords/>
  <dcterms:created xsi:type="dcterms:W3CDTF">2021-09-02T15:31:11Z</dcterms:created>
  <dcterms:modified xsi:type="dcterms:W3CDTF">2021-09-02T15:31:11Z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