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jpg" ContentType="image/jpeg"/>
  <Override PartName="/word/media/rId44.jpg" ContentType="image/jpeg"/>
  <Override PartName="/word/media/rId48.jpg" ContentType="image/jpeg"/>
  <Override PartName="/word/media/rId45.jpg" ContentType="image/jpeg"/>
  <Override PartName="/word/media/rId49.jpg" ContentType="image/jpeg"/>
  <Override PartName="/word/media/rId50.jpg" ContentType="image/jpeg"/>
  <Override PartName="/word/media/rId46.jpg" ContentType="image/jpeg"/>
  <Override PartName="/word/media/rId47.jpg" ContentType="image/jpeg"/>
  <Override PartName="/word/media/rId5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2021-08-23 15:12:35</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9" w:name="methods"/>
    <w:p>
      <w:pPr>
        <w:pStyle w:val="Heading1"/>
      </w:pPr>
      <w:r>
        <w:t xml:space="preserve">Methods</w:t>
      </w:r>
    </w:p>
    <w:bookmarkStart w:id="3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from the stack to be released into Bishop Harbor, with an estimated 15.4 tons fo nitrogen (pers. comm. D. Eckenrod, USEPA).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the existing holding pond at Piney Point, further reducing holding capacity leading to an emergency discharge that released 169 million gallons of dredged saltwater slurry and 3.5 tons of nitrogen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Discharges from Piney Point did not occur again until 2021.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2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a stormwater management system (under NPDES permit) that emptied at Port Manatee. This was done with the assumption that backwater habitats (e.g., Bishop Harbor) may be spared the impacts of additional effluent from the site. From March 30th to April 9th, approximately 215 million gallons of wastewater were released to lower Tampa Bay. Over this ten day period, an estimated 205 tons of nitrogen were delivered to the bay, exceeding the annual assimilative nutrient capacity of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0"/>
    <w:bookmarkStart w:id="3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w:t>
      </w:r>
    </w:p>
    <w:p>
      <w:pPr>
        <w:pStyle w:val="BodyText"/>
      </w:pPr>
      <w:r>
        <w:t xml:space="preserve">Established laboratory and field sample protocols for all survey methods were based on an</w:t>
      </w:r>
      <w:r>
        <w:t xml:space="preserve"> </w:t>
      </w:r>
      <w:hyperlink r:id="rId3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form inorganic nitrogen entering the day.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oc Mexico and occuring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3">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3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coverage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35"/>
    <w:bookmarkStart w:id="37"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a every monitoring parameter at a response location and the next closest station was used as reference. Long-term water quality data are available from the University of South Florida Water Atlas (</w:t>
      </w:r>
      <w:hyperlink r:id="rId36">
        <w:r>
          <w:rPr>
            <w:rStyle w:val="Hyperlink"/>
          </w:rPr>
          <w:t xml:space="preserve">https://wateratlas.usf.edu/</w:t>
        </w:r>
      </w:hyperlink>
      <w:r>
        <w:t xml:space="preserve">).</w:t>
      </w:r>
    </w:p>
    <w:bookmarkEnd w:id="37"/>
    <w:bookmarkStart w:id="38"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including the entire suite of water quality data, seagrass frequency occurrences, and macroalgae frequency occurrences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 For statistical tests using water quality data, only the monitoring results from FDEP were used for analysis given the consistency of sample location and collection date compared to the remainder of the data obtained from other partners.</w:t>
      </w:r>
    </w:p>
    <w:bookmarkEnd w:id="38"/>
    <w:bookmarkEnd w:id="39"/>
    <w:bookmarkStart w:id="40" w:name="results"/>
    <w:p>
      <w:pPr>
        <w:pStyle w:val="Heading1"/>
      </w:pPr>
      <w:r>
        <w:t xml:space="preserve">Results</w:t>
      </w:r>
    </w:p>
    <w:p>
      <w:pPr>
        <w:pStyle w:val="FirstParagraph"/>
      </w:pPr>
      <w:r>
        <w:t xml:space="preserve">A general narrative of events in Tampa Bay following release of wastewater from Piney Point on March 30th is shown in Figure</w:t>
      </w:r>
      <w:r>
        <w:t xml:space="preserve"> </w:t>
      </w:r>
      <w:r>
        <w:t xml:space="preserve">2</w:t>
      </w:r>
      <w:r>
        <w:t xml:space="preserve">. These events are supported by data summaries and results of statistical tests described below. After the the discharge stopped on April 9th, an initial phytoplankton response was observed near Piney Point peaking around mid-April (Area 1, Figure</w:t>
      </w:r>
      <w:r>
        <w:t xml:space="preserve"> </w:t>
      </w:r>
      <w:r>
        <w:t xml:space="preserve">??</w:t>
      </w:r>
      <w:r>
        <w:t xml:space="preserve">b). Taxa from the Bacillariophyta phylum (diatoms) were dominant in April, with a maximum chlorophyll concentration of 265 ug/L, although median concentrations for each week in April were less than 10 ug/L. The inition diatom bloom did not perist past April. On April 20th,</w:t>
      </w:r>
      <w:r>
        <w:t xml:space="preserve"> </w:t>
      </w:r>
      <w:r>
        <w:rPr>
          <w:iCs/>
          <w:i/>
        </w:rPr>
        <w:t xml:space="preserve">K. brevis</w:t>
      </w:r>
      <w:r>
        <w:t xml:space="preserve"> </w:t>
      </w:r>
      <w:r>
        <w:t xml:space="preserve">was first observed near Anna Maria Sound at the mouth of Tampa Bay and reached bloom concentrations by May 23rd, although observations were limited to lower Tampa Bay. Also during May, increased observations of</w:t>
      </w:r>
      <w:r>
        <w:t xml:space="preserve"> </w:t>
      </w:r>
      <w:r>
        <w:rPr>
          <w:iCs/>
          <w:i/>
        </w:rPr>
        <w:t xml:space="preserve">Lyngbya sp.</w:t>
      </w:r>
      <w:r>
        <w:t xml:space="preserve"> </w:t>
      </w:r>
      <w:r>
        <w:t xml:space="preserve">(a macroalgal cyanobacteria)</w:t>
      </w:r>
    </w:p>
    <w:p>
      <w:pPr>
        <w:numPr>
          <w:ilvl w:val="0"/>
          <w:numId w:val="1001"/>
        </w:numPr>
      </w:pPr>
      <w:r>
        <w:t xml:space="preserve">Figure</w:t>
      </w:r>
      <w:r>
        <w:t xml:space="preserve"> </w:t>
      </w:r>
      <w:r>
        <w:t xml:space="preserve">2</w:t>
      </w:r>
      <w:r>
        <w:t xml:space="preserve"> </w:t>
      </w:r>
      <w:r>
        <w:t xml:space="preserve">timeline of events</w:t>
      </w:r>
    </w:p>
    <w:p>
      <w:pPr>
        <w:numPr>
          <w:ilvl w:val="0"/>
          <w:numId w:val="1001"/>
        </w:numPr>
      </w:pPr>
      <w:r>
        <w:t xml:space="preserve">Figure</w:t>
      </w:r>
      <w:r>
        <w:t xml:space="preserve"> </w:t>
      </w:r>
      <w:r>
        <w:t xml:space="preserve">3</w:t>
      </w:r>
      <w:r>
        <w:t xml:space="preserve"> </w:t>
      </w:r>
      <w:r>
        <w:t xml:space="preserve">map of water quality observations</w:t>
      </w:r>
    </w:p>
    <w:p>
      <w:pPr>
        <w:numPr>
          <w:ilvl w:val="0"/>
          <w:numId w:val="1001"/>
        </w:numPr>
      </w:pPr>
      <w:r>
        <w:t xml:space="preserve">Figure</w:t>
      </w:r>
      <w:r>
        <w:t xml:space="preserve"> </w:t>
      </w:r>
      <w:r>
        <w:t xml:space="preserve">4</w:t>
      </w:r>
      <w:r>
        <w:t xml:space="preserve"> </w:t>
      </w:r>
      <w:r>
        <w:t xml:space="preserve">boxplots by week with +/-1sd for monthly long-term</w:t>
      </w:r>
    </w:p>
    <w:p>
      <w:pPr>
        <w:numPr>
          <w:ilvl w:val="0"/>
          <w:numId w:val="1001"/>
        </w:numPr>
      </w:pPr>
      <w:r>
        <w:t xml:space="preserve">Figure</w:t>
      </w:r>
      <w:r>
        <w:t xml:space="preserve"> </w:t>
      </w:r>
      <w:r>
        <w:t xml:space="preserve">5</w:t>
      </w:r>
      <w:r>
        <w:t xml:space="preserve"> </w:t>
      </w:r>
      <w:r>
        <w:t xml:space="preserve">pca and correlations of all wq variables, by area</w:t>
      </w:r>
    </w:p>
    <w:p>
      <w:pPr>
        <w:numPr>
          <w:ilvl w:val="0"/>
          <w:numId w:val="1001"/>
        </w:numPr>
      </w:pPr>
      <w:r>
        <w:t xml:space="preserve">Figure</w:t>
      </w:r>
      <w:r>
        <w:t xml:space="preserve"> </w:t>
      </w:r>
      <w:r>
        <w:t xml:space="preserve">6</w:t>
      </w:r>
      <w:r>
        <w:t xml:space="preserve"> </w:t>
      </w:r>
      <w:r>
        <w:t xml:space="preserve">seagrass and macroalgae example transect</w:t>
      </w:r>
    </w:p>
    <w:p>
      <w:pPr>
        <w:numPr>
          <w:ilvl w:val="0"/>
          <w:numId w:val="1001"/>
        </w:numPr>
      </w:pPr>
      <w:r>
        <w:t xml:space="preserve">Figure</w:t>
      </w:r>
      <w:r>
        <w:t xml:space="preserve"> </w:t>
      </w:r>
      <w:r>
        <w:t xml:space="preserve">7</w:t>
      </w:r>
      <w:r>
        <w:t xml:space="preserve"> </w:t>
      </w:r>
      <w:r>
        <w:t xml:space="preserve">seagrass, macroalgae frequency occurrence estimates</w:t>
      </w:r>
    </w:p>
    <w:p>
      <w:pPr>
        <w:numPr>
          <w:ilvl w:val="0"/>
          <w:numId w:val="1001"/>
        </w:numPr>
      </w:pPr>
      <w:r>
        <w:t xml:space="preserve">Figure</w:t>
      </w:r>
      <w:r>
        <w:t xml:space="preserve"> </w:t>
      </w:r>
      <w:r>
        <w:t xml:space="preserve">8</w:t>
      </w:r>
      <w:r>
        <w:t xml:space="preserve"> </w:t>
      </w:r>
      <w:r>
        <w:t xml:space="preserve">seagrass, macralgae, wq pca and correlation matrix</w:t>
      </w:r>
    </w:p>
    <w:p>
      <w:pPr>
        <w:numPr>
          <w:ilvl w:val="0"/>
          <w:numId w:val="1001"/>
        </w:numPr>
      </w:pPr>
      <w:r>
        <w:t xml:space="preserve">Figure</w:t>
      </w:r>
      <w:r>
        <w:t xml:space="preserve"> </w:t>
      </w:r>
      <w:r>
        <w:t xml:space="preserve">9</w:t>
      </w:r>
      <w:r>
        <w:t xml:space="preserve"> </w:t>
      </w:r>
      <w:r>
        <w:t xml:space="preserve">red tide historic and current, fish kill reports historic and current</w:t>
      </w:r>
    </w:p>
    <w:p>
      <w:pPr>
        <w:numPr>
          <w:ilvl w:val="0"/>
          <w:numId w:val="1001"/>
        </w:numPr>
      </w:pPr>
      <w:r>
        <w:t xml:space="preserve">Table</w:t>
      </w:r>
      <w:r>
        <w:t xml:space="preserve"> </w:t>
      </w:r>
      <w:r>
        <w:t xml:space="preserve">1</w:t>
      </w:r>
      <w:r>
        <w:t xml:space="preserve"> </w:t>
      </w:r>
      <w:r>
        <w:t xml:space="preserve">Stack characteristics</w:t>
      </w:r>
    </w:p>
    <w:p>
      <w:pPr>
        <w:numPr>
          <w:ilvl w:val="0"/>
          <w:numId w:val="1001"/>
        </w:numPr>
      </w:pPr>
      <w:r>
        <w:t xml:space="preserve">Table</w:t>
      </w:r>
      <w:r>
        <w:t xml:space="preserve"> </w:t>
      </w:r>
      <w:r>
        <w:t xml:space="preserve">2</w:t>
      </w:r>
      <w:r>
        <w:t xml:space="preserve"> </w:t>
      </w:r>
      <w:r>
        <w:t xml:space="preserve">water quality data collected and summarized</w:t>
      </w:r>
    </w:p>
    <w:p>
      <w:pPr>
        <w:numPr>
          <w:ilvl w:val="0"/>
          <w:numId w:val="1001"/>
        </w:numPr>
      </w:pPr>
      <w:r>
        <w:t xml:space="preserve">Table</w:t>
      </w:r>
      <w:r>
        <w:t xml:space="preserve"> </w:t>
      </w:r>
      <w:r>
        <w:t xml:space="preserve">3</w:t>
      </w:r>
      <w:r>
        <w:t xml:space="preserve"> </w:t>
      </w:r>
      <w:r>
        <w:t xml:space="preserve">Multiple comparisons of water quality by month/area, with median/min/max</w:t>
      </w:r>
    </w:p>
    <w:p>
      <w:pPr>
        <w:numPr>
          <w:ilvl w:val="0"/>
          <w:numId w:val="1001"/>
        </w:numPr>
      </w:pPr>
      <w:r>
        <w:t xml:space="preserve">Table</w:t>
      </w:r>
      <w:r>
        <w:t xml:space="preserve"> </w:t>
      </w:r>
      <w:r>
        <w:t xml:space="preserve">4</w:t>
      </w:r>
      <w:r>
        <w:t xml:space="preserve"> </w:t>
      </w:r>
      <w:r>
        <w:t xml:space="preserve">Macroalgae freq. occurrence summaries by month/area, with median/min/max</w:t>
      </w:r>
    </w:p>
    <w:p>
      <w:pPr>
        <w:numPr>
          <w:ilvl w:val="0"/>
          <w:numId w:val="1001"/>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40"/>
    <w:bookmarkStart w:id="42" w:name="discussion"/>
    <w:p>
      <w:pPr>
        <w:pStyle w:val="Heading1"/>
      </w:pPr>
      <w:r>
        <w:t xml:space="preserve">Discussion</w:t>
      </w:r>
    </w:p>
    <w:p>
      <w:pPr>
        <w:numPr>
          <w:ilvl w:val="0"/>
          <w:numId w:val="1002"/>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41">
        <w:r>
          <w:rPr>
            <w:rStyle w:val="Hyperlink"/>
          </w:rPr>
          <w:t xml:space="preserve">link</w:t>
        </w:r>
      </w:hyperlink>
    </w:p>
    <w:p>
      <w:pPr>
        <w:numPr>
          <w:ilvl w:val="0"/>
          <w:numId w:val="1002"/>
        </w:numPr>
        <w:pStyle w:val="Compact"/>
      </w:pPr>
      <w:r>
        <w:t xml:space="preserve">Analysis limitations: no smoking gun but 2021 is an anomaly, additional info (benthic diversity TBD, nekton diversity TBD, large mammals, etc.), response-based monitoring may be biased</w:t>
      </w:r>
    </w:p>
    <w:p>
      <w:pPr>
        <w:numPr>
          <w:ilvl w:val="0"/>
          <w:numId w:val="1002"/>
        </w:numPr>
        <w:pStyle w:val="Compact"/>
      </w:pPr>
      <w:r>
        <w:t xml:space="preserve">Long-term closure plan? NGS-N is treated with spray evaporation system, but concentrations of TN/TP higher than NGS-S (see EO)/</w:t>
      </w:r>
    </w:p>
    <w:p>
      <w:pPr>
        <w:numPr>
          <w:ilvl w:val="0"/>
          <w:numId w:val="1002"/>
        </w:numPr>
        <w:pStyle w:val="Compact"/>
      </w:pPr>
      <w:r>
        <w:t xml:space="preserve">Potential long-term impacts TBD</w:t>
      </w:r>
    </w:p>
    <w:p>
      <w:pPr>
        <w:numPr>
          <w:ilvl w:val="0"/>
          <w:numId w:val="1002"/>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2"/>
        </w:numPr>
        <w:pStyle w:val="Compact"/>
      </w:pPr>
      <w:r>
        <w:t xml:space="preserve">Risk of decline (IRL ex.), regression of past progress</w:t>
      </w:r>
    </w:p>
    <w:bookmarkEnd w:id="42"/>
    <w:bookmarkStart w:id="43" w:name="acknowledgments"/>
    <w:p>
      <w:pPr>
        <w:pStyle w:val="Heading1"/>
      </w:pPr>
      <w:r>
        <w:t xml:space="preserve">Acknowledgments</w:t>
      </w:r>
    </w:p>
    <w:bookmarkEnd w:id="43"/>
    <w:bookmarkStart w:id="55"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44"/>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45"/>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46"/>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9"/>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e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5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Frequency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51"/>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52"/>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53">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54">
        <w:r>
          <w:rPr>
            <w:rStyle w:val="Hyperlink"/>
          </w:rPr>
          <w:t xml:space="preserve">https://public.myfwc.com/FWRI/FishKillReport/</w:t>
        </w:r>
      </w:hyperlink>
      <w:r>
        <w:t xml:space="preserve">).</w:t>
      </w:r>
    </w:p>
    <w:bookmarkEnd w:id="55"/>
    <w:bookmarkStart w:id="56"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56"/>
    <w:bookmarkStart w:id="121" w:name="references"/>
    <w:p>
      <w:pPr>
        <w:pStyle w:val="Heading1"/>
      </w:pPr>
      <w:r>
        <w:t xml:space="preserve">References</w:t>
      </w:r>
    </w:p>
    <w:bookmarkStart w:id="120" w:name="refs"/>
    <w:bookmarkStart w:id="57" w:name="ref-Beck21"/>
    <w:p>
      <w:pPr>
        <w:pStyle w:val="Bibliography"/>
      </w:pPr>
      <w:r>
        <w:t xml:space="preserve">Beck, M., Schrandt, M., Wessel, M., Sherwood, E., Raulerson, G., Best, B., 2021. Tbeptools: Data and indicators for the tampa bay estuary program.</w:t>
      </w:r>
    </w:p>
    <w:bookmarkEnd w:id="57"/>
    <w:bookmarkStart w:id="58" w:name="ref-Beck21b"/>
    <w:p>
      <w:pPr>
        <w:pStyle w:val="Bibliography"/>
      </w:pPr>
      <w:r>
        <w:t xml:space="preserve">Beck, M.W., 2021. Ggord: Ordination plots with ggplot2.</w:t>
      </w:r>
    </w:p>
    <w:bookmarkEnd w:id="58"/>
    <w:bookmarkStart w:id="60"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9">
        <w:r>
          <w:rPr>
            <w:rStyle w:val="Hyperlink"/>
          </w:rPr>
          <w:t xml:space="preserve">https://doi.org/10.18785/gcr.2901.02</w:t>
        </w:r>
      </w:hyperlink>
    </w:p>
    <w:bookmarkEnd w:id="60"/>
    <w:bookmarkStart w:id="62"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61">
        <w:r>
          <w:rPr>
            <w:rStyle w:val="Hyperlink"/>
          </w:rPr>
          <w:t xml:space="preserve">https://doi.org/10.1007/s12237-017-0287-1</w:t>
        </w:r>
      </w:hyperlink>
    </w:p>
    <w:bookmarkEnd w:id="62"/>
    <w:bookmarkStart w:id="63" w:name="ref-Bryan20"/>
    <w:p>
      <w:pPr>
        <w:pStyle w:val="Bibliography"/>
      </w:pPr>
      <w:r>
        <w:t xml:space="preserve">Bryan, J., 2020. googlesheets4: Access google sheets using the sheets API V4.</w:t>
      </w:r>
    </w:p>
    <w:bookmarkEnd w:id="63"/>
    <w:bookmarkStart w:id="6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64"/>
    <w:bookmarkStart w:id="6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65">
        <w:r>
          <w:rPr>
            <w:rStyle w:val="Hyperlink"/>
          </w:rPr>
          <w:t xml:space="preserve">https://doi.org/10.1016/S0265-931X(00)00164-8</w:t>
        </w:r>
      </w:hyperlink>
    </w:p>
    <w:bookmarkEnd w:id="66"/>
    <w:bookmarkStart w:id="67" w:name="ref-DAgostino20"/>
    <w:p>
      <w:pPr>
        <w:pStyle w:val="Bibliography"/>
      </w:pPr>
      <w:r>
        <w:t xml:space="preserve">D’Agostino McGowan, L., Bryan, J., 2020. Googledrive: An interface to google drive.</w:t>
      </w:r>
    </w:p>
    <w:bookmarkEnd w:id="67"/>
    <w:bookmarkStart w:id="68"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68"/>
    <w:bookmarkStart w:id="69"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69"/>
    <w:bookmarkStart w:id="71"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70">
        <w:r>
          <w:rPr>
            <w:rStyle w:val="Hyperlink"/>
          </w:rPr>
          <w:t xml:space="preserve">https://doi.org/10.1016/j.marpolbul.2015.10.047</w:t>
        </w:r>
      </w:hyperlink>
    </w:p>
    <w:bookmarkEnd w:id="71"/>
    <w:bookmarkStart w:id="7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72">
        <w:r>
          <w:rPr>
            <w:rStyle w:val="Hyperlink"/>
          </w:rPr>
          <w:t xml:space="preserve">https://doi.org/10.1016/j.marpolbul.2010.11.017</w:t>
        </w:r>
      </w:hyperlink>
    </w:p>
    <w:bookmarkEnd w:id="73"/>
    <w:bookmarkStart w:id="75"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74">
        <w:r>
          <w:rPr>
            <w:rStyle w:val="Hyperlink"/>
          </w:rPr>
          <w:t xml:space="preserve">https://doi.org/10.1007/s00267-005-0079-4</w:t>
        </w:r>
      </w:hyperlink>
    </w:p>
    <w:bookmarkEnd w:id="75"/>
    <w:bookmarkStart w:id="76"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76"/>
    <w:bookmarkStart w:id="78"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77">
        <w:r>
          <w:rPr>
            <w:rStyle w:val="Hyperlink"/>
          </w:rPr>
          <w:t xml:space="preserve">https://doi.org/10.1016/j.ecss.2014.10.003</w:t>
        </w:r>
      </w:hyperlink>
    </w:p>
    <w:bookmarkEnd w:id="78"/>
    <w:bookmarkStart w:id="7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79"/>
    <w:bookmarkStart w:id="80" w:name="ref-Hollander13"/>
    <w:p>
      <w:pPr>
        <w:pStyle w:val="Bibliography"/>
      </w:pPr>
      <w:r>
        <w:t xml:space="preserve">Hollander, M., Wolfe, D.A., Chicken, E., 2013. Nonparametric statistical methods. John Wiley &amp; Sons.</w:t>
      </w:r>
    </w:p>
    <w:bookmarkEnd w:id="80"/>
    <w:bookmarkStart w:id="81" w:name="ref-Holm79"/>
    <w:p>
      <w:pPr>
        <w:pStyle w:val="Bibliography"/>
      </w:pPr>
      <w:r>
        <w:t xml:space="preserve">Holm, S., 1979. A simple sequentially rejective multiple test procedure. Scandinavian journal of statistics 65–70.</w:t>
      </w:r>
    </w:p>
    <w:bookmarkEnd w:id="81"/>
    <w:bookmarkStart w:id="83"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82">
        <w:r>
          <w:rPr>
            <w:rStyle w:val="Hyperlink"/>
          </w:rPr>
          <w:t xml:space="preserve">https://doi.org/10.4319/lo.2006.51.1_part_2.0364</w:t>
        </w:r>
      </w:hyperlink>
    </w:p>
    <w:bookmarkEnd w:id="83"/>
    <w:bookmarkStart w:id="8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84"/>
    <w:bookmarkStart w:id="86" w:name="ref-Hudson11"/>
    <w:p>
      <w:pPr>
        <w:pStyle w:val="Bibliography"/>
      </w:pPr>
      <w:r>
        <w:t xml:space="preserve">Hudson-Edwards, K.A., Jamieson, H.E., Lottermoser, B.G., 2011. Mine wastes: Past, present, future. Elements 7, 375–380.</w:t>
      </w:r>
      <w:r>
        <w:t xml:space="preserve"> </w:t>
      </w:r>
      <w:hyperlink r:id="rId85">
        <w:r>
          <w:rPr>
            <w:rStyle w:val="Hyperlink"/>
          </w:rPr>
          <w:t xml:space="preserve">https://doi.org/10.2113/gselements.7.6.375</w:t>
        </w:r>
      </w:hyperlink>
    </w:p>
    <w:bookmarkEnd w:id="86"/>
    <w:bookmarkStart w:id="87"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87"/>
    <w:bookmarkStart w:id="88"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88"/>
    <w:bookmarkStart w:id="89" w:name="ref-Janicki08"/>
    <w:p>
      <w:pPr>
        <w:pStyle w:val="Bibliography"/>
      </w:pPr>
      <w:r>
        <w:t xml:space="preserve">Janicki Environmental, Inc., 2008. Estimation of nitrogen loading from residential irrigation. Tampa Bay Estuary Program, St. Petersburg, Florida.</w:t>
      </w:r>
    </w:p>
    <w:bookmarkEnd w:id="89"/>
    <w:bookmarkStart w:id="90"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90"/>
    <w:bookmarkStart w:id="92"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91">
        <w:r>
          <w:rPr>
            <w:rStyle w:val="Hyperlink"/>
          </w:rPr>
          <w:t xml:space="preserve">https://doi.org/10.18637/jss.v025.i01</w:t>
        </w:r>
      </w:hyperlink>
    </w:p>
    <w:bookmarkEnd w:id="92"/>
    <w:bookmarkStart w:id="93"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93"/>
    <w:bookmarkStart w:id="95" w:name="ref-Nixon95"/>
    <w:p>
      <w:pPr>
        <w:pStyle w:val="Bibliography"/>
      </w:pPr>
      <w:r>
        <w:t xml:space="preserve">Nixon, S.W., 1995. Coastal marine eutrophication: A definition, social causes, and future concerns. Ophelia 41, 199–219.</w:t>
      </w:r>
      <w:r>
        <w:t xml:space="preserve"> </w:t>
      </w:r>
      <w:hyperlink r:id="rId94">
        <w:r>
          <w:rPr>
            <w:rStyle w:val="Hyperlink"/>
          </w:rPr>
          <w:t xml:space="preserve">https://doi.org/10.1080/00785236.1995.10422044</w:t>
        </w:r>
      </w:hyperlink>
    </w:p>
    <w:bookmarkEnd w:id="95"/>
    <w:bookmarkStart w:id="96"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96"/>
    <w:bookmarkStart w:id="98"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97">
        <w:r>
          <w:rPr>
            <w:rStyle w:val="Hyperlink"/>
          </w:rPr>
          <w:t xml:space="preserve">https://doi.org/10.32614/RJ-2018-009</w:t>
        </w:r>
      </w:hyperlink>
    </w:p>
    <w:bookmarkEnd w:id="98"/>
    <w:bookmarkStart w:id="100"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99">
        <w:r>
          <w:rPr>
            <w:rStyle w:val="Hyperlink"/>
          </w:rPr>
          <w:t xml:space="preserve">https://doi.org/10.1016/j.scitotenv.2016.02.070</w:t>
        </w:r>
      </w:hyperlink>
    </w:p>
    <w:bookmarkEnd w:id="100"/>
    <w:bookmarkStart w:id="102"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01">
        <w:r>
          <w:rPr>
            <w:rStyle w:val="Hyperlink"/>
          </w:rPr>
          <w:t xml:space="preserve">https://doi.org/10.1016/j.apgeochem.2010.02.003</w:t>
        </w:r>
      </w:hyperlink>
    </w:p>
    <w:bookmarkEnd w:id="102"/>
    <w:bookmarkStart w:id="104"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03">
        <w:r>
          <w:rPr>
            <w:rStyle w:val="Hyperlink"/>
          </w:rPr>
          <w:t xml:space="preserve">https://doi.org/10.1016/j.atmosenv.2012.12.030</w:t>
        </w:r>
      </w:hyperlink>
    </w:p>
    <w:bookmarkEnd w:id="104"/>
    <w:bookmarkStart w:id="105" w:name="ref-RCT20"/>
    <w:p>
      <w:pPr>
        <w:pStyle w:val="Bibliography"/>
      </w:pPr>
      <w:r>
        <w:t xml:space="preserve">R Core Team, 2020. R: A language and environment for statistical computing, v4.0.3. R Foundation for Statistical Computing, Vienna, Austria.</w:t>
      </w:r>
    </w:p>
    <w:bookmarkEnd w:id="105"/>
    <w:bookmarkStart w:id="107"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06">
        <w:r>
          <w:rPr>
            <w:rStyle w:val="Hyperlink"/>
          </w:rPr>
          <w:t xml:space="preserve">https://doi.org/10.1007/s11270-013-1742-7</w:t>
        </w:r>
      </w:hyperlink>
    </w:p>
    <w:bookmarkEnd w:id="107"/>
    <w:bookmarkStart w:id="109"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08">
        <w:r>
          <w:rPr>
            <w:rStyle w:val="Hyperlink"/>
          </w:rPr>
          <w:t xml:space="preserve">https://doi.org/10.1007/s00267-013-0179-5</w:t>
        </w:r>
      </w:hyperlink>
    </w:p>
    <w:bookmarkEnd w:id="109"/>
    <w:bookmarkStart w:id="111"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10">
        <w:r>
          <w:rPr>
            <w:rStyle w:val="Hyperlink"/>
          </w:rPr>
          <w:t xml:space="preserve">https://doi.org/10.1353/sgo.2017.0026</w:t>
        </w:r>
      </w:hyperlink>
    </w:p>
    <w:bookmarkEnd w:id="111"/>
    <w:bookmarkStart w:id="112"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12"/>
    <w:bookmarkStart w:id="113"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13"/>
    <w:bookmarkStart w:id="115"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14">
        <w:r>
          <w:rPr>
            <w:rStyle w:val="Hyperlink"/>
          </w:rPr>
          <w:t xml:space="preserve">https://doi.org/10.1016/j.jenvman.2009.03.007</w:t>
        </w:r>
      </w:hyperlink>
    </w:p>
    <w:bookmarkEnd w:id="115"/>
    <w:bookmarkStart w:id="117"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16">
        <w:r>
          <w:rPr>
            <w:rStyle w:val="Hyperlink"/>
          </w:rPr>
          <w:t xml:space="preserve">https://doi.org/10.1016/j.marpolbul.2020.111247</w:t>
        </w:r>
      </w:hyperlink>
    </w:p>
    <w:bookmarkEnd w:id="117"/>
    <w:bookmarkStart w:id="119"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18">
        <w:r>
          <w:rPr>
            <w:rStyle w:val="Hyperlink"/>
          </w:rPr>
          <w:t xml:space="preserve">https://doi.org/10.21105/joss.01686</w:t>
        </w:r>
      </w:hyperlink>
    </w:p>
    <w:bookmarkEnd w:id="119"/>
    <w:bookmarkEnd w:id="120"/>
    <w:bookmarkEnd w:id="12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jpg"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46" Target="media/rId46.jpg" /><Relationship Type="http://schemas.openxmlformats.org/officeDocument/2006/relationships/image" Id="rId47" Target="media/rId47.jpg" /><Relationship Type="http://schemas.openxmlformats.org/officeDocument/2006/relationships/image" Id="rId52" Target="media/rId52.jpg" /><Relationship Type="http://schemas.openxmlformats.org/officeDocument/2006/relationships/hyperlink" Id="rId74" Target="https://doi.org/10.1007/s00267-005-0079-4" TargetMode="External" /><Relationship Type="http://schemas.openxmlformats.org/officeDocument/2006/relationships/hyperlink" Id="rId108" Target="https://doi.org/10.1007/s00267-013-0179-5" TargetMode="External" /><Relationship Type="http://schemas.openxmlformats.org/officeDocument/2006/relationships/hyperlink" Id="rId106" Target="https://doi.org/10.1007/s11270-013-1742-7" TargetMode="External" /><Relationship Type="http://schemas.openxmlformats.org/officeDocument/2006/relationships/hyperlink" Id="rId61" Target="https://doi.org/10.1007/s12237-017-0287-1" TargetMode="External" /><Relationship Type="http://schemas.openxmlformats.org/officeDocument/2006/relationships/hyperlink" Id="rId65" Target="https://doi.org/10.1016/S0265-931X(00)00164-8" TargetMode="External" /><Relationship Type="http://schemas.openxmlformats.org/officeDocument/2006/relationships/hyperlink" Id="rId101" Target="https://doi.org/10.1016/j.apgeochem.2010.02.003" TargetMode="External" /><Relationship Type="http://schemas.openxmlformats.org/officeDocument/2006/relationships/hyperlink" Id="rId103" Target="https://doi.org/10.1016/j.atmosenv.2012.12.030" TargetMode="External" /><Relationship Type="http://schemas.openxmlformats.org/officeDocument/2006/relationships/hyperlink" Id="rId77" Target="https://doi.org/10.1016/j.ecss.2014.10.003" TargetMode="External" /><Relationship Type="http://schemas.openxmlformats.org/officeDocument/2006/relationships/hyperlink" Id="rId114" Target="https://doi.org/10.1016/j.jenvman.2009.03.007" TargetMode="External" /><Relationship Type="http://schemas.openxmlformats.org/officeDocument/2006/relationships/hyperlink" Id="rId72" Target="https://doi.org/10.1016/j.marpolbul.2010.11.017" TargetMode="External" /><Relationship Type="http://schemas.openxmlformats.org/officeDocument/2006/relationships/hyperlink" Id="rId70" Target="https://doi.org/10.1016/j.marpolbul.2015.10.047" TargetMode="External" /><Relationship Type="http://schemas.openxmlformats.org/officeDocument/2006/relationships/hyperlink" Id="rId116" Target="https://doi.org/10.1016/j.marpolbul.2020.111247" TargetMode="External" /><Relationship Type="http://schemas.openxmlformats.org/officeDocument/2006/relationships/hyperlink" Id="rId99" Target="https://doi.org/10.1016/j.scitotenv.2016.02.070" TargetMode="External" /><Relationship Type="http://schemas.openxmlformats.org/officeDocument/2006/relationships/hyperlink" Id="rId94" Target="https://doi.org/10.1080/00785236.1995.10422044" TargetMode="External" /><Relationship Type="http://schemas.openxmlformats.org/officeDocument/2006/relationships/hyperlink" Id="rId110" Target="https://doi.org/10.1353/sgo.2017.0026" TargetMode="External" /><Relationship Type="http://schemas.openxmlformats.org/officeDocument/2006/relationships/hyperlink" Id="rId91" Target="https://doi.org/10.18637/jss.v025.i01" TargetMode="External" /><Relationship Type="http://schemas.openxmlformats.org/officeDocument/2006/relationships/hyperlink" Id="rId59" Target="https://doi.org/10.18785/gcr.2901.02" TargetMode="External" /><Relationship Type="http://schemas.openxmlformats.org/officeDocument/2006/relationships/hyperlink" Id="rId118" Target="https://doi.org/10.21105/joss.01686" TargetMode="External" /><Relationship Type="http://schemas.openxmlformats.org/officeDocument/2006/relationships/hyperlink" Id="rId85" Target="https://doi.org/10.2113/gselements.7.6.375" TargetMode="External" /><Relationship Type="http://schemas.openxmlformats.org/officeDocument/2006/relationships/hyperlink" Id="rId97" Target="https://doi.org/10.32614/RJ-2018-009" TargetMode="External" /><Relationship Type="http://schemas.openxmlformats.org/officeDocument/2006/relationships/hyperlink" Id="rId82"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4"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3" Target="https://www.ncei.noaa.gov/maps/habsos" TargetMode="External" /><Relationship Type="http://schemas.openxmlformats.org/officeDocument/2006/relationships/hyperlink" Id="rId41"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74" Target="https://doi.org/10.1007/s00267-005-0079-4" TargetMode="External" /><Relationship Type="http://schemas.openxmlformats.org/officeDocument/2006/relationships/hyperlink" Id="rId108" Target="https://doi.org/10.1007/s00267-013-0179-5" TargetMode="External" /><Relationship Type="http://schemas.openxmlformats.org/officeDocument/2006/relationships/hyperlink" Id="rId106" Target="https://doi.org/10.1007/s11270-013-1742-7" TargetMode="External" /><Relationship Type="http://schemas.openxmlformats.org/officeDocument/2006/relationships/hyperlink" Id="rId61" Target="https://doi.org/10.1007/s12237-017-0287-1" TargetMode="External" /><Relationship Type="http://schemas.openxmlformats.org/officeDocument/2006/relationships/hyperlink" Id="rId65" Target="https://doi.org/10.1016/S0265-931X(00)00164-8" TargetMode="External" /><Relationship Type="http://schemas.openxmlformats.org/officeDocument/2006/relationships/hyperlink" Id="rId101" Target="https://doi.org/10.1016/j.apgeochem.2010.02.003" TargetMode="External" /><Relationship Type="http://schemas.openxmlformats.org/officeDocument/2006/relationships/hyperlink" Id="rId103" Target="https://doi.org/10.1016/j.atmosenv.2012.12.030" TargetMode="External" /><Relationship Type="http://schemas.openxmlformats.org/officeDocument/2006/relationships/hyperlink" Id="rId77" Target="https://doi.org/10.1016/j.ecss.2014.10.003" TargetMode="External" /><Relationship Type="http://schemas.openxmlformats.org/officeDocument/2006/relationships/hyperlink" Id="rId114" Target="https://doi.org/10.1016/j.jenvman.2009.03.007" TargetMode="External" /><Relationship Type="http://schemas.openxmlformats.org/officeDocument/2006/relationships/hyperlink" Id="rId72" Target="https://doi.org/10.1016/j.marpolbul.2010.11.017" TargetMode="External" /><Relationship Type="http://schemas.openxmlformats.org/officeDocument/2006/relationships/hyperlink" Id="rId70" Target="https://doi.org/10.1016/j.marpolbul.2015.10.047" TargetMode="External" /><Relationship Type="http://schemas.openxmlformats.org/officeDocument/2006/relationships/hyperlink" Id="rId116" Target="https://doi.org/10.1016/j.marpolbul.2020.111247" TargetMode="External" /><Relationship Type="http://schemas.openxmlformats.org/officeDocument/2006/relationships/hyperlink" Id="rId99" Target="https://doi.org/10.1016/j.scitotenv.2016.02.070" TargetMode="External" /><Relationship Type="http://schemas.openxmlformats.org/officeDocument/2006/relationships/hyperlink" Id="rId94" Target="https://doi.org/10.1080/00785236.1995.10422044" TargetMode="External" /><Relationship Type="http://schemas.openxmlformats.org/officeDocument/2006/relationships/hyperlink" Id="rId110" Target="https://doi.org/10.1353/sgo.2017.0026" TargetMode="External" /><Relationship Type="http://schemas.openxmlformats.org/officeDocument/2006/relationships/hyperlink" Id="rId91" Target="https://doi.org/10.18637/jss.v025.i01" TargetMode="External" /><Relationship Type="http://schemas.openxmlformats.org/officeDocument/2006/relationships/hyperlink" Id="rId59" Target="https://doi.org/10.18785/gcr.2901.02" TargetMode="External" /><Relationship Type="http://schemas.openxmlformats.org/officeDocument/2006/relationships/hyperlink" Id="rId118" Target="https://doi.org/10.21105/joss.01686" TargetMode="External" /><Relationship Type="http://schemas.openxmlformats.org/officeDocument/2006/relationships/hyperlink" Id="rId85" Target="https://doi.org/10.2113/gselements.7.6.375" TargetMode="External" /><Relationship Type="http://schemas.openxmlformats.org/officeDocument/2006/relationships/hyperlink" Id="rId97" Target="https://doi.org/10.32614/RJ-2018-009" TargetMode="External" /><Relationship Type="http://schemas.openxmlformats.org/officeDocument/2006/relationships/hyperlink" Id="rId82"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4"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3" Target="https://www.ncei.noaa.gov/maps/habsos" TargetMode="External" /><Relationship Type="http://schemas.openxmlformats.org/officeDocument/2006/relationships/hyperlink" Id="rId41"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2021-08-23T19:12:42Z</dcterms:created>
  <dcterms:modified xsi:type="dcterms:W3CDTF">2021-08-23T19:12:42Z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