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jpg" ContentType="image/jpeg"/>
  <Override PartName="/word/media/rId63.jpg" ContentType="image/jpeg"/>
  <Override PartName="/word/media/rId57.jpg" ContentType="image/jpeg"/>
  <Override PartName="/word/media/rId58.jpg" ContentType="image/jpeg"/>
  <Override PartName="/word/media/rId61.jpg" ContentType="image/jpeg"/>
  <Override PartName="/word/media/rId62.jpg" ContentType="image/jpeg"/>
  <Override PartName="/word/media/rId59.jpg" ContentType="image/jpeg"/>
  <Override PartName="/word/media/rId60.jpg" ContentType="image/jpeg"/>
  <Override PartName="/word/media/rId6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2021-09-02 17:27:41</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28% of the variation among all variables, whereas the second and third axes explained 23% and 14 of the remaining variation. For the water quality variables, the first principal component axis had strong, positive loadings for dissolved oxygen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positive loading with shoal grass (</w:t>
      </w:r>
      <w:r>
        <w:rPr>
          <w:iCs/>
          <w:i/>
        </w:rPr>
        <w:t xml:space="preserve">H. wrightii</w:t>
      </w:r>
      <w:r>
        <w:t xml:space="preserve">) and negative association with manatee grass (</w:t>
      </w:r>
      <w:r>
        <w:rPr>
          <w:iCs/>
          <w:i/>
        </w:rPr>
        <w:t xml:space="preserve">S. filiforme</w:t>
      </w:r>
      <w:r>
        <w:t xml:space="preserve">). Observations by area showed that samples in area 3 were grouped by positive loadings on on the first PCA axis and negative loadings on the second PCA axis and were distinct from points in area 1.</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pH)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and negatively correlated with salinity and secchi (</w:t>
      </w:r>
      <m:oMath>
        <m:r>
          <m:t>p</m:t>
        </m:r>
        <m:r>
          <m:rPr>
            <m:sty m:val="p"/>
          </m:rPr>
          <m:t>&lt;</m:t>
        </m:r>
        <m:r>
          <m:t>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Among the seagrasses, manatee grass was negatively correlated wtih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For water quality and seagrass, chl-a, total nitrogen, and total phosphorus were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5" w:name="discussion"/>
    <w:p>
      <w:pPr>
        <w:pStyle w:val="Heading1"/>
      </w:pPr>
      <w:r>
        <w:t xml:space="preserve">Discussion</w:t>
      </w:r>
    </w:p>
    <w:p>
      <w:pPr>
        <w:pStyle w:val="FirstParagraph"/>
      </w:pPr>
      <w:r>
        <w:t xml:space="preserve">The observed conditions in Tampa Bay from April to July, 2021 following effluent release from Piney Point together represent an adverse environmental response to a large pulse of inorganic nitrogen into the system. Collectively, these observations provide a weight of evidence that conditions in 2021 were anomalous when compared to the long-term record of water quality and habitat data for Tampa Bay. These anomalous events included 1) a large, spring diatom bloom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an unusual amount of observations supported by the decades of long-term monitoring data as a baseline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during the period of observation, they were seen throughout the bay suggesting a system-wide effect of effluent from Piney Point. In addition to the changing environmental conditions observed during the summer, the Piney Point event is also anomalous in the volume of effluent entering the system and estimated nutrient load to lower Tampa Bay. Spill events reported to FDEP have been documented for years (e.g., industrial spills, stormwater pump failures, sanitary sewer overflows) and spill volumes for these for these events are small (median volume 3630 gallons,</w:t>
      </w:r>
      <w:r>
        <w:t xml:space="preserve"> </w:t>
      </w:r>
      <w:hyperlink r:id="rId52">
        <w:r>
          <w:rPr>
            <w:rStyle w:val="Hyperlink"/>
          </w:rPr>
          <w:t xml:space="preserve">unpublished analysis</w:t>
        </w:r>
      </w:hyperlink>
      <w:r>
        <w:t xml:space="preserve">) compared to the 285 million gallons discharged from Piney Point. Moreover, the estimated nutrient load of 205 tons of nitrogen to Tampa Bay from Piney Point discharged over the ten day period exceeded current annual estimates of the external load into lower Tampa Bay. From both a monitoring perspective and the nature of the effluent into Tampa Bay, the observed response of conditions in the Bay in 2021 is an outlier compared to past years. These events were interpreted in the context of broad goals of the Tampa Bay Estuary Program and its partners to collectively manage ecosystem health following a nutrient management paradigm with seagrasses as both an indicator and asset for environmental quality.</w:t>
      </w:r>
    </w:p>
    <w:p>
      <w:pPr>
        <w:pStyle w:val="BodyText"/>
      </w:pPr>
      <w:r>
        <w:t xml:space="preserve">Several of the correlations in Figure</w:t>
      </w:r>
      <w:r>
        <w:t xml:space="preserve"> </w:t>
      </w:r>
      <w:r>
        <w:t xml:space="preserve">8</w:t>
      </w:r>
      <w:r>
        <w:t xml:space="preserve"> </w:t>
      </w:r>
      <w:r>
        <w:t xml:space="preserve">support known responses of water quality to nutrient loads and can be explained through mechanistic relationships among water quality, macroalgae, and seagrasses. Regarding the nutrient management paradigm for Tampa Bay, the linear association between nutrients, chlorophyll-a, and water transparency is supported by the significant correlations and loadings from the PCA in Figure</w:t>
      </w:r>
      <w:r>
        <w:t xml:space="preserve"> </w:t>
      </w:r>
      <w:r>
        <w:t xml:space="preserve">7</w:t>
      </w:r>
      <w:r>
        <w:t xml:space="preserve">. An increase in nitrogen was associated with an increase in chlorophyll, which in turn was associated with a decrease in water clarity. Temporally, these changes were observed at different times and by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already utilized by different taxa, including macroalgae.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area 3 closer to the mouth of Tampa Bay and extending to the northern portion of Sarasota Bay had higher frequency occurrence of turtle grass and lower frequency of shoal grass. This reflects a natural partitioning of the species along a salinity gradient (as shown in the PCA in Figure</w:t>
      </w:r>
      <w:r>
        <w:t xml:space="preserve"> </w:t>
      </w:r>
      <w:r>
        <w:t xml:space="preserve">7</w:t>
      </w:r>
      <w:r>
        <w:t xml:space="preserve">) and not any association with effluent from Piney Point. Correlations among the macroalgae and seagrasses can also be explained by spatial differences among species along a depth gradient. Frequency occurrences of both shoal grass and turtle grass were negatively associated with manatee grass. Seagrasses are clonal organisms that grow together and species are usually not randomly dispersed in the same patch. Shoal grass and turtle grass typically grow at shallower depths than manatee grass and are often exposed during low tides. As an adaptive mechanism to varying water levels, blades of shoal grass and turtle grass can</w:t>
      </w:r>
      <w:r>
        <w:t xml:space="preserve"> </w:t>
      </w:r>
      <w:r>
        <w:t xml:space="preserve">“</w:t>
      </w:r>
      <w:r>
        <w:t xml:space="preserve">lay down</w:t>
      </w:r>
      <w:r>
        <w:t xml:space="preserve">”</w:t>
      </w:r>
      <w:r>
        <w:t xml:space="preserve"> </w:t>
      </w:r>
      <w:r>
        <w:t xml:space="preserve">during low tide to minimize dessication stress. Manatee grass has thicker, cylindrical blades that are more rigid and, as a result, the species is better suited at deeper depths that are minimally affected by varying tidal height. As such, the correlation analysis can be explained by spatial partitioning of seagrasses along depth gradients due to adaptive characteristics of each species. These associations may also reflect natural variation in water clarity along the longitidinal axis of Tampa Bay. Shoal grass can occur in more turbid waters that increase towards the northern portion of Tampa Bay, which are also shallower.</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period of record followed by an increase in</w:t>
      </w:r>
      <w:r>
        <w:t xml:space="preserve"> </w:t>
      </w:r>
      <w:r>
        <w:rPr>
          <w:iCs/>
          <w:i/>
        </w:rPr>
        <w:t xml:space="preserve">Ulva sp.</w:t>
      </w:r>
      <w:r>
        <w:t xml:space="preserve"> </w:t>
      </w:r>
      <w:r>
        <w:t xml:space="preserve">likely reflects a natural phenology in Tampa Bay. However past spill events were associated with an increase in both red and green macroalgae in smaller subembayments of Tampa Bay, prompting manual removal to prevent conditions associated with hypoxia from decomposition of macroalgal biomass</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as a result of nutrient cycling stimulated by wastewater release. A clear difference in the macroalgae community in 2021 compared to past years was a high abundance of cyanobacteria macroalgae (i.e., Lyngbya sp.).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Although the seagrass community did not change significantly across the study period, long-term impacts may be observed. Reductions in seagrass coverage in Sarasota Bay were observed as a result of the 2018 red tide event that persisted over a year in southwest Florida. These changes may have resulted from a reduction in water clarity from heavy concentrations of</w:t>
      </w:r>
      <w:r>
        <w:t xml:space="preserve"> </w:t>
      </w:r>
      <w:r>
        <w:rPr>
          <w:iCs/>
          <w:i/>
        </w:rPr>
        <w:t xml:space="preserve">K. brevis</w:t>
      </w:r>
      <w:r>
        <w:t xml:space="preserve">, similar to what was observed in June and July in middle and lower Tampa Bay. Species shifts from macroalgal to seagrass dominated communities are also a concern, both in 2021 and as observed at some locations in recent years from the annual transect monitoring results for Tampa Bay. In particular, increasing abundance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of</w:t>
      </w:r>
      <w:r>
        <w:t xml:space="preserve"> </w:t>
      </w:r>
      <w:r>
        <w:rPr>
          <w:iCs/>
          <w:i/>
        </w:rPr>
        <w:t xml:space="preserve">Caulerpa</w:t>
      </w:r>
      <w:r>
        <w:t xml:space="preserve"> </w:t>
      </w:r>
      <w:r>
        <w:t xml:space="preserve">dominance relative to seagrasses.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 Regionally, seagrasses have declined in coverage as estimated from biennal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Acute stressors from short-term events, such as wastewater release from Piney Point, create additional and often preventable challenges in the context of broader issues affecting ecosystem health.</w:t>
      </w:r>
    </w:p>
    <w:p>
      <w:pPr>
        <w:pStyle w:val="BodyText"/>
      </w:pPr>
      <w:r>
        <w:t xml:space="preserve">Potential short and long-term impacts to Tampa Bay resources beyond water quality, macroalgae, and seagrasses may also have occurred. Fisheries resources have undoubtedly been impacted by</w:t>
      </w:r>
      <w:r>
        <w:t xml:space="preserve"> </w:t>
      </w:r>
      <w:r>
        <w:rPr>
          <w:iCs/>
          <w:i/>
        </w:rPr>
        <w:t xml:space="preserve">K. brevis</w:t>
      </w:r>
      <w:r>
        <w:t xml:space="preserve"> </w:t>
      </w:r>
      <w:r>
        <w:t xml:space="preserve">blooms in June and July as documented by the fish kill reports (Figure</w:t>
      </w:r>
      <w:r>
        <w:t xml:space="preserve"> </w:t>
      </w:r>
      <w:r>
        <w:t xml:space="preserve">9</w:t>
      </w:r>
      <w:r>
        <w:t xml:space="preserve">). Quantitative data on changes in abundance and diversity of fish species in Tampa Bay following the red tide event are forthcoming. Routine sampling by the Fisheries Independent Monitoring Program of the FWC occurs annually in Tampa Bay and a long-term record back to 1998 provides detailed information on species richness and abundance for the major segments of the bay.</w:t>
      </w:r>
      <w:r>
        <w:t xml:space="preserve"> </w:t>
      </w:r>
      <w:hyperlink w:anchor="ref-Schrandt21">
        <w:r>
          <w:rPr>
            <w:rStyle w:val="Hyperlink"/>
          </w:rPr>
          <w:t xml:space="preserve">Schrandt et al.</w:t>
        </w:r>
      </w:hyperlink>
      <w:r>
        <w:t xml:space="preserve"> </w:t>
      </w:r>
      <w:r>
        <w:t xml:space="preserve">(</w:t>
      </w:r>
      <w:hyperlink w:anchor="ref-Schrandt21">
        <w:r>
          <w:rPr>
            <w:rStyle w:val="Hyperlink"/>
          </w:rPr>
          <w:t xml:space="preserve">2021</w:t>
        </w:r>
      </w:hyperlink>
      <w:r>
        <w:t xml:space="preserve">)</w:t>
      </w:r>
      <w:r>
        <w:t xml:space="preserve"> </w:t>
      </w:r>
      <w:r>
        <w:t xml:space="preserve">developed a Tampa Bay Nekton Index to assist with fisheries management strategies for the bay and demonstrated a sensitivity of the index to a significant red tide event in lower Tampa Bay in 2005. Given the observed red tide concentration in 2021 and the magnitude of reported fish kills, a similar response in the fish community as reflected by the TBNI is expected. Of note is that fisheries resources improved quickly following surveys after 2005, although temporary recreational or commercial closures may need to be implemented to allow the fish community to recover. As of writing, catch and release only limits have been extended through the fall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w:t>
      </w:r>
      <w:r>
        <w:t xml:space="preserve"> </w:t>
      </w:r>
      <w:r>
        <w:t xml:space="preserve">(</w:t>
      </w:r>
      <w:hyperlink w:anchor="ref-SWitzer11">
        <w:r>
          <w:rPr>
            <w:rStyle w:val="Hyperlink"/>
            <w:bCs/>
            <w:b/>
          </w:rPr>
          <w:t xml:space="preserve">SWitzer11?</w:t>
        </w:r>
      </w:hyperlink>
      <w:r>
        <w:t xml:space="preserve">)</w:t>
      </w:r>
      <w:r>
        <w:t xml:space="preserve"> </w:t>
      </w:r>
      <w:r>
        <w:t xml:space="preserve">evaluated nekton communities in Bishop Harbor from November 2003 to October 2004 following dishcarge to the subembayment and compared the results to fisheries data for years prior. Fish community structure and species composition did not differ compared to the pre-impact period. From 2003 to 2007, an estimated 1.9 billion gallons was discharged to Bishop Harbor, where various treatment methods were used to mitigate potential impacts of introducing acidic and nutrient-rich process water to surface waters.</w:t>
      </w:r>
      <w:r>
        <w:t xml:space="preserve"> </w:t>
      </w:r>
      <w:hyperlink w:anchor="ref-Garrett11">
        <w:r>
          <w:rPr>
            <w:rStyle w:val="Hyperlink"/>
          </w:rPr>
          <w:t xml:space="preserve">Garrett et al.</w:t>
        </w:r>
      </w:hyperlink>
      <w:r>
        <w:t xml:space="preserve"> </w:t>
      </w:r>
      <w:r>
        <w:t xml:space="preserve">(</w:t>
      </w:r>
      <w:hyperlink w:anchor="ref-Garrett11">
        <w:r>
          <w:rPr>
            <w:rStyle w:val="Hyperlink"/>
          </w:rPr>
          <w:t xml:space="preserve">2011</w:t>
        </w:r>
      </w:hyperlink>
      <w:r>
        <w:t xml:space="preserve">)</w:t>
      </w:r>
      <w:r>
        <w:t xml:space="preserve"> </w:t>
      </w:r>
      <w:r>
        <w:t xml:space="preserve">noted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dense diatom blooms, in Bishop Harbor during this time.</w:t>
      </w:r>
    </w:p>
    <w:p>
      <w:pPr>
        <w:pStyle w:val="BodyText"/>
      </w:pPr>
      <w:r>
        <w:t xml:space="preserve">Additional monitoring was conducted for benthic communities to sample sediment quality at Port Manatee and surrounding waters in April 2021. Biological surveys were used to calculate scores for the Tampa Bay Benthic Index (TBBI) as a measure of the ecological health of the benthic community based on the quality of the sediments they inhabit</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from initial sampling suggest a mix of conditions with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near Port Manatee reflecting the high spatial variability of macroinvertebrate communities in estuarine sediments. Comparison of the initial 2021 samples to historical benthic conditions using TBBI scores for comparison suggested relatively consistent sediment quality back to earlist sampline in 1993. Additional sampling is planned at the same sites surveyed in April to further assess potential impacts of Piney Point on sediment quality. Finally, effects of changing environmental conditions and red tide on marine mammals (e.g., cetaceans, sirenians) was also a concern given their abundances in the bay and use of bay resources. Detailed baseline information and data relative to 2021 are lacking for these species relative to the primary data reported herein. At least one</w:t>
      </w:r>
      <w:r>
        <w:t xml:space="preserve"> </w:t>
      </w:r>
      <w:hyperlink r:id="rId53">
        <w:r>
          <w:rPr>
            <w:rStyle w:val="Hyperlink"/>
          </w:rPr>
          <w:t xml:space="preserve">report</w:t>
        </w:r>
      </w:hyperlink>
      <w:r>
        <w:t xml:space="preserve"> </w:t>
      </w:r>
      <w:r>
        <w:t xml:space="preserve">to FWC of a manatee mortality in Tampa Bay at the peak of the red tide bloom in July was recorded, although cause of death was undetermined. Regardless, it is reasonable to assume toxicity of</w:t>
      </w:r>
      <w:r>
        <w:t xml:space="preserve"> </w:t>
      </w:r>
      <w:r>
        <w:rPr>
          <w:iCs/>
          <w:i/>
        </w:rPr>
        <w:t xml:space="preserve">K. brevis</w:t>
      </w:r>
      <w:r>
        <w:t xml:space="preserve"> </w:t>
      </w:r>
      <w:r>
        <w:t xml:space="preserve">can have a negative effect on regional populations of large mammals. This is of particular concern given the recent report of manatee mass die-offs on the east coast of Florida related to seagrass losses.</w:t>
      </w:r>
    </w:p>
    <w:p>
      <w:pPr>
        <w:numPr>
          <w:ilvl w:val="0"/>
          <w:numId w:val="1001"/>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54">
        <w:r>
          <w:rPr>
            <w:rStyle w:val="Hyperlink"/>
          </w:rPr>
          <w:t xml:space="preserve">link</w:t>
        </w:r>
      </w:hyperlink>
    </w:p>
    <w:p>
      <w:pPr>
        <w:numPr>
          <w:ilvl w:val="0"/>
          <w:numId w:val="1001"/>
        </w:numPr>
        <w:pStyle w:val="Compact"/>
      </w:pPr>
      <w:r>
        <w:t xml:space="preserve">Analysis limitations: no smoking gun but 2021 is an anomaly, additional info (benthic diversity TBD, nekton diversity TBD, large mammals, etc.), response-based monitoring may be biased</w:t>
      </w:r>
    </w:p>
    <w:p>
      <w:pPr>
        <w:numPr>
          <w:ilvl w:val="0"/>
          <w:numId w:val="1001"/>
        </w:numPr>
        <w:pStyle w:val="Compact"/>
      </w:pPr>
      <w:r>
        <w:t xml:space="preserve">Long-term closure plan? NGS-N is treated with spray evaporation system, but concentrations of TN/TP higher than NGS-S (see EO)/</w:t>
      </w:r>
    </w:p>
    <w:p>
      <w:pPr>
        <w:numPr>
          <w:ilvl w:val="0"/>
          <w:numId w:val="1001"/>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1"/>
        </w:numPr>
        <w:pStyle w:val="Compact"/>
      </w:pPr>
      <w:r>
        <w:t xml:space="preserve">Risk of decline (IRL ex.), regression of past progress</w:t>
      </w:r>
    </w:p>
    <w:bookmarkEnd w:id="55"/>
    <w:bookmarkStart w:id="56" w:name="acknowledgments"/>
    <w:p>
      <w:pPr>
        <w:pStyle w:val="Heading1"/>
      </w:pPr>
      <w:r>
        <w:t xml:space="preserve">Acknowledgments</w:t>
      </w:r>
    </w:p>
    <w:bookmarkEnd w:id="56"/>
    <w:bookmarkStart w:id="68"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T:/04_STAFF/MARCUS/03_GIT/piney-point-manu/figs/map.jpeg" id="0" name="Picture"/>
                    <pic:cNvPicPr>
                      <a:picLocks noChangeArrowheads="1" noChangeAspect="1"/>
                    </pic:cNvPicPr>
                  </pic:nvPicPr>
                  <pic:blipFill>
                    <a:blip r:embed="rId5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T:/04_STAFF/MARCUS/03_GIT/piney-point-manu/figs/timeline.jpeg" id="0" name="Picture"/>
                    <pic:cNvPicPr>
                      <a:picLocks noChangeArrowheads="1" noChangeAspect="1"/>
                    </pic:cNvPicPr>
                  </pic:nvPicPr>
                  <pic:blipFill>
                    <a:blip r:embed="rId5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T:/04_STAFF/MARCUS/03_GIT/piney-point-manu/figs/wqmap.jpeg" id="0" name="Picture"/>
                    <pic:cNvPicPr>
                      <a:picLocks noChangeArrowheads="1" noChangeAspect="1"/>
                    </pic:cNvPicPr>
                  </pic:nvPicPr>
                  <pic:blipFill>
                    <a:blip r:embed="rId5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T:/04_STAFF/MARCUS/03_GIT/piney-point-manu/figs/wqtrnds.jpeg" id="0" name="Picture"/>
                    <pic:cNvPicPr>
                      <a:picLocks noChangeArrowheads="1" noChangeAspect="1"/>
                    </pic:cNvPicPr>
                  </pic:nvPicPr>
                  <pic:blipFill>
                    <a:blip r:embed="rId6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T:/04_STAFF/MARCUS/03_GIT/piney-point-manu/figs/trnex.jpeg" id="0" name="Picture"/>
                    <pic:cNvPicPr>
                      <a:picLocks noChangeArrowheads="1" noChangeAspect="1"/>
                    </pic:cNvPicPr>
                  </pic:nvPicPr>
                  <pic:blipFill>
                    <a:blip r:embed="rId61"/>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T:/04_STAFF/MARCUS/03_GIT/piney-point-manu/figs/trnfrq.jpeg" id="0" name="Picture"/>
                    <pic:cNvPicPr>
                      <a:picLocks noChangeArrowheads="1" noChangeAspect="1"/>
                    </pic:cNvPicPr>
                  </pic:nvPicPr>
                  <pic:blipFill>
                    <a:blip r:embed="rId6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T:/04_STAFF/MARCUS/03_GIT/piney-point-manu/figs/allpca.jpeg" id="0" name="Picture"/>
                    <pic:cNvPicPr>
                      <a:picLocks noChangeArrowheads="1" noChangeAspect="1"/>
                    </pic:cNvPicPr>
                  </pic:nvPicPr>
                  <pic:blipFill>
                    <a:blip r:embed="rId6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T:/04_STAFF/MARCUS/03_GIT/piney-point-manu/figs/allcor.jpeg" id="0" name="Picture"/>
                    <pic:cNvPicPr>
                      <a:picLocks noChangeArrowheads="1" noChangeAspect="1"/>
                    </pic:cNvPicPr>
                  </pic:nvPicPr>
                  <pic:blipFill>
                    <a:blip r:embed="rId64"/>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7">
        <w:r>
          <w:rPr>
            <w:rStyle w:val="Hyperlink"/>
          </w:rPr>
          <w:t xml:space="preserve">https://public.myfwc.com/FWRI/FishKillReport/</w:t>
        </w:r>
      </w:hyperlink>
      <w:r>
        <w:t xml:space="preserve">).</w:t>
      </w:r>
    </w:p>
    <w:bookmarkEnd w:id="68"/>
    <w:bookmarkStart w:id="69"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9"/>
    <w:bookmarkStart w:id="140" w:name="references"/>
    <w:p>
      <w:pPr>
        <w:pStyle w:val="Heading1"/>
      </w:pPr>
      <w:r>
        <w:t xml:space="preserve">References</w:t>
      </w:r>
    </w:p>
    <w:bookmarkStart w:id="139" w:name="refs"/>
    <w:bookmarkStart w:id="70" w:name="ref-Beck21"/>
    <w:p>
      <w:pPr>
        <w:pStyle w:val="Bibliography"/>
      </w:pPr>
      <w:r>
        <w:t xml:space="preserve">Beck, M., Schrandt, M., Wessel, M., Sherwood, E., Raulerson, G., Best, B., 2021. Tbeptools: Data and indicators for the tampa bay estuary program.</w:t>
      </w:r>
    </w:p>
    <w:bookmarkEnd w:id="70"/>
    <w:bookmarkStart w:id="71" w:name="ref-Beck21b"/>
    <w:p>
      <w:pPr>
        <w:pStyle w:val="Bibliography"/>
      </w:pPr>
      <w:r>
        <w:t xml:space="preserve">Beck, M.W., 2021. Ggord: Ordination plots with ggplot2.</w:t>
      </w:r>
    </w:p>
    <w:bookmarkEnd w:id="71"/>
    <w:bookmarkStart w:id="73"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2">
        <w:r>
          <w:rPr>
            <w:rStyle w:val="Hyperlink"/>
          </w:rPr>
          <w:t xml:space="preserve">https://doi.org/10.18785/gcr.2901.02</w:t>
        </w:r>
      </w:hyperlink>
    </w:p>
    <w:bookmarkEnd w:id="73"/>
    <w:bookmarkStart w:id="75"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4">
        <w:r>
          <w:rPr>
            <w:rStyle w:val="Hyperlink"/>
          </w:rPr>
          <w:t xml:space="preserve">https://doi.org/10.1007/s12237-017-0287-1</w:t>
        </w:r>
      </w:hyperlink>
    </w:p>
    <w:bookmarkEnd w:id="75"/>
    <w:bookmarkStart w:id="76" w:name="ref-Bryan20"/>
    <w:p>
      <w:pPr>
        <w:pStyle w:val="Bibliography"/>
      </w:pPr>
      <w:r>
        <w:t xml:space="preserve">Bryan, J., 2020. googlesheets4: Access google sheets using the sheets API V4.</w:t>
      </w:r>
    </w:p>
    <w:bookmarkEnd w:id="76"/>
    <w:bookmarkStart w:id="77"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7"/>
    <w:bookmarkStart w:id="79"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8">
        <w:r>
          <w:rPr>
            <w:rStyle w:val="Hyperlink"/>
          </w:rPr>
          <w:t xml:space="preserve">https://doi.org/10.1016/S0265-931X(00)00164-8</w:t>
        </w:r>
      </w:hyperlink>
    </w:p>
    <w:bookmarkEnd w:id="79"/>
    <w:bookmarkStart w:id="80" w:name="ref-DAgostino20"/>
    <w:p>
      <w:pPr>
        <w:pStyle w:val="Bibliography"/>
      </w:pPr>
      <w:r>
        <w:t xml:space="preserve">D’Agostino McGowan, L., Bryan, J., 2020. Googledrive: An interface to google drive.</w:t>
      </w:r>
    </w:p>
    <w:bookmarkEnd w:id="80"/>
    <w:bookmarkStart w:id="81"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81"/>
    <w:bookmarkStart w:id="82"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82"/>
    <w:bookmarkStart w:id="84"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3">
        <w:r>
          <w:rPr>
            <w:rStyle w:val="Hyperlink"/>
          </w:rPr>
          <w:t xml:space="preserve">https://doi.org/10.1016/j.marpolbul.2015.10.047</w:t>
        </w:r>
      </w:hyperlink>
    </w:p>
    <w:bookmarkEnd w:id="84"/>
    <w:bookmarkStart w:id="86"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5">
        <w:r>
          <w:rPr>
            <w:rStyle w:val="Hyperlink"/>
          </w:rPr>
          <w:t xml:space="preserve">https://doi.org/10.1016/j.marpolbul.2010.11.017</w:t>
        </w:r>
      </w:hyperlink>
    </w:p>
    <w:bookmarkEnd w:id="86"/>
    <w:bookmarkStart w:id="88"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87">
        <w:r>
          <w:rPr>
            <w:rStyle w:val="Hyperlink"/>
          </w:rPr>
          <w:t xml:space="preserve">https://doi.org/10.1007/s00267-005-0079-4</w:t>
        </w:r>
      </w:hyperlink>
    </w:p>
    <w:bookmarkEnd w:id="88"/>
    <w:bookmarkStart w:id="89"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9"/>
    <w:bookmarkStart w:id="91"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90">
        <w:r>
          <w:rPr>
            <w:rStyle w:val="Hyperlink"/>
          </w:rPr>
          <w:t xml:space="preserve">https://doi.org/10.1016/j.ecss.2014.10.003</w:t>
        </w:r>
      </w:hyperlink>
    </w:p>
    <w:bookmarkEnd w:id="91"/>
    <w:bookmarkStart w:id="92"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92"/>
    <w:bookmarkStart w:id="93" w:name="ref-Hollander13"/>
    <w:p>
      <w:pPr>
        <w:pStyle w:val="Bibliography"/>
      </w:pPr>
      <w:r>
        <w:t xml:space="preserve">Hollander, M., Wolfe, D.A., Chicken, E., 2013. Nonparametric statistical methods. John Wiley &amp; Sons.</w:t>
      </w:r>
    </w:p>
    <w:bookmarkEnd w:id="93"/>
    <w:bookmarkStart w:id="94" w:name="ref-Holm79"/>
    <w:p>
      <w:pPr>
        <w:pStyle w:val="Bibliography"/>
      </w:pPr>
      <w:r>
        <w:t xml:space="preserve">Holm, S., 1979. A simple sequentially rejective multiple test procedure. Scandinavian journal of statistics 65–70.</w:t>
      </w:r>
    </w:p>
    <w:bookmarkEnd w:id="94"/>
    <w:bookmarkStart w:id="96"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5">
        <w:r>
          <w:rPr>
            <w:rStyle w:val="Hyperlink"/>
          </w:rPr>
          <w:t xml:space="preserve">https://doi.org/10.4319/lo.2006.51.1_part_2.0364</w:t>
        </w:r>
      </w:hyperlink>
    </w:p>
    <w:bookmarkEnd w:id="96"/>
    <w:bookmarkStart w:id="97"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97"/>
    <w:bookmarkStart w:id="99" w:name="ref-Hudson11"/>
    <w:p>
      <w:pPr>
        <w:pStyle w:val="Bibliography"/>
      </w:pPr>
      <w:r>
        <w:t xml:space="preserve">Hudson-Edwards, K.A., Jamieson, H.E., Lottermoser, B.G., 2011. Mine wastes: Past, present, future. Elements 7, 375–380.</w:t>
      </w:r>
      <w:r>
        <w:t xml:space="preserve"> </w:t>
      </w:r>
      <w:hyperlink r:id="rId98">
        <w:r>
          <w:rPr>
            <w:rStyle w:val="Hyperlink"/>
          </w:rPr>
          <w:t xml:space="preserve">https://doi.org/10.2113/gselements.7.6.375</w:t>
        </w:r>
      </w:hyperlink>
    </w:p>
    <w:bookmarkEnd w:id="99"/>
    <w:bookmarkStart w:id="100"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00"/>
    <w:bookmarkStart w:id="101"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01"/>
    <w:bookmarkStart w:id="102" w:name="ref-Janicki08"/>
    <w:p>
      <w:pPr>
        <w:pStyle w:val="Bibliography"/>
      </w:pPr>
      <w:r>
        <w:t xml:space="preserve">Janicki Environmental, Inc., 2008. Estimation of nitrogen loading from residential irrigation. Tampa Bay Estuary Program, St. Petersburg, Florida.</w:t>
      </w:r>
    </w:p>
    <w:bookmarkEnd w:id="102"/>
    <w:bookmarkStart w:id="103"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3"/>
    <w:bookmarkStart w:id="104" w:name="ref-Lee20"/>
    <w:p>
      <w:pPr>
        <w:pStyle w:val="Bibliography"/>
      </w:pPr>
      <w:r>
        <w:t xml:space="preserve">Lee, L., 2020. NADA: Nondetects and data analysis for environmental data.</w:t>
      </w:r>
    </w:p>
    <w:bookmarkEnd w:id="104"/>
    <w:bookmarkStart w:id="106"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5">
        <w:r>
          <w:rPr>
            <w:rStyle w:val="Hyperlink"/>
          </w:rPr>
          <w:t xml:space="preserve">https://doi.org/10.18637/jss.v025.i01</w:t>
        </w:r>
      </w:hyperlink>
    </w:p>
    <w:bookmarkEnd w:id="106"/>
    <w:bookmarkStart w:id="10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07"/>
    <w:bookmarkStart w:id="109" w:name="ref-Nixon95"/>
    <w:p>
      <w:pPr>
        <w:pStyle w:val="Bibliography"/>
      </w:pPr>
      <w:r>
        <w:t xml:space="preserve">Nixon, S.W., 1995. Coastal marine eutrophication: A definition, social causes, and future concerns. Ophelia 41, 199–219.</w:t>
      </w:r>
      <w:r>
        <w:t xml:space="preserve"> </w:t>
      </w:r>
      <w:hyperlink r:id="rId108">
        <w:r>
          <w:rPr>
            <w:rStyle w:val="Hyperlink"/>
          </w:rPr>
          <w:t xml:space="preserve">https://doi.org/10.1080/00785236.1995.10422044</w:t>
        </w:r>
      </w:hyperlink>
    </w:p>
    <w:bookmarkEnd w:id="109"/>
    <w:bookmarkStart w:id="11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10"/>
    <w:bookmarkStart w:id="11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11">
        <w:r>
          <w:rPr>
            <w:rStyle w:val="Hyperlink"/>
          </w:rPr>
          <w:t xml:space="preserve">https://doi.org/10.32614/RJ-2018-009</w:t>
        </w:r>
      </w:hyperlink>
    </w:p>
    <w:bookmarkEnd w:id="112"/>
    <w:bookmarkStart w:id="11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3">
        <w:r>
          <w:rPr>
            <w:rStyle w:val="Hyperlink"/>
          </w:rPr>
          <w:t xml:space="preserve">https://doi.org/10.1016/j.scitotenv.2016.02.070</w:t>
        </w:r>
      </w:hyperlink>
    </w:p>
    <w:bookmarkEnd w:id="114"/>
    <w:bookmarkStart w:id="11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5">
        <w:r>
          <w:rPr>
            <w:rStyle w:val="Hyperlink"/>
          </w:rPr>
          <w:t xml:space="preserve">https://doi.org/10.1016/j.apgeochem.2010.02.003</w:t>
        </w:r>
      </w:hyperlink>
    </w:p>
    <w:bookmarkEnd w:id="116"/>
    <w:bookmarkStart w:id="11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17">
        <w:r>
          <w:rPr>
            <w:rStyle w:val="Hyperlink"/>
          </w:rPr>
          <w:t xml:space="preserve">https://doi.org/10.1016/j.atmosenv.2012.12.030</w:t>
        </w:r>
      </w:hyperlink>
    </w:p>
    <w:bookmarkEnd w:id="118"/>
    <w:bookmarkStart w:id="119" w:name="ref-RCT20"/>
    <w:p>
      <w:pPr>
        <w:pStyle w:val="Bibliography"/>
      </w:pPr>
      <w:r>
        <w:t xml:space="preserve">R Core Team, 2020. R: A language and environment for statistical computing, v4.0.3. R Foundation for Statistical Computing, Vienna, Austria.</w:t>
      </w:r>
    </w:p>
    <w:bookmarkEnd w:id="119"/>
    <w:bookmarkStart w:id="12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20">
        <w:r>
          <w:rPr>
            <w:rStyle w:val="Hyperlink"/>
          </w:rPr>
          <w:t xml:space="preserve">https://doi.org/10.1007/s11270-013-1742-7</w:t>
        </w:r>
      </w:hyperlink>
    </w:p>
    <w:bookmarkEnd w:id="121"/>
    <w:bookmarkStart w:id="123"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22">
        <w:r>
          <w:rPr>
            <w:rStyle w:val="Hyperlink"/>
          </w:rPr>
          <w:t xml:space="preserve">https://doi.org/10.1016/j.ecolind.2020.107310</w:t>
        </w:r>
      </w:hyperlink>
    </w:p>
    <w:bookmarkEnd w:id="123"/>
    <w:bookmarkStart w:id="125"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24">
        <w:r>
          <w:rPr>
            <w:rStyle w:val="Hyperlink"/>
          </w:rPr>
          <w:t xml:space="preserve">https://doi.org/10.1007/s00267-013-0179-5</w:t>
        </w:r>
      </w:hyperlink>
    </w:p>
    <w:bookmarkEnd w:id="125"/>
    <w:bookmarkStart w:id="12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6">
        <w:r>
          <w:rPr>
            <w:rStyle w:val="Hyperlink"/>
          </w:rPr>
          <w:t xml:space="preserve">https://doi.org/10.1353/sgo.2017.0026</w:t>
        </w:r>
      </w:hyperlink>
    </w:p>
    <w:bookmarkEnd w:id="127"/>
    <w:bookmarkStart w:id="128"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28"/>
    <w:bookmarkStart w:id="129"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29"/>
    <w:bookmarkStart w:id="131"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30">
        <w:r>
          <w:rPr>
            <w:rStyle w:val="Hyperlink"/>
          </w:rPr>
          <w:t xml:space="preserve">https://doi.org/10.1016/j.jenvman.2009.03.007</w:t>
        </w:r>
      </w:hyperlink>
    </w:p>
    <w:bookmarkEnd w:id="131"/>
    <w:bookmarkStart w:id="133"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32">
        <w:r>
          <w:rPr>
            <w:rStyle w:val="Hyperlink"/>
          </w:rPr>
          <w:t xml:space="preserve">https://doi.org/10.1016/j.marpolbul.2020.111247</w:t>
        </w:r>
      </w:hyperlink>
    </w:p>
    <w:bookmarkEnd w:id="133"/>
    <w:bookmarkStart w:id="135"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34">
        <w:r>
          <w:rPr>
            <w:rStyle w:val="Hyperlink"/>
          </w:rPr>
          <w:t xml:space="preserve">https://doi.org/10.4319/lo.1997.42.5_part_2.1105</w:t>
        </w:r>
      </w:hyperlink>
    </w:p>
    <w:bookmarkEnd w:id="135"/>
    <w:bookmarkStart w:id="136"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36"/>
    <w:bookmarkStart w:id="138"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37">
        <w:r>
          <w:rPr>
            <w:rStyle w:val="Hyperlink"/>
          </w:rPr>
          <w:t xml:space="preserve">https://doi.org/10.21105/joss.01686</w:t>
        </w:r>
      </w:hyperlink>
    </w:p>
    <w:bookmarkEnd w:id="138"/>
    <w:bookmarkEnd w:id="139"/>
    <w:bookmarkEnd w:id="14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4" Target="media/rId64.jpg" /><Relationship Type="http://schemas.openxmlformats.org/officeDocument/2006/relationships/image" Id="rId63" Target="media/rId63.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5" Target="media/rId65.jpg" /><Relationship Type="http://schemas.openxmlformats.org/officeDocument/2006/relationships/hyperlink" Id="rId87" Target="https://doi.org/10.1007/s00267-005-0079-4" TargetMode="External" /><Relationship Type="http://schemas.openxmlformats.org/officeDocument/2006/relationships/hyperlink" Id="rId124" Target="https://doi.org/10.1007/s00267-013-0179-5" TargetMode="External" /><Relationship Type="http://schemas.openxmlformats.org/officeDocument/2006/relationships/hyperlink" Id="rId120" Target="https://doi.org/10.1007/s11270-013-1742-7" TargetMode="External" /><Relationship Type="http://schemas.openxmlformats.org/officeDocument/2006/relationships/hyperlink" Id="rId74" Target="https://doi.org/10.1007/s12237-017-0287-1" TargetMode="External" /><Relationship Type="http://schemas.openxmlformats.org/officeDocument/2006/relationships/hyperlink" Id="rId78" Target="https://doi.org/10.1016/S0265-931X(00)00164-8" TargetMode="External" /><Relationship Type="http://schemas.openxmlformats.org/officeDocument/2006/relationships/hyperlink" Id="rId115" Target="https://doi.org/10.1016/j.apgeochem.2010.02.003" TargetMode="External" /><Relationship Type="http://schemas.openxmlformats.org/officeDocument/2006/relationships/hyperlink" Id="rId117" Target="https://doi.org/10.1016/j.atmosenv.2012.12.030" TargetMode="External" /><Relationship Type="http://schemas.openxmlformats.org/officeDocument/2006/relationships/hyperlink" Id="rId122"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130" Target="https://doi.org/10.1016/j.jenvman.2009.03.007" TargetMode="External" /><Relationship Type="http://schemas.openxmlformats.org/officeDocument/2006/relationships/hyperlink" Id="rId85" Target="https://doi.org/10.1016/j.marpolbul.2010.11.017" TargetMode="External" /><Relationship Type="http://schemas.openxmlformats.org/officeDocument/2006/relationships/hyperlink" Id="rId83" Target="https://doi.org/10.1016/j.marpolbul.2015.10.047" TargetMode="External" /><Relationship Type="http://schemas.openxmlformats.org/officeDocument/2006/relationships/hyperlink" Id="rId132" Target="https://doi.org/10.1016/j.marpolbul.2020.111247" TargetMode="External" /><Relationship Type="http://schemas.openxmlformats.org/officeDocument/2006/relationships/hyperlink" Id="rId113" Target="https://doi.org/10.1016/j.scitotenv.2016.02.070" TargetMode="External" /><Relationship Type="http://schemas.openxmlformats.org/officeDocument/2006/relationships/hyperlink" Id="rId108" Target="https://doi.org/10.1080/00785236.1995.10422044" TargetMode="External" /><Relationship Type="http://schemas.openxmlformats.org/officeDocument/2006/relationships/hyperlink" Id="rId126" Target="https://doi.org/10.1353/sgo.2017.0026" TargetMode="External" /><Relationship Type="http://schemas.openxmlformats.org/officeDocument/2006/relationships/hyperlink" Id="rId105" Target="https://doi.org/10.18637/jss.v025.i01" TargetMode="External" /><Relationship Type="http://schemas.openxmlformats.org/officeDocument/2006/relationships/hyperlink" Id="rId72" Target="https://doi.org/10.18785/gcr.2901.02" TargetMode="External" /><Relationship Type="http://schemas.openxmlformats.org/officeDocument/2006/relationships/hyperlink" Id="rId137" Target="https://doi.org/10.21105/joss.01686" TargetMode="External" /><Relationship Type="http://schemas.openxmlformats.org/officeDocument/2006/relationships/hyperlink" Id="rId98" Target="https://doi.org/10.2113/gselements.7.6.375" TargetMode="External" /><Relationship Type="http://schemas.openxmlformats.org/officeDocument/2006/relationships/hyperlink" Id="rId111" Target="https://doi.org/10.32614/RJ-2018-009" TargetMode="External" /><Relationship Type="http://schemas.openxmlformats.org/officeDocument/2006/relationships/hyperlink" Id="rId134" Target="https://doi.org/10.4319/lo.1997.42.5_part_2.1105" TargetMode="External" /><Relationship Type="http://schemas.openxmlformats.org/officeDocument/2006/relationships/hyperlink" Id="rId95"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3" Target="https://myfwc.com/research/manatee/rescue-mortality-response/statistics/mortality/2021/" TargetMode="External" /><Relationship Type="http://schemas.openxmlformats.org/officeDocument/2006/relationships/hyperlink" Id="rId67"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2"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6" Target="https://www.ncei.noaa.gov/maps/habsos" TargetMode="External" /><Relationship Type="http://schemas.openxmlformats.org/officeDocument/2006/relationships/hyperlink" Id="rId54"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87" Target="https://doi.org/10.1007/s00267-005-0079-4" TargetMode="External" /><Relationship Type="http://schemas.openxmlformats.org/officeDocument/2006/relationships/hyperlink" Id="rId124" Target="https://doi.org/10.1007/s00267-013-0179-5" TargetMode="External" /><Relationship Type="http://schemas.openxmlformats.org/officeDocument/2006/relationships/hyperlink" Id="rId120" Target="https://doi.org/10.1007/s11270-013-1742-7" TargetMode="External" /><Relationship Type="http://schemas.openxmlformats.org/officeDocument/2006/relationships/hyperlink" Id="rId74" Target="https://doi.org/10.1007/s12237-017-0287-1" TargetMode="External" /><Relationship Type="http://schemas.openxmlformats.org/officeDocument/2006/relationships/hyperlink" Id="rId78" Target="https://doi.org/10.1016/S0265-931X(00)00164-8" TargetMode="External" /><Relationship Type="http://schemas.openxmlformats.org/officeDocument/2006/relationships/hyperlink" Id="rId115" Target="https://doi.org/10.1016/j.apgeochem.2010.02.003" TargetMode="External" /><Relationship Type="http://schemas.openxmlformats.org/officeDocument/2006/relationships/hyperlink" Id="rId117" Target="https://doi.org/10.1016/j.atmosenv.2012.12.030" TargetMode="External" /><Relationship Type="http://schemas.openxmlformats.org/officeDocument/2006/relationships/hyperlink" Id="rId122"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130" Target="https://doi.org/10.1016/j.jenvman.2009.03.007" TargetMode="External" /><Relationship Type="http://schemas.openxmlformats.org/officeDocument/2006/relationships/hyperlink" Id="rId85" Target="https://doi.org/10.1016/j.marpolbul.2010.11.017" TargetMode="External" /><Relationship Type="http://schemas.openxmlformats.org/officeDocument/2006/relationships/hyperlink" Id="rId83" Target="https://doi.org/10.1016/j.marpolbul.2015.10.047" TargetMode="External" /><Relationship Type="http://schemas.openxmlformats.org/officeDocument/2006/relationships/hyperlink" Id="rId132" Target="https://doi.org/10.1016/j.marpolbul.2020.111247" TargetMode="External" /><Relationship Type="http://schemas.openxmlformats.org/officeDocument/2006/relationships/hyperlink" Id="rId113" Target="https://doi.org/10.1016/j.scitotenv.2016.02.070" TargetMode="External" /><Relationship Type="http://schemas.openxmlformats.org/officeDocument/2006/relationships/hyperlink" Id="rId108" Target="https://doi.org/10.1080/00785236.1995.10422044" TargetMode="External" /><Relationship Type="http://schemas.openxmlformats.org/officeDocument/2006/relationships/hyperlink" Id="rId126" Target="https://doi.org/10.1353/sgo.2017.0026" TargetMode="External" /><Relationship Type="http://schemas.openxmlformats.org/officeDocument/2006/relationships/hyperlink" Id="rId105" Target="https://doi.org/10.18637/jss.v025.i01" TargetMode="External" /><Relationship Type="http://schemas.openxmlformats.org/officeDocument/2006/relationships/hyperlink" Id="rId72" Target="https://doi.org/10.18785/gcr.2901.02" TargetMode="External" /><Relationship Type="http://schemas.openxmlformats.org/officeDocument/2006/relationships/hyperlink" Id="rId137" Target="https://doi.org/10.21105/joss.01686" TargetMode="External" /><Relationship Type="http://schemas.openxmlformats.org/officeDocument/2006/relationships/hyperlink" Id="rId98" Target="https://doi.org/10.2113/gselements.7.6.375" TargetMode="External" /><Relationship Type="http://schemas.openxmlformats.org/officeDocument/2006/relationships/hyperlink" Id="rId111" Target="https://doi.org/10.32614/RJ-2018-009" TargetMode="External" /><Relationship Type="http://schemas.openxmlformats.org/officeDocument/2006/relationships/hyperlink" Id="rId134" Target="https://doi.org/10.4319/lo.1997.42.5_part_2.1105" TargetMode="External" /><Relationship Type="http://schemas.openxmlformats.org/officeDocument/2006/relationships/hyperlink" Id="rId95"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3" Target="https://myfwc.com/research/manatee/rescue-mortality-response/statistics/mortality/2021/" TargetMode="External" /><Relationship Type="http://schemas.openxmlformats.org/officeDocument/2006/relationships/hyperlink" Id="rId67"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2"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6" Target="https://www.ncei.noaa.gov/maps/habsos" TargetMode="External" /><Relationship Type="http://schemas.openxmlformats.org/officeDocument/2006/relationships/hyperlink" Id="rId54"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2021-09-02T21:27:45Z</dcterms:created>
  <dcterms:modified xsi:type="dcterms:W3CDTF">2021-09-02T21:27:45Z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