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jpg" ContentType="image/jpeg"/>
  <Override PartName="/word/media/rId37.jpg" ContentType="image/jpeg"/>
  <Override PartName="/word/media/rId41.jpg" ContentType="image/jpeg"/>
  <Override PartName="/word/media/rId38.jpg" ContentType="image/jpeg"/>
  <Override PartName="/word/media/rId42.jpg" ContentType="image/jpeg"/>
  <Override PartName="/word/media/rId43.jpg" ContentType="image/jpeg"/>
  <Override PartName="/word/media/rId39.jpg" ContentType="image/jpeg"/>
  <Override PartName="/word/media/rId40.jpg" ContentType="image/jpeg"/>
  <Override PartName="/word/media/rId4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2021-08-16 15:35:42</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in 2001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(FLDEP). Decreasing holding capacity of the ponds with seasonal rain events and storage of dredging material from nearby Port Manatee have contributed to degradation of the facility. Discharges of wastewater from the stacks occurred in 2010 to nearby Bishops Harbor connected to Tampa Bay</w:t>
      </w:r>
      <w:r>
        <w:t xml:space="preserve"> </w:t>
      </w:r>
      <w:r>
        <w:t xml:space="preserve">(</w:t>
      </w:r>
      <w:hyperlink w:anchor="ref-Garrett11">
        <w:r>
          <w:rPr>
            <w:rStyle w:val="Hyperlink"/>
          </w:rPr>
          <w:t xml:space="preserve">Garrett et al., 2011</w:t>
        </w:r>
      </w:hyperlink>
      <w:r>
        <w:t xml:space="preserve">)</w:t>
      </w:r>
      <w:r>
        <w:t xml:space="preserve">. Recently, FLDEP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seagrass, benthic, and nekton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2" w:name="methods"/>
    <w:p>
      <w:pPr>
        <w:pStyle w:val="Heading1"/>
      </w:pPr>
      <w:r>
        <w:t xml:space="preserve">Methods</w:t>
      </w:r>
    </w:p>
    <w:p>
      <w:pPr>
        <w:numPr>
          <w:ilvl w:val="0"/>
          <w:numId w:val="1001"/>
        </w:numPr>
        <w:pStyle w:val="Compact"/>
      </w:pPr>
      <w:r>
        <w:t xml:space="preserve">Historical timeline:</w:t>
      </w:r>
      <w:r>
        <w:t xml:space="preserve"> </w:t>
      </w:r>
      <w:hyperlink r:id="rId30">
        <w:r>
          <w:rPr>
            <w:rStyle w:val="Hyperlink"/>
          </w:rPr>
          <w:t xml:space="preserve">https://docs.google.com/document/d/1KqaEAYEG7pdcGpWbUjONfVKMHHB6_kOkKCyncp4JYKA/edit</w:t>
        </w:r>
      </w:hyperlink>
      <w:r>
        <w:t xml:space="preserve">,</w:t>
      </w:r>
      <w:r>
        <w:t xml:space="preserve"> </w:t>
      </w:r>
      <w:hyperlink r:id="rId31">
        <w:r>
          <w:rPr>
            <w:rStyle w:val="Hyperlink"/>
          </w:rPr>
          <w:t xml:space="preserve">https://thebradentontimes.com/piney-point-a-retrospective-p6328-158.htm</w:t>
        </w:r>
      </w:hyperlink>
    </w:p>
    <w:p>
      <w:pPr>
        <w:numPr>
          <w:ilvl w:val="0"/>
          <w:numId w:val="1001"/>
        </w:numPr>
        <w:pStyle w:val="Compact"/>
      </w:pPr>
      <w:r>
        <w:t xml:space="preserve">Initial response, data collection</w:t>
      </w:r>
    </w:p>
    <w:p>
      <w:pPr>
        <w:numPr>
          <w:ilvl w:val="0"/>
          <w:numId w:val="1001"/>
        </w:numPr>
        <w:pStyle w:val="Compact"/>
      </w:pPr>
      <w:r>
        <w:t xml:space="preserve">Synthesis and Analysis</w:t>
      </w:r>
    </w:p>
    <w:bookmarkEnd w:id="32"/>
    <w:bookmarkStart w:id="33" w:name="results"/>
    <w:p>
      <w:pPr>
        <w:pStyle w:val="Heading1"/>
      </w:pPr>
      <w:r>
        <w:t xml:space="preserve">Results</w:t>
      </w:r>
    </w:p>
    <w:p>
      <w:pPr>
        <w:numPr>
          <w:ilvl w:val="0"/>
          <w:numId w:val="1002"/>
        </w:numPr>
      </w:pPr>
      <w:r>
        <w:t xml:space="preserve">Figure</w:t>
      </w:r>
      <w:r>
        <w:t xml:space="preserve"> </w:t>
      </w:r>
      <w:r>
        <w:t xml:space="preserve">1</w:t>
      </w:r>
      <w:r>
        <w:t xml:space="preserve"> </w:t>
      </w:r>
      <w:r>
        <w:t xml:space="preserve">map</w:t>
      </w:r>
    </w:p>
    <w:p>
      <w:pPr>
        <w:numPr>
          <w:ilvl w:val="0"/>
          <w:numId w:val="1002"/>
        </w:numPr>
      </w:pPr>
      <w:r>
        <w:t xml:space="preserve">Figure</w:t>
      </w:r>
      <w:r>
        <w:t xml:space="preserve"> </w:t>
      </w:r>
      <w:r>
        <w:t xml:space="preserve">2</w:t>
      </w:r>
      <w:r>
        <w:t xml:space="preserve"> </w:t>
      </w:r>
      <w:r>
        <w:t xml:space="preserve">timeline of events</w:t>
      </w:r>
    </w:p>
    <w:p>
      <w:pPr>
        <w:numPr>
          <w:ilvl w:val="0"/>
          <w:numId w:val="1002"/>
        </w:numPr>
      </w:pPr>
      <w:r>
        <w:t xml:space="preserve">Figure</w:t>
      </w:r>
      <w:r>
        <w:t xml:space="preserve"> </w:t>
      </w:r>
      <w:r>
        <w:t xml:space="preserve">3</w:t>
      </w:r>
      <w:r>
        <w:t xml:space="preserve"> </w:t>
      </w:r>
      <w:r>
        <w:t xml:space="preserve">map of water quality observations</w:t>
      </w:r>
    </w:p>
    <w:p>
      <w:pPr>
        <w:numPr>
          <w:ilvl w:val="0"/>
          <w:numId w:val="1002"/>
        </w:numPr>
      </w:pPr>
      <w:r>
        <w:t xml:space="preserve">Figure</w:t>
      </w:r>
      <w:r>
        <w:t xml:space="preserve"> </w:t>
      </w:r>
      <w:r>
        <w:t xml:space="preserve">4</w:t>
      </w:r>
      <w:r>
        <w:t xml:space="preserve"> </w:t>
      </w:r>
      <w:r>
        <w:t xml:space="preserve">boxplots by week with +/-1sd for monthly long-term</w:t>
      </w:r>
    </w:p>
    <w:p>
      <w:pPr>
        <w:numPr>
          <w:ilvl w:val="0"/>
          <w:numId w:val="1002"/>
        </w:numPr>
      </w:pPr>
      <w:r>
        <w:t xml:space="preserve">Figure</w:t>
      </w:r>
      <w:r>
        <w:t xml:space="preserve"> </w:t>
      </w:r>
      <w:r>
        <w:t xml:space="preserve">5</w:t>
      </w:r>
      <w:r>
        <w:t xml:space="preserve"> </w:t>
      </w:r>
      <w:r>
        <w:t xml:space="preserve">pca and correlations of all wq variables, by area</w:t>
      </w:r>
    </w:p>
    <w:p>
      <w:pPr>
        <w:numPr>
          <w:ilvl w:val="0"/>
          <w:numId w:val="1002"/>
        </w:numPr>
      </w:pPr>
      <w:r>
        <w:t xml:space="preserve">Figure</w:t>
      </w:r>
      <w:r>
        <w:t xml:space="preserve"> </w:t>
      </w:r>
      <w:r>
        <w:t xml:space="preserve">6</w:t>
      </w:r>
      <w:r>
        <w:t xml:space="preserve"> </w:t>
      </w:r>
      <w:r>
        <w:t xml:space="preserve">seagrass and macroalgae example transect</w:t>
      </w:r>
    </w:p>
    <w:p>
      <w:pPr>
        <w:numPr>
          <w:ilvl w:val="0"/>
          <w:numId w:val="1002"/>
        </w:numPr>
      </w:pPr>
      <w:r>
        <w:t xml:space="preserve">Figure</w:t>
      </w:r>
      <w:r>
        <w:t xml:space="preserve"> </w:t>
      </w:r>
      <w:r>
        <w:t xml:space="preserve">7</w:t>
      </w:r>
      <w:r>
        <w:t xml:space="preserve"> </w:t>
      </w:r>
      <w:r>
        <w:t xml:space="preserve">seagrass, macroalgae frequency occurrence estimates</w:t>
      </w:r>
    </w:p>
    <w:p>
      <w:pPr>
        <w:numPr>
          <w:ilvl w:val="0"/>
          <w:numId w:val="1002"/>
        </w:numPr>
      </w:pPr>
      <w:r>
        <w:t xml:space="preserve">Figure</w:t>
      </w:r>
      <w:r>
        <w:t xml:space="preserve"> </w:t>
      </w:r>
      <w:r>
        <w:t xml:space="preserve">8</w:t>
      </w:r>
      <w:r>
        <w:t xml:space="preserve"> </w:t>
      </w:r>
      <w:r>
        <w:t xml:space="preserve">seagrass, macralgae, wq pca and correlation matrix</w:t>
      </w:r>
    </w:p>
    <w:p>
      <w:pPr>
        <w:numPr>
          <w:ilvl w:val="0"/>
          <w:numId w:val="1002"/>
        </w:numPr>
      </w:pPr>
      <w:r>
        <w:t xml:space="preserve">Figure</w:t>
      </w:r>
      <w:r>
        <w:t xml:space="preserve"> </w:t>
      </w:r>
      <w:r>
        <w:t xml:space="preserve">9</w:t>
      </w:r>
      <w:r>
        <w:t xml:space="preserve"> </w:t>
      </w:r>
      <w:r>
        <w:t xml:space="preserve">red tide historic and current, fish kill reports historic and current</w:t>
      </w:r>
    </w:p>
    <w:p>
      <w:pPr>
        <w:numPr>
          <w:ilvl w:val="0"/>
          <w:numId w:val="1002"/>
        </w:numPr>
      </w:pPr>
      <w:r>
        <w:t xml:space="preserve">Table 1 Data collected</w:t>
      </w:r>
    </w:p>
    <w:p>
      <w:pPr>
        <w:numPr>
          <w:ilvl w:val="0"/>
          <w:numId w:val="1002"/>
        </w:numPr>
      </w:pPr>
      <w:r>
        <w:t xml:space="preserve">Table 2 Stack/effluent characteristics, load estimates</w:t>
      </w:r>
    </w:p>
    <w:p>
      <w:pPr>
        <w:numPr>
          <w:ilvl w:val="0"/>
          <w:numId w:val="1002"/>
        </w:numPr>
      </w:pPr>
      <w:r>
        <w:t xml:space="preserve">Table 3 Tukey multiple comparisons of water quality by week/area, with median/min/max</w:t>
      </w:r>
    </w:p>
    <w:bookmarkEnd w:id="33"/>
    <w:bookmarkStart w:id="35" w:name="discussion"/>
    <w:p>
      <w:pPr>
        <w:pStyle w:val="Heading1"/>
      </w:pPr>
      <w:r>
        <w:t xml:space="preserve">Discussion</w:t>
      </w:r>
    </w:p>
    <w:p>
      <w:pPr>
        <w:numPr>
          <w:ilvl w:val="0"/>
          <w:numId w:val="1003"/>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34">
        <w:r>
          <w:rPr>
            <w:rStyle w:val="Hyperlink"/>
          </w:rPr>
          <w:t xml:space="preserve">link</w:t>
        </w:r>
      </w:hyperlink>
    </w:p>
    <w:p>
      <w:pPr>
        <w:numPr>
          <w:ilvl w:val="0"/>
          <w:numId w:val="1003"/>
        </w:numPr>
        <w:pStyle w:val="Compact"/>
      </w:pPr>
      <w:r>
        <w:t xml:space="preserve">Analysis limitations: no smoking gun but 2021 is an anomaly, additional info (benthic diversity TBD, nekton diversity TBD, large mammals, etc.), response-based monitoring may be biased</w:t>
      </w:r>
    </w:p>
    <w:p>
      <w:pPr>
        <w:numPr>
          <w:ilvl w:val="0"/>
          <w:numId w:val="1003"/>
        </w:numPr>
        <w:pStyle w:val="Compact"/>
      </w:pPr>
      <w:r>
        <w:t xml:space="preserve">Potential long-term impacts TBD</w:t>
      </w:r>
    </w:p>
    <w:p>
      <w:pPr>
        <w:numPr>
          <w:ilvl w:val="0"/>
          <w:numId w:val="1003"/>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3"/>
        </w:numPr>
        <w:pStyle w:val="Compact"/>
      </w:pPr>
      <w:r>
        <w:t xml:space="preserve">Risk of decline (IRL ex.), regression of past progress</w:t>
      </w:r>
    </w:p>
    <w:bookmarkEnd w:id="35"/>
    <w:bookmarkStart w:id="36" w:name="acknowledgments"/>
    <w:p>
      <w:pPr>
        <w:pStyle w:val="Heading1"/>
      </w:pPr>
      <w:r>
        <w:t xml:space="preserve">Acknowledgments</w:t>
      </w:r>
    </w:p>
    <w:bookmarkEnd w:id="36"/>
    <w:bookmarkStart w:id="48"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3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3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3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4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41"/>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42"/>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43"/>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4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45"/>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46">
        <w:r>
          <w:rPr>
            <w:rStyle w:val="Hyperlink"/>
          </w:rPr>
          <w:t xml:space="preserve">https://www.ncei.noaa.gov/maps/habsos</w:t>
        </w:r>
      </w:hyperlink>
      <w:r>
        <w:t xml:space="preserve">), Fish kill reports are from Florida Wildlife Research Insitute Fish Kill Database, attributed to</w:t>
      </w:r>
      <w:r>
        <w:t xml:space="preserve"> </w:t>
      </w:r>
      <w:r>
        <w:rPr>
          <w:iCs/>
          <w:i/>
        </w:rPr>
        <w:t xml:space="preserve">K. brevis</w:t>
      </w:r>
      <w:r>
        <w:t xml:space="preserve"> </w:t>
      </w:r>
      <w:r>
        <w:t xml:space="preserve">(</w:t>
      </w:r>
      <w:hyperlink r:id="rId47">
        <w:r>
          <w:rPr>
            <w:rStyle w:val="Hyperlink"/>
          </w:rPr>
          <w:t xml:space="preserve">https://public.myfwc.com/FWRI/FishKillReport/</w:t>
        </w:r>
      </w:hyperlink>
      <w:r>
        <w:t xml:space="preserve">).</w:t>
      </w:r>
    </w:p>
    <w:bookmarkEnd w:id="48"/>
    <w:bookmarkStart w:id="49" w:name="tables"/>
    <w:p>
      <w:pPr>
        <w:pStyle w:val="Heading1"/>
      </w:pPr>
      <w:r>
        <w:t xml:space="preserve">Tables</w:t>
      </w:r>
    </w:p>
    <w:bookmarkEnd w:id="49"/>
    <w:bookmarkStart w:id="97" w:name="references"/>
    <w:p>
      <w:pPr>
        <w:pStyle w:val="Heading1"/>
      </w:pPr>
      <w:r>
        <w:t xml:space="preserve">References</w:t>
      </w:r>
    </w:p>
    <w:bookmarkStart w:id="96" w:name="refs"/>
    <w:bookmarkStart w:id="51"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50">
        <w:r>
          <w:rPr>
            <w:rStyle w:val="Hyperlink"/>
          </w:rPr>
          <w:t xml:space="preserve">https://doi.org/10.18785/gcr.2901.02</w:t>
        </w:r>
      </w:hyperlink>
    </w:p>
    <w:bookmarkEnd w:id="51"/>
    <w:bookmarkStart w:id="53"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52">
        <w:r>
          <w:rPr>
            <w:rStyle w:val="Hyperlink"/>
          </w:rPr>
          <w:t xml:space="preserve">https://doi.org/10.1007/s12237-017-0287-1</w:t>
        </w:r>
      </w:hyperlink>
    </w:p>
    <w:bookmarkEnd w:id="53"/>
    <w:bookmarkStart w:id="54"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54"/>
    <w:bookmarkStart w:id="56"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55">
        <w:r>
          <w:rPr>
            <w:rStyle w:val="Hyperlink"/>
          </w:rPr>
          <w:t xml:space="preserve">https://doi.org/10.1016/S0265-931X(00)00164-8</w:t>
        </w:r>
      </w:hyperlink>
    </w:p>
    <w:bookmarkEnd w:id="56"/>
    <w:bookmarkStart w:id="57"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57"/>
    <w:bookmarkStart w:id="59"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58">
        <w:r>
          <w:rPr>
            <w:rStyle w:val="Hyperlink"/>
          </w:rPr>
          <w:t xml:space="preserve">https://doi.org/10.1016/j.marpolbul.2015.10.047</w:t>
        </w:r>
      </w:hyperlink>
    </w:p>
    <w:bookmarkEnd w:id="59"/>
    <w:bookmarkStart w:id="61"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0">
        <w:r>
          <w:rPr>
            <w:rStyle w:val="Hyperlink"/>
          </w:rPr>
          <w:t xml:space="preserve">https://doi.org/10.1016/j.marpolbul.2010.11.017</w:t>
        </w:r>
      </w:hyperlink>
    </w:p>
    <w:bookmarkEnd w:id="61"/>
    <w:bookmarkStart w:id="63"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62">
        <w:r>
          <w:rPr>
            <w:rStyle w:val="Hyperlink"/>
          </w:rPr>
          <w:t xml:space="preserve">https://doi.org/10.1007/s00267-005-0079-4</w:t>
        </w:r>
      </w:hyperlink>
    </w:p>
    <w:bookmarkEnd w:id="63"/>
    <w:bookmarkStart w:id="64"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64"/>
    <w:bookmarkStart w:id="66"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65">
        <w:r>
          <w:rPr>
            <w:rStyle w:val="Hyperlink"/>
          </w:rPr>
          <w:t xml:space="preserve">https://doi.org/10.1016/j.ecss.2014.10.003</w:t>
        </w:r>
      </w:hyperlink>
    </w:p>
    <w:bookmarkEnd w:id="66"/>
    <w:bookmarkStart w:id="67"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7"/>
    <w:bookmarkStart w:id="69"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68">
        <w:r>
          <w:rPr>
            <w:rStyle w:val="Hyperlink"/>
          </w:rPr>
          <w:t xml:space="preserve">https://doi.org/10.4319/lo.2006.51.1_part_2.0364</w:t>
        </w:r>
      </w:hyperlink>
    </w:p>
    <w:bookmarkEnd w:id="69"/>
    <w:bookmarkStart w:id="71" w:name="ref-Hudson11"/>
    <w:p>
      <w:pPr>
        <w:pStyle w:val="Bibliography"/>
      </w:pPr>
      <w:r>
        <w:t xml:space="preserve">Hudson-Edwards, K.A., Jamieson, H.E., Lottermoser, B.G., 2011. Mine wastes: Past, present, future. Elements 7, 375–380.</w:t>
      </w:r>
      <w:r>
        <w:t xml:space="preserve"> </w:t>
      </w:r>
      <w:hyperlink r:id="rId70">
        <w:r>
          <w:rPr>
            <w:rStyle w:val="Hyperlink"/>
          </w:rPr>
          <w:t xml:space="preserve">https://doi.org/10.2113/gselements.7.6.375</w:t>
        </w:r>
      </w:hyperlink>
    </w:p>
    <w:bookmarkEnd w:id="71"/>
    <w:bookmarkStart w:id="72"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72"/>
    <w:bookmarkStart w:id="73"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73"/>
    <w:bookmarkStart w:id="74" w:name="ref-Janicki08"/>
    <w:p>
      <w:pPr>
        <w:pStyle w:val="Bibliography"/>
      </w:pPr>
      <w:r>
        <w:t xml:space="preserve">Janicki Environmental, Inc., 2008. Estimation of nitrogen loading from residential irrigation. Tampa Bay Estuary Program, St. Petersburg, Florida.</w:t>
      </w:r>
    </w:p>
    <w:bookmarkEnd w:id="74"/>
    <w:bookmarkStart w:id="75"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75"/>
    <w:bookmarkStart w:id="76"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76"/>
    <w:bookmarkStart w:id="78" w:name="ref-Nixon95"/>
    <w:p>
      <w:pPr>
        <w:pStyle w:val="Bibliography"/>
      </w:pPr>
      <w:r>
        <w:t xml:space="preserve">Nixon, S.W., 1995. Coastal marine eutrophication: A definition, social causes, and future concerns. Ophelia 41, 199–219.</w:t>
      </w:r>
      <w:r>
        <w:t xml:space="preserve"> </w:t>
      </w:r>
      <w:hyperlink r:id="rId77">
        <w:r>
          <w:rPr>
            <w:rStyle w:val="Hyperlink"/>
          </w:rPr>
          <w:t xml:space="preserve">https://doi.org/10.1080/00785236.1995.10422044</w:t>
        </w:r>
      </w:hyperlink>
    </w:p>
    <w:bookmarkEnd w:id="78"/>
    <w:bookmarkStart w:id="79"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79"/>
    <w:bookmarkStart w:id="81"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80">
        <w:r>
          <w:rPr>
            <w:rStyle w:val="Hyperlink"/>
          </w:rPr>
          <w:t xml:space="preserve">https://doi.org/10.1016/j.scitotenv.2016.02.070</w:t>
        </w:r>
      </w:hyperlink>
    </w:p>
    <w:bookmarkEnd w:id="81"/>
    <w:bookmarkStart w:id="83"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82">
        <w:r>
          <w:rPr>
            <w:rStyle w:val="Hyperlink"/>
          </w:rPr>
          <w:t xml:space="preserve">https://doi.org/10.1016/j.apgeochem.2010.02.003</w:t>
        </w:r>
      </w:hyperlink>
    </w:p>
    <w:bookmarkEnd w:id="83"/>
    <w:bookmarkStart w:id="85"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84">
        <w:r>
          <w:rPr>
            <w:rStyle w:val="Hyperlink"/>
          </w:rPr>
          <w:t xml:space="preserve">https://doi.org/10.1016/j.atmosenv.2012.12.030</w:t>
        </w:r>
      </w:hyperlink>
    </w:p>
    <w:bookmarkEnd w:id="85"/>
    <w:bookmarkStart w:id="87"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86">
        <w:r>
          <w:rPr>
            <w:rStyle w:val="Hyperlink"/>
          </w:rPr>
          <w:t xml:space="preserve">https://doi.org/10.1007/s11270-013-1742-7</w:t>
        </w:r>
      </w:hyperlink>
    </w:p>
    <w:bookmarkEnd w:id="87"/>
    <w:bookmarkStart w:id="89"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88">
        <w:r>
          <w:rPr>
            <w:rStyle w:val="Hyperlink"/>
          </w:rPr>
          <w:t xml:space="preserve">https://doi.org/10.1007/s00267-013-0179-5</w:t>
        </w:r>
      </w:hyperlink>
    </w:p>
    <w:bookmarkEnd w:id="89"/>
    <w:bookmarkStart w:id="91"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90">
        <w:r>
          <w:rPr>
            <w:rStyle w:val="Hyperlink"/>
          </w:rPr>
          <w:t xml:space="preserve">https://doi.org/10.1353/sgo.2017.0026</w:t>
        </w:r>
      </w:hyperlink>
    </w:p>
    <w:bookmarkEnd w:id="91"/>
    <w:bookmarkStart w:id="93"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92">
        <w:r>
          <w:rPr>
            <w:rStyle w:val="Hyperlink"/>
          </w:rPr>
          <w:t xml:space="preserve">https://doi.org/10.1016/j.jenvman.2009.03.007</w:t>
        </w:r>
      </w:hyperlink>
    </w:p>
    <w:bookmarkEnd w:id="93"/>
    <w:bookmarkStart w:id="95"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94">
        <w:r>
          <w:rPr>
            <w:rStyle w:val="Hyperlink"/>
          </w:rPr>
          <w:t xml:space="preserve">https://doi.org/10.1016/j.marpolbul.2020.111247</w:t>
        </w:r>
      </w:hyperlink>
    </w:p>
    <w:bookmarkEnd w:id="95"/>
    <w:bookmarkEnd w:id="96"/>
    <w:bookmarkEnd w:id="97"/>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5" Target="media/rId45.jpg" /><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88" Target="https://doi.org/10.1007/s00267-013-0179-5" TargetMode="External" /><Relationship Type="http://schemas.openxmlformats.org/officeDocument/2006/relationships/hyperlink" Id="rId86"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2" Target="https://doi.org/10.1016/j.apgeochem.2010.02.003" TargetMode="External" /><Relationship Type="http://schemas.openxmlformats.org/officeDocument/2006/relationships/hyperlink" Id="rId84"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2"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4" Target="https://doi.org/10.1016/j.marpolbul.2020.111247" TargetMode="External" /><Relationship Type="http://schemas.openxmlformats.org/officeDocument/2006/relationships/hyperlink" Id="rId80" Target="https://doi.org/10.1016/j.scitotenv.2016.02.070" TargetMode="External" /><Relationship Type="http://schemas.openxmlformats.org/officeDocument/2006/relationships/hyperlink" Id="rId77" Target="https://doi.org/10.1080/00785236.1995.10422044" TargetMode="External" /><Relationship Type="http://schemas.openxmlformats.org/officeDocument/2006/relationships/hyperlink" Id="rId90"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0" Target="https://doi.org/10.2113/gselements.7.6.375" TargetMode="External" /><Relationship Type="http://schemas.openxmlformats.org/officeDocument/2006/relationships/hyperlink" Id="rId68"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88" Target="https://doi.org/10.1007/s00267-013-0179-5" TargetMode="External" /><Relationship Type="http://schemas.openxmlformats.org/officeDocument/2006/relationships/hyperlink" Id="rId86"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2" Target="https://doi.org/10.1016/j.apgeochem.2010.02.003" TargetMode="External" /><Relationship Type="http://schemas.openxmlformats.org/officeDocument/2006/relationships/hyperlink" Id="rId84"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2"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4" Target="https://doi.org/10.1016/j.marpolbul.2020.111247" TargetMode="External" /><Relationship Type="http://schemas.openxmlformats.org/officeDocument/2006/relationships/hyperlink" Id="rId80" Target="https://doi.org/10.1016/j.scitotenv.2016.02.070" TargetMode="External" /><Relationship Type="http://schemas.openxmlformats.org/officeDocument/2006/relationships/hyperlink" Id="rId77" Target="https://doi.org/10.1080/00785236.1995.10422044" TargetMode="External" /><Relationship Type="http://schemas.openxmlformats.org/officeDocument/2006/relationships/hyperlink" Id="rId90"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0" Target="https://doi.org/10.2113/gselements.7.6.375" TargetMode="External" /><Relationship Type="http://schemas.openxmlformats.org/officeDocument/2006/relationships/hyperlink" Id="rId68"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2021-08-16T19:35:47Z</dcterms:created>
  <dcterms:modified xsi:type="dcterms:W3CDTF">2021-08-16T19:35:47Z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