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4.jpg" ContentType="image/jpeg"/>
  <Override PartName="/word/media/rId37.jpg" ContentType="image/jpeg"/>
  <Override PartName="/word/media/rId41.jpg" ContentType="image/jpeg"/>
  <Override PartName="/word/media/rId38.jpg" ContentType="image/jpeg"/>
  <Override PartName="/word/media/rId42.jpg" ContentType="image/jpeg"/>
  <Override PartName="/word/media/rId43.jpg" ContentType="image/jpeg"/>
  <Override PartName="/word/media/rId39.jpg" ContentType="image/jpeg"/>
  <Override PartName="/word/media/rId40.jpg" ContentType="image/jpeg"/>
  <Override PartName="/word/media/rId4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environmental</w:t>
      </w:r>
      <w:r>
        <w:t xml:space="preserve"> </w:t>
      </w:r>
      <w:r>
        <w:t xml:space="preserve">impacts</w:t>
      </w:r>
      <w:r>
        <w:t xml:space="preserve"> </w:t>
      </w:r>
      <w:r>
        <w:t xml:space="preserve">of</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21">
        <w:r>
          <w:rPr>
            <w:rStyle w:val="Hyperlink"/>
          </w:rPr>
          <w:t xml:space="preserve">graulerson@tbep.org</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2">
        <w:r>
          <w:rPr>
            <w:rStyle w:val="Hyperlink"/>
          </w:rPr>
          <w:t xml:space="preserve">mburke@tbep.org</w:t>
        </w:r>
      </w:hyperlink>
      <w:r>
        <w:t xml:space="preserve">),</w:t>
      </w:r>
      <w:r>
        <w:t xml:space="preserve"> </w:t>
      </w:r>
      <w:r>
        <w:t xml:space="preserve">Joe</w:t>
      </w:r>
      <w:r>
        <w:t xml:space="preserve"> </w:t>
      </w:r>
      <w:r>
        <w:t xml:space="preserve">Whalen</w:t>
      </w:r>
      <w:r>
        <w:t xml:space="preserve"> </w:t>
      </w:r>
      <w:r>
        <w:t xml:space="preserve">(</w:t>
      </w:r>
      <w:hyperlink r:id="rId23">
        <w:r>
          <w:rPr>
            <w:rStyle w:val="Hyperlink"/>
          </w:rPr>
          <w:t xml:space="preserve">jwhalen@tbep.org</w:t>
        </w:r>
      </w:hyperlink>
      <w:r>
        <w:t xml:space="preserve">),</w:t>
      </w:r>
      <w:r>
        <w:t xml:space="preserve"> </w:t>
      </w:r>
      <w:r>
        <w:t xml:space="preserve">Sheila</w:t>
      </w:r>
      <w:r>
        <w:t xml:space="preserve"> </w:t>
      </w:r>
      <w:r>
        <w:t xml:space="preserve">Scolaro</w:t>
      </w:r>
      <w:r>
        <w:t xml:space="preserve"> </w:t>
      </w:r>
      <w:r>
        <w:t xml:space="preserve">(</w:t>
      </w:r>
      <w:hyperlink r:id="rId24">
        <w:r>
          <w:rPr>
            <w:rStyle w:val="Hyperlink"/>
          </w:rPr>
          <w:t xml:space="preserve">sscolar@tbep.org</w:t>
        </w:r>
      </w:hyperlink>
      <w:r>
        <w:t xml:space="preserve">),</w:t>
      </w:r>
      <w:r>
        <w:t xml:space="preserve"> </w:t>
      </w:r>
      <w:r>
        <w:t xml:space="preserve">Ed</w:t>
      </w:r>
      <w:r>
        <w:t xml:space="preserve"> </w:t>
      </w:r>
      <w:r>
        <w:t xml:space="preserve">T.</w:t>
      </w:r>
      <w:r>
        <w:t xml:space="preserve"> </w:t>
      </w:r>
      <w:r>
        <w:t xml:space="preserve">Sherwood</w:t>
      </w:r>
      <w:r>
        <w:t xml:space="preserve"> </w:t>
      </w:r>
      <w:r>
        <w:t xml:space="preserve">(</w:t>
      </w:r>
      <w:hyperlink r:id="rId25">
        <w:r>
          <w:rPr>
            <w:rStyle w:val="Hyperlink"/>
          </w:rPr>
          <w:t xml:space="preserve">esherwood@tbep.org</w:t>
        </w:r>
      </w:hyperlink>
      <w:r>
        <w:t xml:space="preserve">)</w:t>
      </w:r>
    </w:p>
    <w:p>
      <w:pPr>
        <w:pStyle w:val="FirstParagraph"/>
      </w:pPr>
      <w:r>
        <w:t xml:space="preserve">Last manuscript build 2021-08-19 17:25:28</w:t>
      </w:r>
    </w:p>
    <w:bookmarkStart w:id="26"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nitrogen load estimates in a matter of days. An initial phytoplankton response was observed in samples closest to the discharge site, with chlorophyll concentrations exceeding 50 ug/L. Macroalgae blooms of cyanobacteria (</w:t>
      </w:r>
      <w:r>
        <w:rPr>
          <w:iCs/>
          <w:i/>
        </w:rPr>
        <w:t xml:space="preserve">Lyngbya</w:t>
      </w:r>
      <w:r>
        <w:t xml:space="preserve"> </w:t>
      </w:r>
      <w:r>
        <w:t xml:space="preserve">spp.) were observed in May, with biomass estimated at 0.5 kg/m2 at some locations. Blooms of</w:t>
      </w:r>
      <w:r>
        <w:t xml:space="preserve"> </w:t>
      </w:r>
      <w:r>
        <w:rPr>
          <w:iCs/>
          <w:i/>
        </w:rPr>
        <w:t xml:space="preserve">Karenia brevis</w:t>
      </w:r>
      <w:r>
        <w:t xml:space="preserve"> </w:t>
      </w:r>
      <w:r>
        <w:t xml:space="preserve">were observed beginning in May and continuing through July. Reported fish kills tracked bloom concentrations, prompting local cleanup efforts to remove over 1700 tons of dead fish. Combined, these observations indicate abnormal conditions in Tampa Bay following release of wastewater from Piney Point, which is supported by comparison to the decades of baseline environmental monitoring data for the region.</w:t>
      </w:r>
    </w:p>
    <w:p>
      <w:pPr>
        <w:pStyle w:val="BodyText"/>
      </w:pPr>
      <w:r>
        <w:rPr>
          <w:iCs/>
          <w:i/>
        </w:rPr>
        <w:t xml:space="preserve">Key words</w:t>
      </w:r>
      <w:r>
        <w:t xml:space="preserve">: nitrogen, phosphate mining, Tampa Bay, wastewater, water quality</w:t>
      </w:r>
    </w:p>
    <w:bookmarkEnd w:id="26"/>
    <w:bookmarkStart w:id="29"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stormwater and wastewater sources. The effects of nitrogen from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g">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estuary in Florida located in a heavily urbanized watershed of nearly 3 million individuals. Historical gains in seagrass coverage in Tampa Bay have been achieved through public-private partnerships and consensus-based approaches to science applications that seek to limit the total nutrient loads into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historical gains in environmental recovery. Although point-source inputs of nutrient loads from wastewater treatment plants into Tampa Bay have been reduced, non-point sources from wastewater and stormwater runoff contribute nutrients to the bay, particularly during the rainy season from June to September</w:t>
      </w:r>
      <w:r>
        <w:t xml:space="preserve"> </w:t>
      </w:r>
      <w:r>
        <w:t xml:space="preserve">(</w:t>
      </w:r>
      <w:hyperlink w:anchor="ref-Janicki17">
        <w:r>
          <w:rPr>
            <w:rStyle w:val="Hyperlink"/>
          </w:rPr>
          <w:t xml:space="preserve">Janicki Environmental, Inc., 2017</w:t>
        </w:r>
      </w:hyperlink>
      <w:r>
        <w:t xml:space="preserve">,</w:t>
      </w:r>
      <w:r>
        <w:t xml:space="preserve"> </w:t>
      </w:r>
      <w:hyperlink w:anchor="ref-Janicki08">
        <w:r>
          <w:rPr>
            <w:rStyle w:val="Hyperlink"/>
          </w:rPr>
          <w:t xml:space="preserve">2008</w:t>
        </w:r>
      </w:hyperlink>
      <w:r>
        <w:t xml:space="preserve">)</w:t>
      </w:r>
      <w:r>
        <w:t xml:space="preserve">. Atmospheric deposition of nutrients from coal-based power production and automobile traffic further contribute about one-quarter of the total nitrogen inputs to the bay</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Many of these challenges are addressed by ongoing efforts of the US EPA National Estuary Program to implement a science-based resource management plan for the Bay</w:t>
      </w:r>
      <w:r>
        <w:t xml:space="preserve">(</w:t>
      </w:r>
      <w:hyperlink w:anchor="ref-Ohara17">
        <w:r>
          <w:rPr>
            <w:rStyle w:val="Hyperlink"/>
          </w:rPr>
          <w:t xml:space="preserve">N. O’Hara, Shafer Consulting, Inc., 2017</w:t>
        </w:r>
      </w:hyperlink>
      <w:r>
        <w:t xml:space="preserve">)</w:t>
      </w:r>
      <w:r>
        <w:t xml:space="preserve">. The Tampa Bay Estuary Program has been instrumental in coordinating efforts among local and regional partners to address legacy pollutants and current threats to the long-term protection of bay resources</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 worldwide</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27">
        <w:r>
          <w:rPr>
            <w:rStyle w:val="Hyperlink"/>
          </w:rPr>
          <w:t xml:space="preserve">Florida Department of Environmental Protection</w:t>
        </w:r>
      </w:hyperlink>
      <w:r>
        <w:t xml:space="preserve">) exist in the Tampa Bay watershed with no long-term plan for closure or disposal of waste to prevent impacts to the environment. The Piney Point facility located in Palmetto, Florida is a large phosphogypsum stack established in 2001 located less than two miles from the shore of Tampa Bay and near two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with oversight by the Florida Departmental of Environmental Protection (FLDEP). Decreasing holding capacity of the ponds with seasonal rain events and storage of dredging material from nearby Port Manatee have contributed to degradation of the facility. Discharges of wastewater from the stacks occurred in 2010 to nearby Bishops Harbor connected to Tampa Bay</w:t>
      </w:r>
      <w:r>
        <w:t xml:space="preserve"> </w:t>
      </w:r>
      <w:r>
        <w:t xml:space="preserve">(</w:t>
      </w:r>
      <w:hyperlink w:anchor="ref-Garrett11">
        <w:r>
          <w:rPr>
            <w:rStyle w:val="Hyperlink"/>
          </w:rPr>
          <w:t xml:space="preserve">Garrett et al., 2011</w:t>
        </w:r>
      </w:hyperlink>
      <w:r>
        <w:t xml:space="preserve">)</w:t>
      </w:r>
      <w:r>
        <w:t xml:space="preserve">. Recently, FLDEP authorized an</w:t>
      </w:r>
      <w:r>
        <w:t xml:space="preserve"> </w:t>
      </w:r>
      <w:hyperlink r:id="rId28">
        <w:r>
          <w:rPr>
            <w:rStyle w:val="Hyperlink"/>
          </w:rPr>
          <w:t xml:space="preserve">emergency order</w:t>
        </w:r>
      </w:hyperlink>
      <w:r>
        <w:t xml:space="preserve"> </w:t>
      </w:r>
      <w:r>
        <w:t xml:space="preserve">on March 30th, 2021 to release wastewater from the stacks directly into lower Tampa Bay to prevent catastrophic failure of the berms supporting the holding ponds.</w:t>
      </w:r>
    </w:p>
    <w:p>
      <w:pPr>
        <w:pStyle w:val="BodyText"/>
      </w:pPr>
      <w:r>
        <w:t xml:space="preserve">This paper provides an initial assessment of environmental conditions in Tampa Bay over five months following the recent release of 215 million gallons of legacy phosphate mining wastewater in April, 2021. The goal is to describe the results of monitoring data of surface waters collected in response to the discharge event to assess deviation of current conditions relative to long-term, seasonal records of water quality, phytoplankton, seagrass, benthic, and nekton datasets available for the region. We provide a brief overview of the history of the Piney Point facility, including past wastewater releases and impacts observed in Tampa Bay. A timeline of events in 2021 is also provided, which is supported by the results from 2021 response-based monitoring of conditions in and around Piney Point. The results of this study provide an initial documentation of impacts to the natural resources of Tampa Bay that can be used to inform long-term assessments of acute wastewater discharge events on the environmental quality of the region. We focus primarily on the perspective of the Tampa Bay Estuary Program in its role in coordinating monitoring and evaluating short-term impacts, particularly in the context of long-term management goals that leverage resources from existing partnerships among local resource management institutions.</w:t>
      </w:r>
    </w:p>
    <w:bookmarkEnd w:id="29"/>
    <w:bookmarkStart w:id="32" w:name="methods"/>
    <w:p>
      <w:pPr>
        <w:pStyle w:val="Heading1"/>
      </w:pPr>
      <w:r>
        <w:t xml:space="preserve">Methods</w:t>
      </w:r>
    </w:p>
    <w:p>
      <w:pPr>
        <w:numPr>
          <w:ilvl w:val="0"/>
          <w:numId w:val="1001"/>
        </w:numPr>
        <w:pStyle w:val="Compact"/>
      </w:pPr>
      <w:r>
        <w:t xml:space="preserve">Historical timeline:</w:t>
      </w:r>
      <w:r>
        <w:t xml:space="preserve"> </w:t>
      </w:r>
      <w:hyperlink r:id="rId30">
        <w:r>
          <w:rPr>
            <w:rStyle w:val="Hyperlink"/>
          </w:rPr>
          <w:t xml:space="preserve">https://docs.google.com/document/d/1KqaEAYEG7pdcGpWbUjONfVKMHHB6_kOkKCyncp4JYKA/edit</w:t>
        </w:r>
      </w:hyperlink>
      <w:r>
        <w:t xml:space="preserve">,</w:t>
      </w:r>
      <w:r>
        <w:t xml:space="preserve"> </w:t>
      </w:r>
      <w:hyperlink r:id="rId31">
        <w:r>
          <w:rPr>
            <w:rStyle w:val="Hyperlink"/>
          </w:rPr>
          <w:t xml:space="preserve">https://thebradentontimes.com/piney-point-a-retrospective-p6328-158.htm</w:t>
        </w:r>
      </w:hyperlink>
    </w:p>
    <w:p>
      <w:pPr>
        <w:numPr>
          <w:ilvl w:val="0"/>
          <w:numId w:val="1001"/>
        </w:numPr>
        <w:pStyle w:val="Compact"/>
      </w:pPr>
      <w:r>
        <w:t xml:space="preserve">Initial response, data collection</w:t>
      </w:r>
    </w:p>
    <w:p>
      <w:pPr>
        <w:numPr>
          <w:ilvl w:val="0"/>
          <w:numId w:val="1001"/>
        </w:numPr>
        <w:pStyle w:val="Compact"/>
      </w:pPr>
      <w:r>
        <w:t xml:space="preserve">Synthesis and Analysis</w:t>
      </w:r>
    </w:p>
    <w:p>
      <w:pPr>
        <w:pStyle w:val="FirstParagraph"/>
      </w:pPr>
      <w:r>
        <w:t xml:space="preserve">Need to note that K. brevis cell data are from event-based sampling, i.e., not appropriate to combine with other data for stats analysis.</w:t>
      </w:r>
    </w:p>
    <w:p>
      <w:pPr>
        <w:pStyle w:val="BodyText"/>
      </w:pPr>
      <w:r>
        <w:t xml:space="preserve">All stats based on FLDEP monitoring, fixed sample design, etc.</w:t>
      </w:r>
    </w:p>
    <w:p>
      <w:pPr>
        <w:pStyle w:val="BodyText"/>
      </w:pPr>
      <w:r>
        <w:t xml:space="preserve">For total nitrogen, chlorophyll-a, and secchi depth, differences in concentrations between months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bookmarkEnd w:id="32"/>
    <w:bookmarkStart w:id="33" w:name="results"/>
    <w:p>
      <w:pPr>
        <w:pStyle w:val="Heading1"/>
      </w:pPr>
      <w:r>
        <w:t xml:space="preserve">Results</w:t>
      </w:r>
    </w:p>
    <w:p>
      <w:pPr>
        <w:numPr>
          <w:ilvl w:val="0"/>
          <w:numId w:val="1002"/>
        </w:numPr>
      </w:pPr>
      <w:r>
        <w:t xml:space="preserve">Figure</w:t>
      </w:r>
      <w:r>
        <w:t xml:space="preserve"> </w:t>
      </w:r>
      <w:r>
        <w:t xml:space="preserve">1</w:t>
      </w:r>
      <w:r>
        <w:t xml:space="preserve"> </w:t>
      </w:r>
      <w:r>
        <w:t xml:space="preserve">map</w:t>
      </w:r>
    </w:p>
    <w:p>
      <w:pPr>
        <w:numPr>
          <w:ilvl w:val="0"/>
          <w:numId w:val="1002"/>
        </w:numPr>
      </w:pPr>
      <w:r>
        <w:t xml:space="preserve">Figure</w:t>
      </w:r>
      <w:r>
        <w:t xml:space="preserve"> </w:t>
      </w:r>
      <w:r>
        <w:t xml:space="preserve">2</w:t>
      </w:r>
      <w:r>
        <w:t xml:space="preserve"> </w:t>
      </w:r>
      <w:r>
        <w:t xml:space="preserve">timeline of events</w:t>
      </w:r>
    </w:p>
    <w:p>
      <w:pPr>
        <w:numPr>
          <w:ilvl w:val="0"/>
          <w:numId w:val="1002"/>
        </w:numPr>
      </w:pPr>
      <w:r>
        <w:t xml:space="preserve">Figure</w:t>
      </w:r>
      <w:r>
        <w:t xml:space="preserve"> </w:t>
      </w:r>
      <w:r>
        <w:t xml:space="preserve">3</w:t>
      </w:r>
      <w:r>
        <w:t xml:space="preserve"> </w:t>
      </w:r>
      <w:r>
        <w:t xml:space="preserve">map of water quality observations</w:t>
      </w:r>
    </w:p>
    <w:p>
      <w:pPr>
        <w:numPr>
          <w:ilvl w:val="0"/>
          <w:numId w:val="1002"/>
        </w:numPr>
      </w:pPr>
      <w:r>
        <w:t xml:space="preserve">Figure</w:t>
      </w:r>
      <w:r>
        <w:t xml:space="preserve"> </w:t>
      </w:r>
      <w:r>
        <w:t xml:space="preserve">4</w:t>
      </w:r>
      <w:r>
        <w:t xml:space="preserve"> </w:t>
      </w:r>
      <w:r>
        <w:t xml:space="preserve">boxplots by week with +/-1sd for monthly long-term</w:t>
      </w:r>
    </w:p>
    <w:p>
      <w:pPr>
        <w:numPr>
          <w:ilvl w:val="0"/>
          <w:numId w:val="1002"/>
        </w:numPr>
      </w:pPr>
      <w:r>
        <w:t xml:space="preserve">Figure</w:t>
      </w:r>
      <w:r>
        <w:t xml:space="preserve"> </w:t>
      </w:r>
      <w:r>
        <w:t xml:space="preserve">5</w:t>
      </w:r>
      <w:r>
        <w:t xml:space="preserve"> </w:t>
      </w:r>
      <w:r>
        <w:t xml:space="preserve">pca and correlations of all wq variables, by area</w:t>
      </w:r>
    </w:p>
    <w:p>
      <w:pPr>
        <w:numPr>
          <w:ilvl w:val="0"/>
          <w:numId w:val="1002"/>
        </w:numPr>
      </w:pPr>
      <w:r>
        <w:t xml:space="preserve">Figure</w:t>
      </w:r>
      <w:r>
        <w:t xml:space="preserve"> </w:t>
      </w:r>
      <w:r>
        <w:t xml:space="preserve">6</w:t>
      </w:r>
      <w:r>
        <w:t xml:space="preserve"> </w:t>
      </w:r>
      <w:r>
        <w:t xml:space="preserve">seagrass and macroalgae example transect</w:t>
      </w:r>
    </w:p>
    <w:p>
      <w:pPr>
        <w:numPr>
          <w:ilvl w:val="0"/>
          <w:numId w:val="1002"/>
        </w:numPr>
      </w:pPr>
      <w:r>
        <w:t xml:space="preserve">Figure</w:t>
      </w:r>
      <w:r>
        <w:t xml:space="preserve"> </w:t>
      </w:r>
      <w:r>
        <w:t xml:space="preserve">7</w:t>
      </w:r>
      <w:r>
        <w:t xml:space="preserve"> </w:t>
      </w:r>
      <w:r>
        <w:t xml:space="preserve">seagrass, macroalgae frequency occurrence estimates</w:t>
      </w:r>
    </w:p>
    <w:p>
      <w:pPr>
        <w:numPr>
          <w:ilvl w:val="0"/>
          <w:numId w:val="1002"/>
        </w:numPr>
      </w:pPr>
      <w:r>
        <w:t xml:space="preserve">Figure</w:t>
      </w:r>
      <w:r>
        <w:t xml:space="preserve"> </w:t>
      </w:r>
      <w:r>
        <w:t xml:space="preserve">8</w:t>
      </w:r>
      <w:r>
        <w:t xml:space="preserve"> </w:t>
      </w:r>
      <w:r>
        <w:t xml:space="preserve">seagrass, macralgae, wq pca and correlation matrix</w:t>
      </w:r>
    </w:p>
    <w:p>
      <w:pPr>
        <w:numPr>
          <w:ilvl w:val="0"/>
          <w:numId w:val="1002"/>
        </w:numPr>
      </w:pPr>
      <w:r>
        <w:t xml:space="preserve">Figure</w:t>
      </w:r>
      <w:r>
        <w:t xml:space="preserve"> </w:t>
      </w:r>
      <w:r>
        <w:t xml:space="preserve">9</w:t>
      </w:r>
      <w:r>
        <w:t xml:space="preserve"> </w:t>
      </w:r>
      <w:r>
        <w:t xml:space="preserve">red tide historic and current, fish kill reports historic and current</w:t>
      </w:r>
    </w:p>
    <w:p>
      <w:pPr>
        <w:numPr>
          <w:ilvl w:val="0"/>
          <w:numId w:val="1002"/>
        </w:numPr>
      </w:pPr>
      <w:r>
        <w:t xml:space="preserve">Table</w:t>
      </w:r>
      <w:r>
        <w:t xml:space="preserve"> </w:t>
      </w:r>
      <w:r>
        <w:t xml:space="preserve">1</w:t>
      </w:r>
      <w:r>
        <w:t xml:space="preserve"> </w:t>
      </w:r>
      <w:r>
        <w:t xml:space="preserve">Stack characteristics</w:t>
      </w:r>
    </w:p>
    <w:p>
      <w:pPr>
        <w:numPr>
          <w:ilvl w:val="0"/>
          <w:numId w:val="1002"/>
        </w:numPr>
      </w:pPr>
      <w:r>
        <w:t xml:space="preserve">Table</w:t>
      </w:r>
      <w:r>
        <w:t xml:space="preserve"> </w:t>
      </w:r>
      <w:r>
        <w:t xml:space="preserve">2</w:t>
      </w:r>
      <w:r>
        <w:t xml:space="preserve"> </w:t>
      </w:r>
      <w:r>
        <w:t xml:space="preserve">water quality data collected and summarized</w:t>
      </w:r>
    </w:p>
    <w:p>
      <w:pPr>
        <w:numPr>
          <w:ilvl w:val="0"/>
          <w:numId w:val="1002"/>
        </w:numPr>
      </w:pPr>
      <w:r>
        <w:t xml:space="preserve">Table</w:t>
      </w:r>
      <w:r>
        <w:t xml:space="preserve"> </w:t>
      </w:r>
      <w:r>
        <w:t xml:space="preserve">??</w:t>
      </w:r>
      <w:r>
        <w:t xml:space="preserve"> </w:t>
      </w:r>
      <w:r>
        <w:t xml:space="preserve">Multiple comparisons of water quality by month/area, with median/min/max</w:t>
      </w:r>
    </w:p>
    <w:p>
      <w:pPr>
        <w:numPr>
          <w:ilvl w:val="0"/>
          <w:numId w:val="1002"/>
        </w:numPr>
      </w:pPr>
      <w:r>
        <w:t xml:space="preserve">Table</w:t>
      </w:r>
      <w:r>
        <w:t xml:space="preserve"> </w:t>
      </w:r>
      <w:r>
        <w:t xml:space="preserve">4</w:t>
      </w:r>
      <w:r>
        <w:t xml:space="preserve"> </w:t>
      </w:r>
      <w:r>
        <w:t xml:space="preserve">Macroalgae freq. occurrence summaries by month/area, with median/min/max</w:t>
      </w:r>
    </w:p>
    <w:p>
      <w:pPr>
        <w:numPr>
          <w:ilvl w:val="0"/>
          <w:numId w:val="1002"/>
        </w:numPr>
      </w:pPr>
      <w:r>
        <w:t xml:space="preserve">Table</w:t>
      </w:r>
      <w:r>
        <w:t xml:space="preserve"> </w:t>
      </w:r>
      <w:r>
        <w:t xml:space="preserve">5</w:t>
      </w:r>
      <w:r>
        <w:t xml:space="preserve"> </w:t>
      </w:r>
      <w:r>
        <w:t xml:space="preserve">Seagrass freq. occurrence summaries by month/area, with median/min/max</w:t>
      </w:r>
    </w:p>
    <w:p>
      <w:pPr>
        <w:pStyle w:val="FirstParagraph"/>
      </w:pPr>
      <w:r>
        <w:t xml:space="preserve">Seagrass: note decline of HW and correlations in the matrix, these make sense.</w:t>
      </w:r>
    </w:p>
    <w:p>
      <w:pPr>
        <w:pStyle w:val="BodyText"/>
      </w:pPr>
      <w:r>
        <w:t xml:space="preserve">Seagrass interp from DT:</w:t>
      </w:r>
    </w:p>
    <w:p>
      <w:pPr>
        <w:pStyle w:val="BodyText"/>
      </w:pPr>
      <w:r>
        <w:t xml:space="preserve">First off, Marcus please correct me if any confusion on my part about how to read the chart, but it’s my take that the asterisks reflect levels of significance, and that a box without an asterisk – I didn’t pay much attention to that. Also, a negative number would be a</w:t>
      </w:r>
      <w:r>
        <w:t xml:space="preserve"> </w:t>
      </w:r>
      <w:r>
        <w:t xml:space="preserve">“</w:t>
      </w:r>
      <w:r>
        <w:t xml:space="preserve">cool</w:t>
      </w:r>
      <w:r>
        <w:t xml:space="preserve">”</w:t>
      </w:r>
      <w:r>
        <w:t xml:space="preserve"> </w:t>
      </w:r>
      <w:r>
        <w:t xml:space="preserve">color, reflecting an inverse relationship, while a positive number (warm color) would reflect a positive correlation?</w:t>
      </w:r>
    </w:p>
    <w:p>
      <w:pPr>
        <w:pStyle w:val="BodyText"/>
      </w:pPr>
      <w:r>
        <w:t xml:space="preserve">If I have this correct, then what stood out to me was some of the following – seagrass distributions are highly inversely correlated between most of the species, which reflects seagrass being clonal organisms that tend not to grow interspersed with each other in a random manner. S. filiforme does not grow in shallow waters, because it’s blades can’t</w:t>
      </w:r>
      <w:r>
        <w:t xml:space="preserve"> </w:t>
      </w:r>
      <w:r>
        <w:t xml:space="preserve">“</w:t>
      </w:r>
      <w:r>
        <w:t xml:space="preserve">lay down</w:t>
      </w:r>
      <w:r>
        <w:t xml:space="preserve">”</w:t>
      </w:r>
      <w:r>
        <w:t xml:space="preserve"> </w:t>
      </w:r>
      <w:r>
        <w:t xml:space="preserve">during low tides, and it often is the deepest growing species in some of our cleaner areas, while H. wrightii can be both the shallowest and deepest growing species in areas like Hillsborough Bay.</w:t>
      </w:r>
    </w:p>
    <w:p>
      <w:pPr>
        <w:pStyle w:val="BodyText"/>
      </w:pPr>
      <w:r>
        <w:t xml:space="preserve">More relevant here is that there is no significant correlation between the abundance of cyanobacteria and either chlorophyll-a or TN or TP. To me, that makes sense, since macroalgae like cyanos seem to reflect an alternative nutrient destination, compared to phytoplankton. The strongest correlations out there are the well expected ones between TN and Chl-a, but also between TP and NH3/4, which suggests overall nutrient availability tracks together, and phytoplankton continue to be a major destination of nitrogen availability.</w:t>
      </w:r>
    </w:p>
    <w:p>
      <w:pPr>
        <w:pStyle w:val="BodyText"/>
      </w:pPr>
      <w:r>
        <w:t xml:space="preserve">But what about the positive correlation between cyanobacteria and S. filiforme? From my experience in Sarasota Bay, that makes sense, since the highest levels of cyanobacteria were found entangled within the manatee grass meadows in the fairly deeper waters farther offshore. Cyanos are strongly negatively correlated with red algae, since they occurred at different times, basically.</w:t>
      </w:r>
    </w:p>
    <w:p>
      <w:pPr>
        <w:pStyle w:val="BodyText"/>
      </w:pPr>
      <w:r>
        <w:t xml:space="preserve">Finally, keep in mind that</w:t>
      </w:r>
      <w:r>
        <w:t xml:space="preserve"> </w:t>
      </w:r>
      <w:r>
        <w:t xml:space="preserve">“</w:t>
      </w:r>
      <w:r>
        <w:t xml:space="preserve">Lyngbya</w:t>
      </w:r>
      <w:r>
        <w:t xml:space="preserve">”</w:t>
      </w:r>
      <w:r>
        <w:t xml:space="preserve"> </w:t>
      </w:r>
      <w:r>
        <w:t xml:space="preserve">life cycles are such that most of the biomass produced does not stay where it was produced. Those clumps of Lyngbya growing on the bottom get lifted up off the bottom by the oxygen bubbles you can see in their blooms, and they then are carried along the shoreline to decompose on whatever shoreline that they’ve been blown to. Our photos (and others) clearly show that there is MUCH more Lyngbya in our bays than what we’ve sampled along the bottom of the bay – that’s a bit different than</w:t>
      </w:r>
      <w:r>
        <w:t xml:space="preserve"> </w:t>
      </w:r>
      <w:r>
        <w:t xml:space="preserve">“</w:t>
      </w:r>
      <w:r>
        <w:t xml:space="preserve">traditional</w:t>
      </w:r>
      <w:r>
        <w:t xml:space="preserve">”</w:t>
      </w:r>
      <w:r>
        <w:t xml:space="preserve"> </w:t>
      </w:r>
      <w:r>
        <w:t xml:space="preserve">red algae biomass.</w:t>
      </w:r>
    </w:p>
    <w:bookmarkEnd w:id="33"/>
    <w:bookmarkStart w:id="35" w:name="discussion"/>
    <w:p>
      <w:pPr>
        <w:pStyle w:val="Heading1"/>
      </w:pPr>
      <w:r>
        <w:t xml:space="preserve">Discussion</w:t>
      </w:r>
    </w:p>
    <w:p>
      <w:pPr>
        <w:numPr>
          <w:ilvl w:val="0"/>
          <w:numId w:val="1003"/>
        </w:numPr>
        <w:pStyle w:val="Compact"/>
      </w:pPr>
      <w:r>
        <w:t xml:space="preserve">Comparison to other locations/past events - Grand Bay, Bishop Harbor, Huelva estuary</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Dillon report about Grand Bay</w:t>
      </w:r>
      <w:r>
        <w:t xml:space="preserve"> </w:t>
      </w:r>
      <w:hyperlink r:id="rId34">
        <w:r>
          <w:rPr>
            <w:rStyle w:val="Hyperlink"/>
          </w:rPr>
          <w:t xml:space="preserve">link</w:t>
        </w:r>
      </w:hyperlink>
    </w:p>
    <w:p>
      <w:pPr>
        <w:numPr>
          <w:ilvl w:val="0"/>
          <w:numId w:val="1003"/>
        </w:numPr>
        <w:pStyle w:val="Compact"/>
      </w:pPr>
      <w:r>
        <w:t xml:space="preserve">Analysis limitations: no smoking gun but 2021 is an anomaly, additional info (benthic diversity TBD, nekton diversity TBD, large mammals, etc.), response-based monitoring may be biased</w:t>
      </w:r>
    </w:p>
    <w:p>
      <w:pPr>
        <w:numPr>
          <w:ilvl w:val="0"/>
          <w:numId w:val="1003"/>
        </w:numPr>
        <w:pStyle w:val="Compact"/>
      </w:pPr>
      <w:r>
        <w:t xml:space="preserve">Potential long-term impacts TBD</w:t>
      </w:r>
    </w:p>
    <w:p>
      <w:pPr>
        <w:numPr>
          <w:ilvl w:val="0"/>
          <w:numId w:val="1003"/>
        </w:numPr>
        <w:pStyle w:val="Compact"/>
      </w:pPr>
      <w:r>
        <w:t xml:space="preserve">Current challenges in TB/southwest FL - OTB, seagrass loss (possibly linked to 2018 red tide, effects of Hurricanes</w:t>
      </w:r>
      <w:r>
        <w:t xml:space="preserve"> </w:t>
      </w:r>
      <w:r>
        <w:t xml:space="preserve">(</w:t>
      </w:r>
      <w:hyperlink w:anchor="ref-Tomasko20">
        <w:r>
          <w:rPr>
            <w:rStyle w:val="Hyperlink"/>
          </w:rPr>
          <w:t xml:space="preserve">Tomasko et al., 2020</w:t>
        </w:r>
      </w:hyperlink>
      <w:r>
        <w:t xml:space="preserve">)</w:t>
      </w:r>
      <w:r>
        <w:t xml:space="preserve">), red tide, climate change</w:t>
      </w:r>
    </w:p>
    <w:p>
      <w:pPr>
        <w:numPr>
          <w:ilvl w:val="0"/>
          <w:numId w:val="1003"/>
        </w:numPr>
        <w:pStyle w:val="Compact"/>
      </w:pPr>
      <w:r>
        <w:t xml:space="preserve">Risk of decline (IRL ex.), regression of past progress</w:t>
      </w:r>
    </w:p>
    <w:bookmarkEnd w:id="35"/>
    <w:bookmarkStart w:id="36" w:name="acknowledgments"/>
    <w:p>
      <w:pPr>
        <w:pStyle w:val="Heading1"/>
      </w:pPr>
      <w:r>
        <w:t xml:space="preserve">Acknowledgments</w:t>
      </w:r>
    </w:p>
    <w:bookmarkEnd w:id="36"/>
    <w:bookmarkStart w:id="48" w:name="figures"/>
    <w:p>
      <w:pPr>
        <w:pStyle w:val="Heading1"/>
      </w:pPr>
      <w:r>
        <w:t xml:space="preserve">Figures</w:t>
      </w:r>
    </w:p>
    <w:p>
      <w:pPr>
        <w:pStyle w:val="CaptionedFigure"/>
      </w:pPr>
      <w:r>
        <w:drawing>
          <wp:inline>
            <wp:extent cx="5943600" cy="2773679"/>
            <wp:effectExtent b="0" l="0" r="0" t="0"/>
            <wp:docPr descr="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3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ra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3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Mrach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3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Chlorophyll observations were truncated to a maximum of 30 ug/L to remove some outliers.</w:t>
      </w:r>
    </w:p>
    <w:p>
      <w:pPr>
        <w:pStyle w:val="CaptionedFigure"/>
      </w:pPr>
      <w:r>
        <w:drawing>
          <wp:inline>
            <wp:extent cx="5943600" cy="4457700"/>
            <wp:effectExtent b="0" l="0" r="0" t="0"/>
            <wp:docPr descr="Figure 4: Sampled water quality data by week for April to July 2021 in response to wastewater disc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4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w:t>
      </w:r>
    </w:p>
    <w:p>
      <w:pPr>
        <w:pStyle w:val="CaptionedFigure"/>
      </w:pPr>
      <w:r>
        <w:drawing>
          <wp:inline>
            <wp:extent cx="5943600" cy="6792685"/>
            <wp:effectExtent b="0" l="0" r="0" t="0"/>
            <wp:docPr descr="Figure 5: Principal components analyses (PCA) and correlation matrices for water quality variables by week for April to July 2021 in response to wastewater discharge from Piney Point for (a) area 1, (b) area 2, and (c) area 3 (Figure 1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 \alpha = 0.05." title="" id="1" name="Picture"/>
            <a:graphic>
              <a:graphicData uri="http://schemas.openxmlformats.org/drawingml/2006/picture">
                <pic:pic>
                  <pic:nvPicPr>
                    <pic:cNvPr descr="C:/proj/piney-point-manu/figs/pcacors.jpeg" id="0" name="Picture"/>
                    <pic:cNvPicPr>
                      <a:picLocks noChangeArrowheads="1" noChangeAspect="1"/>
                    </pic:cNvPicPr>
                  </pic:nvPicPr>
                  <pic:blipFill>
                    <a:blip r:embed="rId41"/>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t xml:space="preserve">Figure 5: Principal components analyses (PCA) and correlation matrices for water quality variables by week for April to July 2021 in response to wastewater discharge from Piney Point for (a) area 1, (b) area 2, and (c) area 3 (Figure</w:t>
      </w:r>
      <w:r>
        <w:t xml:space="preserve"> </w:t>
      </w:r>
      <w:r>
        <w:t xml:space="preserve">1</w:t>
      </w:r>
      <w:r>
        <w:t xml:space="preserve">a). All variables were standardized to zero mean and unit variance prior to PCA. Variables with log-normal distribution were log-transformed prior to analysis. Pearson correlations indicate the linear strength of assocation between pairs of variables. ** p &lt; 0.005, * p &lt; 0.05, blank is not signifcant at</w:t>
      </w:r>
      <w:r>
        <w:t xml:space="preserve"> </w:t>
      </w:r>
      <m:oMath>
        <m:r>
          <m:t>α</m:t>
        </m:r>
      </m:oMath>
      <w:r>
        <w:t xml:space="preserve"> </w:t>
      </w:r>
      <w:r>
        <w:t xml:space="preserve">= 0.05.</w:t>
      </w:r>
    </w:p>
    <w:p>
      <w:pPr>
        <w:pStyle w:val="CaptionedFigure"/>
      </w:pPr>
      <w:r>
        <w:drawing>
          <wp:inline>
            <wp:extent cx="5943600" cy="5200650"/>
            <wp:effectExtent b="0" l="0" r="0" t="0"/>
            <wp:docPr descr="Figure 6: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Lyngbya sp. (cyanobacteria) peaking in June and green macroalgae (Ulva s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4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6: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Lyngbya sp.</w:t>
      </w:r>
      <w:r>
        <w:t xml:space="preserve"> </w:t>
      </w:r>
      <w:r>
        <w:t xml:space="preserve">(cyanobacteria) peaking in June and green macroalgae (</w:t>
      </w:r>
      <w:r>
        <w:rPr>
          <w:iCs/>
          <w:i/>
        </w:rPr>
        <w:t xml:space="preserve">Ulva sp.</w:t>
      </w:r>
      <w:r>
        <w:t xml:space="preserve">) increasing in July. Abundances are Braun-Blanquet coverage estimates.</w:t>
      </w:r>
    </w:p>
    <w:p>
      <w:pPr>
        <w:pStyle w:val="CaptionedFigure"/>
      </w:pPr>
      <w:r>
        <w:drawing>
          <wp:inline>
            <wp:extent cx="5943600" cy="4457700"/>
            <wp:effectExtent b="0" l="0" r="0" t="0"/>
            <wp:docPr descr="Figure 7: Frquency occurrence estimates for (a) area 1 and (b) area 2 (Figure 1a) for seagrass (top) and macroalgae (bottom) rapid response transect surveys across all transects (n = r nrow(rstrnpts)) near Piney Point. Estimates are grouped by sample months in 2021. Frequency occurrences are absolute for each taxa based on presence/absence."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4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7: Frquency occurrence estimates for (a) area 1 and (b) area 2 (Figure</w:t>
      </w:r>
      <w:r>
        <w:t xml:space="preserve"> </w:t>
      </w:r>
      <w:r>
        <w:t xml:space="preserve">1</w:t>
      </w:r>
      <w:r>
        <w:t xml:space="preserve">a) for seagrass (top) and macroalgae (bottom) rapid response transect surveys across all transects (n =</w:t>
      </w:r>
      <w:r>
        <w:t xml:space="preserve"> </w:t>
      </w:r>
      <w:r>
        <w:rPr>
          <w:rStyle w:val="VerbatimChar"/>
        </w:rPr>
        <w:t xml:space="preserve">r nrow(rstrnpts)</w:t>
      </w:r>
      <w:r>
        <w:t xml:space="preserve">) near Piney Point. Estimates are grouped by sample months in 2021. Frequency occurrences are absolute for each taxa based on presence/absence.</w:t>
      </w:r>
    </w:p>
    <w:p>
      <w:pPr>
        <w:pStyle w:val="CaptionedFigure"/>
      </w:pPr>
      <w:r>
        <w:drawing>
          <wp:inline>
            <wp:extent cx="5943600" cy="2377440"/>
            <wp:effectExtent b="0" l="0" r="0" t="0"/>
            <wp:docPr descr="Figure 8: Principal components analysis (PCA) and correlation matrix for water quality variables, macroalgae, and seagrasses by week for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pcacors.jpeg" id="0" name="Picture"/>
                    <pic:cNvPicPr>
                      <a:picLocks noChangeArrowheads="1" noChangeAspect="1"/>
                    </pic:cNvPicPr>
                  </pic:nvPicPr>
                  <pic:blipFill>
                    <a:blip r:embed="rId4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8: Principal components analysis (PCA) and correlation matrix for water quality variables, macroalgae, and seagrasses by week for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 Thick black lines in the correlation matrix separate water quality, macroalgae, and seagrass variables. Pearson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4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tenth percentile, median, 90th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4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47">
        <w:r>
          <w:rPr>
            <w:rStyle w:val="Hyperlink"/>
          </w:rPr>
          <w:t xml:space="preserve">https://public.myfwc.com/FWRI/FishKillReport/</w:t>
        </w:r>
      </w:hyperlink>
      <w:r>
        <w:t xml:space="preserve">).</w:t>
      </w:r>
    </w:p>
    <w:bookmarkEnd w:id="48"/>
    <w:bookmarkStart w:id="49"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collected monthly by the Environmental Protection Commission of Hillsborough County. Effluent concentrations were taken from two samples on April 6th and 13th at the outflow at Port Manatee. Averages were taken when two measured values were available from both effluent sample dates. Missing values were not measured in the effluent."/>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0.003 (0.003, 0.018)</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(0.006, 0.0395)</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0.286 (0.199, 0.455)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0.085 (0.058, 0.146)</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(0.009,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91 (86, 92.2)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from March to July 2021 in response to wastewater discharge from Piney Point. Variables are grouped by major areas interest for evaluating status and trends shown in Figure</w:t>
      </w:r>
      <w:r>
        <w:t xml:space="preserve"> </w:t>
      </w:r>
      <w:r>
        <w:t xml:space="preserve">1</w:t>
      </w:r>
      <w:r>
        <w:t xml:space="preserve">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w:t>
      </w:r>
    </w:p>
    <w:tbl>
      <w:tblPr>
        <w:tblStyle w:val="Table"/>
        <w:tblW w:type="pct" w:w="0.0"/>
        <w:tblLook w:firstRow="1" w:lastRow="0" w:firstColumn="0" w:lastColumn="0" w:noHBand="0" w:noVBand="0" w:val="0020"/>
        <w:tblCaption w:val="Table 2: Summary of water quality variables collected from March to July 2021 in response to wastewater discharge from Piney Point. Variables are grouped by major areas interest for evaluating status and trends shown in Figure 1a. Summaries are median, maximum, and minimum values. Total observations (N obs.) and values in rnage, above, or below normal ranges are also shown. Normal ranges are defined as within +/-1 standard deviation of the mean for the month of observation from 2006 to 2021 for values collected at the nearest long-term monitoring site to each sample location."/>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180</w:t>
            </w:r>
          </w:p>
        </w:tc>
        <w:tc>
          <w:p>
            <w:pPr>
              <w:pStyle w:val="Compact"/>
              <w:jc w:val="right"/>
            </w:pPr>
            <w:r>
              <w:t xml:space="preserve">223</w:t>
            </w:r>
          </w:p>
        </w:tc>
        <w:tc>
          <w:p>
            <w:pPr>
              <w:pStyle w:val="Compact"/>
              <w:jc w:val="right"/>
            </w:pPr>
            <w:r>
              <w:t xml:space="preserve">37</w:t>
            </w:r>
          </w:p>
        </w:tc>
      </w:tr>
      <w:tr>
        <w:tc>
          <w:p/>
        </w:tc>
        <w:tc>
          <w:p>
            <w:pPr>
              <w:pStyle w:val="Compact"/>
              <w:jc w:val="left"/>
            </w:pPr>
            <w:r>
              <w:t xml:space="preserve">DO (% sat.)</w:t>
            </w:r>
          </w:p>
        </w:tc>
        <w:tc>
          <w:p>
            <w:pPr>
              <w:pStyle w:val="Compact"/>
              <w:jc w:val="left"/>
            </w:pPr>
            <w:r>
              <w:t xml:space="preserve">98.4 (28.3, 215.3)</w:t>
            </w:r>
          </w:p>
        </w:tc>
        <w:tc>
          <w:p>
            <w:pPr>
              <w:pStyle w:val="Compact"/>
              <w:jc w:val="right"/>
            </w:pPr>
            <w:r>
              <w:t xml:space="preserve">386</w:t>
            </w:r>
          </w:p>
        </w:tc>
        <w:tc>
          <w:p>
            <w:pPr>
              <w:pStyle w:val="Compact"/>
              <w:jc w:val="right"/>
            </w:pPr>
            <w:r>
              <w:t xml:space="preserve">104</w:t>
            </w:r>
          </w:p>
        </w:tc>
        <w:tc>
          <w:p>
            <w:pPr>
              <w:pStyle w:val="Compact"/>
              <w:jc w:val="right"/>
            </w:pPr>
            <w:r>
              <w:t xml:space="preserve">192</w:t>
            </w:r>
          </w:p>
        </w:tc>
        <w:tc>
          <w:p>
            <w:pPr>
              <w:pStyle w:val="Compact"/>
              <w:jc w:val="right"/>
            </w:pPr>
            <w:r>
              <w:t xml:space="preserve">90</w:t>
            </w:r>
          </w:p>
        </w:tc>
      </w:tr>
      <w:tr>
        <w:tc>
          <w:p/>
        </w:tc>
        <w:tc>
          <w:p>
            <w:pPr>
              <w:pStyle w:val="Compact"/>
              <w:jc w:val="left"/>
            </w:pPr>
            <w:r>
              <w:t xml:space="preserve">NH3, NH4+ (mg/L)</w:t>
            </w:r>
          </w:p>
        </w:tc>
        <w:tc>
          <w:p>
            <w:pPr>
              <w:pStyle w:val="Compact"/>
              <w:jc w:val="left"/>
            </w:pPr>
            <w:r>
              <w:t xml:space="preserve">0.008 (0, 14.86)</w:t>
            </w:r>
          </w:p>
        </w:tc>
        <w:tc>
          <w:p>
            <w:pPr>
              <w:pStyle w:val="Compact"/>
              <w:jc w:val="right"/>
            </w:pPr>
            <w:r>
              <w:t xml:space="preserve">430</w:t>
            </w:r>
          </w:p>
        </w:tc>
        <w:tc>
          <w:p>
            <w:pPr>
              <w:pStyle w:val="Compact"/>
              <w:jc w:val="right"/>
            </w:pPr>
            <w:r>
              <w:t xml:space="preserve">216</w:t>
            </w:r>
          </w:p>
        </w:tc>
        <w:tc>
          <w:p>
            <w:pPr>
              <w:pStyle w:val="Compact"/>
              <w:jc w:val="right"/>
            </w:pPr>
            <w:r>
              <w:t xml:space="preserve">99</w:t>
            </w:r>
          </w:p>
        </w:tc>
        <w:tc>
          <w:p>
            <w:pPr>
              <w:pStyle w:val="Compact"/>
              <w:jc w:val="right"/>
            </w:pPr>
            <w:r>
              <w:t xml:space="preserve">115</w:t>
            </w:r>
          </w:p>
        </w:tc>
      </w:tr>
      <w:tr>
        <w:tc>
          <w:p/>
        </w:tc>
        <w:tc>
          <w:p>
            <w:pPr>
              <w:pStyle w:val="Compact"/>
              <w:jc w:val="left"/>
            </w:pPr>
            <w:r>
              <w:t xml:space="preserve">Nitrate/Nitrite (mg/L)</w:t>
            </w:r>
          </w:p>
        </w:tc>
        <w:tc>
          <w:p>
            <w:pPr>
              <w:pStyle w:val="Compact"/>
              <w:jc w:val="left"/>
            </w:pPr>
            <w:r>
              <w:t xml:space="preserve">0.01 (0, 0.14352)</w:t>
            </w:r>
          </w:p>
        </w:tc>
        <w:tc>
          <w:p>
            <w:pPr>
              <w:pStyle w:val="Compact"/>
              <w:jc w:val="right"/>
            </w:pPr>
            <w:r>
              <w:t xml:space="preserve">219</w:t>
            </w:r>
          </w:p>
        </w:tc>
        <w:tc>
          <w:p>
            <w:pPr>
              <w:pStyle w:val="Compact"/>
              <w:jc w:val="right"/>
            </w:pPr>
            <w:r>
              <w:t xml:space="preserve">104</w:t>
            </w:r>
          </w:p>
        </w:tc>
        <w:tc>
          <w:p>
            <w:pPr>
              <w:pStyle w:val="Compact"/>
              <w:jc w:val="right"/>
            </w:pPr>
            <w:r>
              <w:t xml:space="preserve">22</w:t>
            </w:r>
          </w:p>
        </w:tc>
        <w:tc>
          <w:p>
            <w:pPr>
              <w:pStyle w:val="Compact"/>
              <w:jc w:val="right"/>
            </w:pPr>
            <w:r>
              <w:t xml:space="preserve">93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432</w:t>
            </w:r>
          </w:p>
        </w:tc>
        <w:tc>
          <w:p>
            <w:pPr>
              <w:pStyle w:val="Compact"/>
              <w:jc w:val="right"/>
            </w:pPr>
            <w:r>
              <w:t xml:space="preserve">204</w:t>
            </w:r>
          </w:p>
        </w:tc>
        <w:tc>
          <w:p>
            <w:pPr>
              <w:pStyle w:val="Compact"/>
              <w:jc w:val="right"/>
            </w:pPr>
            <w:r>
              <w:t xml:space="preserve">167</w:t>
            </w:r>
          </w:p>
        </w:tc>
        <w:tc>
          <w:p>
            <w:pPr>
              <w:pStyle w:val="Compact"/>
              <w:jc w:val="right"/>
            </w:pPr>
            <w:r>
              <w:t xml:space="preserve">61</w:t>
            </w:r>
          </w:p>
        </w:tc>
      </w:tr>
      <w:tr>
        <w:tc>
          <w:p/>
        </w:tc>
        <w:tc>
          <w:p>
            <w:pPr>
              <w:pStyle w:val="Compact"/>
              <w:jc w:val="left"/>
            </w:pPr>
            <w:r>
              <w:t xml:space="preserve">Sal (ppt)</w:t>
            </w:r>
          </w:p>
        </w:tc>
        <w:tc>
          <w:p>
            <w:pPr>
              <w:pStyle w:val="Compact"/>
              <w:jc w:val="left"/>
            </w:pPr>
            <w:r>
              <w:t xml:space="preserve">30.4 (12.9, 34.6)</w:t>
            </w:r>
          </w:p>
        </w:tc>
        <w:tc>
          <w:p>
            <w:pPr>
              <w:pStyle w:val="Compact"/>
              <w:jc w:val="right"/>
            </w:pPr>
            <w:r>
              <w:t xml:space="preserve">397</w:t>
            </w:r>
          </w:p>
        </w:tc>
        <w:tc>
          <w:p>
            <w:pPr>
              <w:pStyle w:val="Compact"/>
              <w:jc w:val="right"/>
            </w:pPr>
            <w:r>
              <w:t xml:space="preserve">334</w:t>
            </w:r>
          </w:p>
        </w:tc>
        <w:tc>
          <w:p>
            <w:pPr>
              <w:pStyle w:val="Compact"/>
              <w:jc w:val="right"/>
            </w:pPr>
            <w:r>
              <w:t xml:space="preserve">19</w:t>
            </w:r>
          </w:p>
        </w:tc>
        <w:tc>
          <w:p>
            <w:pPr>
              <w:pStyle w:val="Compact"/>
              <w:jc w:val="right"/>
            </w:pPr>
            <w:r>
              <w:t xml:space="preserve">44</w:t>
            </w:r>
          </w:p>
        </w:tc>
      </w:tr>
      <w:tr>
        <w:tc>
          <w:p/>
        </w:tc>
        <w:tc>
          <w:p>
            <w:pPr>
              <w:pStyle w:val="Compact"/>
              <w:jc w:val="left"/>
            </w:pPr>
            <w:r>
              <w:t xml:space="preserve">Secchi (m)</w:t>
            </w:r>
          </w:p>
        </w:tc>
        <w:tc>
          <w:p>
            <w:pPr>
              <w:pStyle w:val="Compact"/>
              <w:jc w:val="left"/>
            </w:pPr>
            <w:r>
              <w:t xml:space="preserve">2.4 (0.4, 9.5)</w:t>
            </w:r>
          </w:p>
        </w:tc>
        <w:tc>
          <w:p>
            <w:pPr>
              <w:pStyle w:val="Compact"/>
              <w:jc w:val="right"/>
            </w:pPr>
            <w:r>
              <w:t xml:space="preserve">289</w:t>
            </w:r>
          </w:p>
        </w:tc>
        <w:tc>
          <w:p>
            <w:pPr>
              <w:pStyle w:val="Compact"/>
              <w:jc w:val="right"/>
            </w:pPr>
            <w:r>
              <w:t xml:space="preserve">111</w:t>
            </w:r>
          </w:p>
        </w:tc>
        <w:tc>
          <w:p>
            <w:pPr>
              <w:pStyle w:val="Compact"/>
              <w:jc w:val="right"/>
            </w:pPr>
            <w:r>
              <w:t xml:space="preserve">44</w:t>
            </w:r>
          </w:p>
        </w:tc>
        <w:tc>
          <w:p>
            <w:pPr>
              <w:pStyle w:val="Compact"/>
              <w:jc w:val="right"/>
            </w:pPr>
            <w:r>
              <w:t xml:space="preserve">134</w:t>
            </w:r>
          </w:p>
        </w:tc>
      </w:tr>
      <w:tr>
        <w:tc>
          <w:p/>
        </w:tc>
        <w:tc>
          <w:p>
            <w:pPr>
              <w:pStyle w:val="Compact"/>
              <w:jc w:val="left"/>
            </w:pPr>
            <w:r>
              <w:t xml:space="preserve">Temp (C)</w:t>
            </w:r>
          </w:p>
        </w:tc>
        <w:tc>
          <w:p>
            <w:pPr>
              <w:pStyle w:val="Compact"/>
              <w:jc w:val="left"/>
            </w:pPr>
            <w:r>
              <w:t xml:space="preserve">25.3 (19.6, 32.9)</w:t>
            </w:r>
          </w:p>
        </w:tc>
        <w:tc>
          <w:p>
            <w:pPr>
              <w:pStyle w:val="Compact"/>
              <w:jc w:val="right"/>
            </w:pPr>
            <w:r>
              <w:t xml:space="preserve">398</w:t>
            </w:r>
          </w:p>
        </w:tc>
        <w:tc>
          <w:p>
            <w:pPr>
              <w:pStyle w:val="Compact"/>
              <w:jc w:val="right"/>
            </w:pPr>
            <w:r>
              <w:t xml:space="preserve">252</w:t>
            </w:r>
          </w:p>
        </w:tc>
        <w:tc>
          <w:p>
            <w:pPr>
              <w:pStyle w:val="Compact"/>
              <w:jc w:val="right"/>
            </w:pPr>
            <w:r>
              <w:t xml:space="preserve">78</w:t>
            </w:r>
          </w:p>
        </w:tc>
        <w:tc>
          <w:p>
            <w:pPr>
              <w:pStyle w:val="Compact"/>
              <w:jc w:val="right"/>
            </w:pPr>
            <w:r>
              <w:t xml:space="preserve">68</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371</w:t>
            </w:r>
          </w:p>
        </w:tc>
        <w:tc>
          <w:p>
            <w:pPr>
              <w:pStyle w:val="Compact"/>
              <w:jc w:val="right"/>
            </w:pPr>
            <w:r>
              <w:t xml:space="preserve">210</w:t>
            </w:r>
          </w:p>
        </w:tc>
        <w:tc>
          <w:p>
            <w:pPr>
              <w:pStyle w:val="Compact"/>
              <w:jc w:val="right"/>
            </w:pPr>
            <w:r>
              <w:t xml:space="preserve">148</w:t>
            </w:r>
          </w:p>
        </w:tc>
        <w:tc>
          <w:p>
            <w:pPr>
              <w:pStyle w:val="Compact"/>
              <w:jc w:val="right"/>
            </w:pPr>
            <w:r>
              <w:t xml:space="preserve">13</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439</w:t>
            </w:r>
          </w:p>
        </w:tc>
        <w:tc>
          <w:p>
            <w:pPr>
              <w:pStyle w:val="Compact"/>
              <w:jc w:val="right"/>
            </w:pPr>
            <w:r>
              <w:t xml:space="preserve">262</w:t>
            </w:r>
          </w:p>
        </w:tc>
        <w:tc>
          <w:p>
            <w:pPr>
              <w:pStyle w:val="Compact"/>
              <w:jc w:val="right"/>
            </w:pPr>
            <w:r>
              <w:t xml:space="preserve">130</w:t>
            </w:r>
          </w:p>
        </w:tc>
        <w:tc>
          <w:p>
            <w:pPr>
              <w:pStyle w:val="Compact"/>
              <w:jc w:val="right"/>
            </w:pPr>
            <w:r>
              <w:t xml:space="preserve">47</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42</w:t>
            </w:r>
          </w:p>
        </w:tc>
        <w:tc>
          <w:p>
            <w:pPr>
              <w:pStyle w:val="Compact"/>
              <w:jc w:val="right"/>
            </w:pPr>
            <w:r>
              <w:t xml:space="preserve">6</w:t>
            </w:r>
          </w:p>
        </w:tc>
        <w:tc>
          <w:p>
            <w:pPr>
              <w:pStyle w:val="Compact"/>
              <w:jc w:val="right"/>
            </w:pPr>
            <w:r>
              <w:t xml:space="preserve">18</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63</w:t>
            </w:r>
          </w:p>
        </w:tc>
        <w:tc>
          <w:p>
            <w:pPr>
              <w:pStyle w:val="Compact"/>
              <w:jc w:val="right"/>
            </w:pPr>
            <w:r>
              <w:t xml:space="preserve">25</w:t>
            </w:r>
          </w:p>
        </w:tc>
        <w:tc>
          <w:p>
            <w:pPr>
              <w:pStyle w:val="Compact"/>
              <w:jc w:val="right"/>
            </w:pPr>
            <w:r>
              <w:t xml:space="preserve">30</w:t>
            </w:r>
          </w:p>
        </w:tc>
        <w:tc>
          <w:p>
            <w:pPr>
              <w:pStyle w:val="Compact"/>
              <w:jc w:val="right"/>
            </w:pPr>
            <w:r>
              <w:t xml:space="preserve">8</w:t>
            </w:r>
          </w:p>
        </w:tc>
      </w:tr>
      <w:tr>
        <w:tc>
          <w:p/>
        </w:tc>
        <w:tc>
          <w:p>
            <w:pPr>
              <w:pStyle w:val="Compact"/>
              <w:jc w:val="left"/>
            </w:pPr>
            <w:r>
              <w:t xml:space="preserve">NH3, NH4+ (mg/L)</w:t>
            </w:r>
          </w:p>
        </w:tc>
        <w:tc>
          <w:p>
            <w:pPr>
              <w:pStyle w:val="Compact"/>
              <w:jc w:val="left"/>
            </w:pPr>
            <w:r>
              <w:t xml:space="preserve">0.005 (0.002, 0.035)</w:t>
            </w:r>
          </w:p>
        </w:tc>
        <w:tc>
          <w:p>
            <w:pPr>
              <w:pStyle w:val="Compact"/>
              <w:jc w:val="right"/>
            </w:pPr>
            <w:r>
              <w:t xml:space="preserve">62</w:t>
            </w:r>
          </w:p>
        </w:tc>
        <w:tc>
          <w:p>
            <w:pPr>
              <w:pStyle w:val="Compact"/>
              <w:jc w:val="right"/>
            </w:pPr>
            <w:r>
              <w:t xml:space="preserve">46</w:t>
            </w:r>
          </w:p>
        </w:tc>
        <w:tc>
          <w:p>
            <w:pPr>
              <w:pStyle w:val="Compact"/>
              <w:jc w:val="right"/>
            </w:pPr>
            <w:r>
              <w:t xml:space="preserve">0</w:t>
            </w:r>
          </w:p>
        </w:tc>
        <w:tc>
          <w:p>
            <w:pPr>
              <w:pStyle w:val="Compact"/>
              <w:jc w:val="right"/>
            </w:pPr>
            <w:r>
              <w:t xml:space="preserve">16</w:t>
            </w:r>
          </w:p>
        </w:tc>
      </w:tr>
      <w:tr>
        <w:tc>
          <w:p/>
        </w:tc>
        <w:tc>
          <w:p>
            <w:pPr>
              <w:pStyle w:val="Compact"/>
              <w:jc w:val="left"/>
            </w:pPr>
            <w:r>
              <w:t xml:space="preserve">Nitrate/Nitrite (mg/L)</w:t>
            </w:r>
          </w:p>
        </w:tc>
        <w:tc>
          <w:p>
            <w:pPr>
              <w:pStyle w:val="Compact"/>
              <w:jc w:val="left"/>
            </w:pPr>
            <w:r>
              <w:t xml:space="preserve">0.01 (0.00078, 0.014)</w:t>
            </w:r>
          </w:p>
        </w:tc>
        <w:tc>
          <w:p>
            <w:pPr>
              <w:pStyle w:val="Compact"/>
              <w:jc w:val="right"/>
            </w:pPr>
            <w:r>
              <w:t xml:space="preserve">41</w:t>
            </w:r>
          </w:p>
        </w:tc>
        <w:tc>
          <w:p>
            <w:pPr>
              <w:pStyle w:val="Compact"/>
              <w:jc w:val="right"/>
            </w:pPr>
            <w:r>
              <w:t xml:space="preserve">37</w:t>
            </w:r>
          </w:p>
        </w:tc>
        <w:tc>
          <w:p>
            <w:pPr>
              <w:pStyle w:val="Compact"/>
              <w:jc w:val="right"/>
            </w:pPr>
            <w:r>
              <w:t xml:space="preserve">1</w:t>
            </w:r>
          </w:p>
        </w:tc>
        <w:tc>
          <w:p>
            <w:pPr>
              <w:pStyle w:val="Compact"/>
              <w:jc w:val="right"/>
            </w:pPr>
            <w:r>
              <w:t xml:space="preserve">3</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82</w:t>
            </w:r>
          </w:p>
        </w:tc>
        <w:tc>
          <w:p>
            <w:pPr>
              <w:pStyle w:val="Compact"/>
              <w:jc w:val="right"/>
            </w:pPr>
            <w:r>
              <w:t xml:space="preserve">55</w:t>
            </w:r>
          </w:p>
        </w:tc>
        <w:tc>
          <w:p>
            <w:pPr>
              <w:pStyle w:val="Compact"/>
              <w:jc w:val="right"/>
            </w:pPr>
            <w:r>
              <w:t xml:space="preserve">15</w:t>
            </w:r>
          </w:p>
        </w:tc>
        <w:tc>
          <w:p>
            <w:pPr>
              <w:pStyle w:val="Compact"/>
              <w:jc w:val="right"/>
            </w:pPr>
            <w:r>
              <w:t xml:space="preserve">12</w:t>
            </w:r>
          </w:p>
        </w:tc>
      </w:tr>
      <w:tr>
        <w:tc>
          <w:p/>
        </w:tc>
        <w:tc>
          <w:p>
            <w:pPr>
              <w:pStyle w:val="Compact"/>
              <w:jc w:val="left"/>
            </w:pPr>
            <w:r>
              <w:t xml:space="preserve">Sal (ppt)</w:t>
            </w:r>
          </w:p>
        </w:tc>
        <w:tc>
          <w:p>
            <w:pPr>
              <w:pStyle w:val="Compact"/>
              <w:jc w:val="left"/>
            </w:pPr>
            <w:r>
              <w:t xml:space="preserve">27.6 (22.3, 32.3)</w:t>
            </w:r>
          </w:p>
        </w:tc>
        <w:tc>
          <w:p>
            <w:pPr>
              <w:pStyle w:val="Compact"/>
              <w:jc w:val="right"/>
            </w:pPr>
            <w:r>
              <w:t xml:space="preserve">63</w:t>
            </w:r>
          </w:p>
        </w:tc>
        <w:tc>
          <w:p>
            <w:pPr>
              <w:pStyle w:val="Compact"/>
              <w:jc w:val="right"/>
            </w:pPr>
            <w:r>
              <w:t xml:space="preserve">59</w:t>
            </w:r>
          </w:p>
        </w:tc>
        <w:tc>
          <w:p>
            <w:pPr>
              <w:pStyle w:val="Compact"/>
              <w:jc w:val="right"/>
            </w:pPr>
            <w:r>
              <w:t xml:space="preserve">0</w:t>
            </w:r>
          </w:p>
        </w:tc>
        <w:tc>
          <w:p>
            <w:pPr>
              <w:pStyle w:val="Compact"/>
              <w:jc w:val="right"/>
            </w:pPr>
            <w:r>
              <w:t xml:space="preserve">4</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33</w:t>
            </w:r>
          </w:p>
        </w:tc>
        <w:tc>
          <w:p>
            <w:pPr>
              <w:pStyle w:val="Compact"/>
              <w:jc w:val="right"/>
            </w:pPr>
            <w:r>
              <w:t xml:space="preserve">23</w:t>
            </w:r>
          </w:p>
        </w:tc>
        <w:tc>
          <w:p>
            <w:pPr>
              <w:pStyle w:val="Compact"/>
              <w:jc w:val="right"/>
            </w:pPr>
            <w:r>
              <w:t xml:space="preserve">2</w:t>
            </w:r>
          </w:p>
        </w:tc>
        <w:tc>
          <w:p>
            <w:pPr>
              <w:pStyle w:val="Compact"/>
              <w:jc w:val="right"/>
            </w:pPr>
            <w:r>
              <w:t xml:space="preserve">8</w:t>
            </w:r>
          </w:p>
        </w:tc>
      </w:tr>
      <w:tr>
        <w:tc>
          <w:p/>
        </w:tc>
        <w:tc>
          <w:p>
            <w:pPr>
              <w:pStyle w:val="Compact"/>
              <w:jc w:val="left"/>
            </w:pPr>
            <w:r>
              <w:t xml:space="preserve">Temp (C)</w:t>
            </w:r>
          </w:p>
        </w:tc>
        <w:tc>
          <w:p>
            <w:pPr>
              <w:pStyle w:val="Compact"/>
              <w:jc w:val="left"/>
            </w:pPr>
            <w:r>
              <w:t xml:space="preserve">25 (19.9, 31.6)</w:t>
            </w:r>
          </w:p>
        </w:tc>
        <w:tc>
          <w:p>
            <w:pPr>
              <w:pStyle w:val="Compact"/>
              <w:jc w:val="right"/>
            </w:pPr>
            <w:r>
              <w:t xml:space="preserve">63</w:t>
            </w:r>
          </w:p>
        </w:tc>
        <w:tc>
          <w:p>
            <w:pPr>
              <w:pStyle w:val="Compact"/>
              <w:jc w:val="right"/>
            </w:pPr>
            <w:r>
              <w:t xml:space="preserve">44</w:t>
            </w:r>
          </w:p>
        </w:tc>
        <w:tc>
          <w:p>
            <w:pPr>
              <w:pStyle w:val="Compact"/>
              <w:jc w:val="right"/>
            </w:pPr>
            <w:r>
              <w:t xml:space="preserve">5</w:t>
            </w:r>
          </w:p>
        </w:tc>
        <w:tc>
          <w:p>
            <w:pPr>
              <w:pStyle w:val="Compact"/>
              <w:jc w:val="right"/>
            </w:pPr>
            <w:r>
              <w:t xml:space="preserve">14</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49</w:t>
            </w:r>
          </w:p>
        </w:tc>
        <w:tc>
          <w:p>
            <w:pPr>
              <w:pStyle w:val="Compact"/>
              <w:jc w:val="right"/>
            </w:pPr>
            <w:r>
              <w:t xml:space="preserve">35</w:t>
            </w:r>
          </w:p>
        </w:tc>
        <w:tc>
          <w:p>
            <w:pPr>
              <w:pStyle w:val="Compact"/>
              <w:jc w:val="right"/>
            </w:pPr>
            <w:r>
              <w:t xml:space="preserve">6</w:t>
            </w:r>
          </w:p>
        </w:tc>
        <w:tc>
          <w:p>
            <w:pPr>
              <w:pStyle w:val="Compact"/>
              <w:jc w:val="right"/>
            </w:pPr>
            <w:r>
              <w:t xml:space="preserve">8</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11</w:t>
            </w:r>
          </w:p>
        </w:tc>
        <w:tc>
          <w:p>
            <w:pPr>
              <w:pStyle w:val="Compact"/>
              <w:jc w:val="right"/>
            </w:pPr>
            <w:r>
              <w:t xml:space="preserve">10</w:t>
            </w:r>
          </w:p>
        </w:tc>
        <w:tc>
          <w:p>
            <w:pPr>
              <w:pStyle w:val="Compact"/>
              <w:jc w:val="right"/>
            </w:pPr>
            <w:r>
              <w:t xml:space="preserve">34</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146</w:t>
            </w:r>
          </w:p>
        </w:tc>
        <w:tc>
          <w:p>
            <w:pPr>
              <w:pStyle w:val="Compact"/>
              <w:jc w:val="right"/>
            </w:pPr>
            <w:r>
              <w:t xml:space="preserve">53</w:t>
            </w:r>
          </w:p>
        </w:tc>
        <w:tc>
          <w:p>
            <w:pPr>
              <w:pStyle w:val="Compact"/>
              <w:jc w:val="right"/>
            </w:pPr>
            <w:r>
              <w:t xml:space="preserve">22</w:t>
            </w:r>
          </w:p>
        </w:tc>
      </w:tr>
      <w:tr>
        <w:tc>
          <w:p/>
        </w:tc>
        <w:tc>
          <w:p>
            <w:pPr>
              <w:pStyle w:val="Compact"/>
              <w:jc w:val="left"/>
            </w:pPr>
            <w:r>
              <w:t xml:space="preserve">DO (% sat.)</w:t>
            </w:r>
          </w:p>
        </w:tc>
        <w:tc>
          <w:p>
            <w:pPr>
              <w:pStyle w:val="Compact"/>
              <w:jc w:val="left"/>
            </w:pPr>
            <w:r>
              <w:t xml:space="preserve">99 (42.4, 229.9)</w:t>
            </w:r>
          </w:p>
        </w:tc>
        <w:tc>
          <w:p>
            <w:pPr>
              <w:pStyle w:val="Compact"/>
              <w:jc w:val="right"/>
            </w:pPr>
            <w:r>
              <w:t xml:space="preserve">197</w:t>
            </w:r>
          </w:p>
        </w:tc>
        <w:tc>
          <w:p>
            <w:pPr>
              <w:pStyle w:val="Compact"/>
              <w:jc w:val="right"/>
            </w:pPr>
            <w:r>
              <w:t xml:space="preserve">103</w:t>
            </w:r>
          </w:p>
        </w:tc>
        <w:tc>
          <w:p>
            <w:pPr>
              <w:pStyle w:val="Compact"/>
              <w:jc w:val="right"/>
            </w:pPr>
            <w:r>
              <w:t xml:space="preserve">51</w:t>
            </w:r>
          </w:p>
        </w:tc>
        <w:tc>
          <w:p>
            <w:pPr>
              <w:pStyle w:val="Compact"/>
              <w:jc w:val="right"/>
            </w:pPr>
            <w:r>
              <w:t xml:space="preserve">43</w:t>
            </w:r>
          </w:p>
        </w:tc>
      </w:tr>
      <w:tr>
        <w:tc>
          <w:p/>
        </w:tc>
        <w:tc>
          <w:p>
            <w:pPr>
              <w:pStyle w:val="Compact"/>
              <w:jc w:val="left"/>
            </w:pPr>
            <w:r>
              <w:t xml:space="preserve">NH3, NH4+ (mg/L)</w:t>
            </w:r>
          </w:p>
        </w:tc>
        <w:tc>
          <w:p>
            <w:pPr>
              <w:pStyle w:val="Compact"/>
              <w:jc w:val="left"/>
            </w:pPr>
            <w:r>
              <w:t xml:space="preserve">0.008 (0.002, 0.041)</w:t>
            </w:r>
          </w:p>
        </w:tc>
        <w:tc>
          <w:p>
            <w:pPr>
              <w:pStyle w:val="Compact"/>
              <w:jc w:val="right"/>
            </w:pPr>
            <w:r>
              <w:t xml:space="preserve">206</w:t>
            </w:r>
          </w:p>
        </w:tc>
        <w:tc>
          <w:p>
            <w:pPr>
              <w:pStyle w:val="Compact"/>
              <w:jc w:val="right"/>
            </w:pPr>
            <w:r>
              <w:t xml:space="preserve">116</w:t>
            </w:r>
          </w:p>
        </w:tc>
        <w:tc>
          <w:p>
            <w:pPr>
              <w:pStyle w:val="Compact"/>
              <w:jc w:val="right"/>
            </w:pPr>
            <w:r>
              <w:t xml:space="preserve">1</w:t>
            </w:r>
          </w:p>
        </w:tc>
        <w:tc>
          <w:p>
            <w:pPr>
              <w:pStyle w:val="Compact"/>
              <w:jc w:val="right"/>
            </w:pPr>
            <w:r>
              <w:t xml:space="preserve">89</w:t>
            </w:r>
          </w:p>
        </w:tc>
      </w:tr>
      <w:tr>
        <w:tc>
          <w:p/>
        </w:tc>
        <w:tc>
          <w:p>
            <w:pPr>
              <w:pStyle w:val="Compact"/>
              <w:jc w:val="left"/>
            </w:pPr>
            <w:r>
              <w:t xml:space="preserve">Nitrate/Nitrite (mg/L)</w:t>
            </w:r>
          </w:p>
        </w:tc>
        <w:tc>
          <w:p>
            <w:pPr>
              <w:pStyle w:val="Compact"/>
              <w:jc w:val="left"/>
            </w:pPr>
            <w:r>
              <w:t xml:space="preserve">0.01 (0.00078, 0.043)</w:t>
            </w:r>
          </w:p>
        </w:tc>
        <w:tc>
          <w:p>
            <w:pPr>
              <w:pStyle w:val="Compact"/>
              <w:jc w:val="right"/>
            </w:pPr>
            <w:r>
              <w:t xml:space="preserve">146</w:t>
            </w:r>
          </w:p>
        </w:tc>
        <w:tc>
          <w:p>
            <w:pPr>
              <w:pStyle w:val="Compact"/>
              <w:jc w:val="right"/>
            </w:pPr>
            <w:r>
              <w:t xml:space="preserve">87</w:t>
            </w:r>
          </w:p>
        </w:tc>
        <w:tc>
          <w:p>
            <w:pPr>
              <w:pStyle w:val="Compact"/>
              <w:jc w:val="right"/>
            </w:pPr>
            <w:r>
              <w:t xml:space="preserve">9</w:t>
            </w:r>
          </w:p>
        </w:tc>
        <w:tc>
          <w:p>
            <w:pPr>
              <w:pStyle w:val="Compact"/>
              <w:jc w:val="right"/>
            </w:pPr>
            <w:r>
              <w:t xml:space="preserve">50</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220</w:t>
            </w:r>
          </w:p>
        </w:tc>
        <w:tc>
          <w:p>
            <w:pPr>
              <w:pStyle w:val="Compact"/>
              <w:jc w:val="right"/>
            </w:pPr>
            <w:r>
              <w:t xml:space="preserve">137</w:t>
            </w:r>
          </w:p>
        </w:tc>
        <w:tc>
          <w:p>
            <w:pPr>
              <w:pStyle w:val="Compact"/>
              <w:jc w:val="right"/>
            </w:pPr>
            <w:r>
              <w:t xml:space="preserve">65</w:t>
            </w:r>
          </w:p>
        </w:tc>
        <w:tc>
          <w:p>
            <w:pPr>
              <w:pStyle w:val="Compact"/>
              <w:jc w:val="right"/>
            </w:pPr>
            <w:r>
              <w:t xml:space="preserve">18</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255</w:t>
            </w:r>
          </w:p>
        </w:tc>
        <w:tc>
          <w:p>
            <w:pPr>
              <w:pStyle w:val="Compact"/>
              <w:jc w:val="right"/>
            </w:pPr>
            <w:r>
              <w:t xml:space="preserve">208</w:t>
            </w:r>
          </w:p>
        </w:tc>
        <w:tc>
          <w:p>
            <w:pPr>
              <w:pStyle w:val="Compact"/>
              <w:jc w:val="right"/>
            </w:pPr>
            <w:r>
              <w:t xml:space="preserve">22</w:t>
            </w:r>
          </w:p>
        </w:tc>
        <w:tc>
          <w:p>
            <w:pPr>
              <w:pStyle w:val="Compact"/>
              <w:jc w:val="right"/>
            </w:pPr>
            <w:r>
              <w:t xml:space="preserve">25</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193</w:t>
            </w:r>
          </w:p>
        </w:tc>
        <w:tc>
          <w:p>
            <w:pPr>
              <w:pStyle w:val="Compact"/>
              <w:jc w:val="right"/>
            </w:pPr>
            <w:r>
              <w:t xml:space="preserve">83</w:t>
            </w:r>
          </w:p>
        </w:tc>
        <w:tc>
          <w:p>
            <w:pPr>
              <w:pStyle w:val="Compact"/>
              <w:jc w:val="right"/>
            </w:pPr>
            <w:r>
              <w:t xml:space="preserve">26</w:t>
            </w:r>
          </w:p>
        </w:tc>
        <w:tc>
          <w:p>
            <w:pPr>
              <w:pStyle w:val="Compact"/>
              <w:jc w:val="right"/>
            </w:pPr>
            <w:r>
              <w:t xml:space="preserve">84</w:t>
            </w:r>
          </w:p>
        </w:tc>
      </w:tr>
      <w:tr>
        <w:tc>
          <w:p/>
        </w:tc>
        <w:tc>
          <w:p>
            <w:pPr>
              <w:pStyle w:val="Compact"/>
              <w:jc w:val="left"/>
            </w:pPr>
            <w:r>
              <w:t xml:space="preserve">Temp (C)</w:t>
            </w:r>
          </w:p>
        </w:tc>
        <w:tc>
          <w:p>
            <w:pPr>
              <w:pStyle w:val="Compact"/>
              <w:jc w:val="left"/>
            </w:pPr>
            <w:r>
              <w:t xml:space="preserve">25.8 (19.6, 32.1)</w:t>
            </w:r>
          </w:p>
        </w:tc>
        <w:tc>
          <w:p>
            <w:pPr>
              <w:pStyle w:val="Compact"/>
              <w:jc w:val="right"/>
            </w:pPr>
            <w:r>
              <w:t xml:space="preserve">255</w:t>
            </w:r>
          </w:p>
        </w:tc>
        <w:tc>
          <w:p>
            <w:pPr>
              <w:pStyle w:val="Compact"/>
              <w:jc w:val="right"/>
            </w:pPr>
            <w:r>
              <w:t xml:space="preserve">150</w:t>
            </w:r>
          </w:p>
        </w:tc>
        <w:tc>
          <w:p>
            <w:pPr>
              <w:pStyle w:val="Compact"/>
              <w:jc w:val="right"/>
            </w:pPr>
            <w:r>
              <w:t xml:space="preserve">41</w:t>
            </w:r>
          </w:p>
        </w:tc>
        <w:tc>
          <w:p>
            <w:pPr>
              <w:pStyle w:val="Compact"/>
              <w:jc w:val="right"/>
            </w:pPr>
            <w:r>
              <w:t xml:space="preserve">64</w:t>
            </w:r>
          </w:p>
        </w:tc>
      </w:tr>
      <w:tr>
        <w:tc>
          <w:p/>
        </w:tc>
        <w:tc>
          <w:p>
            <w:pPr>
              <w:pStyle w:val="Compact"/>
              <w:jc w:val="left"/>
            </w:pPr>
            <w:r>
              <w:t xml:space="preserve">TN (mg/L)</w:t>
            </w:r>
          </w:p>
        </w:tc>
        <w:tc>
          <w:p>
            <w:pPr>
              <w:pStyle w:val="Compact"/>
              <w:jc w:val="left"/>
            </w:pPr>
            <w:r>
              <w:t xml:space="preserve">0.334 (0.152, 1.78)</w:t>
            </w:r>
          </w:p>
        </w:tc>
        <w:tc>
          <w:p>
            <w:pPr>
              <w:pStyle w:val="Compact"/>
              <w:jc w:val="right"/>
            </w:pPr>
            <w:r>
              <w:t xml:space="preserve">209</w:t>
            </w:r>
          </w:p>
        </w:tc>
        <w:tc>
          <w:p>
            <w:pPr>
              <w:pStyle w:val="Compact"/>
              <w:jc w:val="right"/>
            </w:pPr>
            <w:r>
              <w:t xml:space="preserve">153</w:t>
            </w:r>
          </w:p>
        </w:tc>
        <w:tc>
          <w:p>
            <w:pPr>
              <w:pStyle w:val="Compact"/>
              <w:jc w:val="right"/>
            </w:pPr>
            <w:r>
              <w:t xml:space="preserve">49</w:t>
            </w:r>
          </w:p>
        </w:tc>
        <w:tc>
          <w:p>
            <w:pPr>
              <w:pStyle w:val="Compact"/>
              <w:jc w:val="right"/>
            </w:pPr>
            <w:r>
              <w:t xml:space="preserve">7</w:t>
            </w:r>
          </w:p>
        </w:tc>
      </w:tr>
      <w:tr>
        <w:tc>
          <w:p/>
        </w:tc>
        <w:tc>
          <w:p>
            <w:pPr>
              <w:pStyle w:val="Compact"/>
              <w:jc w:val="left"/>
            </w:pPr>
            <w:r>
              <w:t xml:space="preserve">TP (mg/L)</w:t>
            </w:r>
          </w:p>
        </w:tc>
        <w:tc>
          <w:p>
            <w:pPr>
              <w:pStyle w:val="Compact"/>
              <w:jc w:val="left"/>
            </w:pPr>
            <w:r>
              <w:t xml:space="preserve">0.061 (0.019, 0.589)</w:t>
            </w:r>
          </w:p>
        </w:tc>
        <w:tc>
          <w:p>
            <w:pPr>
              <w:pStyle w:val="Compact"/>
              <w:jc w:val="right"/>
            </w:pPr>
            <w:r>
              <w:t xml:space="preserve">223</w:t>
            </w:r>
          </w:p>
        </w:tc>
        <w:tc>
          <w:p>
            <w:pPr>
              <w:pStyle w:val="Compact"/>
              <w:jc w:val="right"/>
            </w:pPr>
            <w:r>
              <w:t xml:space="preserve">159</w:t>
            </w:r>
          </w:p>
        </w:tc>
        <w:tc>
          <w:p>
            <w:pPr>
              <w:pStyle w:val="Compact"/>
              <w:jc w:val="right"/>
            </w:pPr>
            <w:r>
              <w:t xml:space="preserve">38</w:t>
            </w:r>
          </w:p>
        </w:tc>
        <w:tc>
          <w:p>
            <w:pPr>
              <w:pStyle w:val="Compact"/>
              <w:jc w:val="right"/>
            </w:pPr>
            <w:r>
              <w:t xml:space="preserve">26</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26.1**</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16</w:t>
            </w:r>
          </w:p>
        </w:tc>
        <w:tc>
          <w:p>
            <w:pPr>
              <w:pStyle w:val="Compact"/>
              <w:jc w:val="left"/>
            </w:pPr>
            <w:r>
              <w:t xml:space="preserve">0.635 (0.43, 1.4)</w:t>
            </w:r>
          </w:p>
        </w:tc>
      </w:tr>
      <w:tr>
        <w:tc>
          <w:p/>
        </w:tc>
        <w:tc>
          <w:p>
            <w:pPr>
              <w:pStyle w:val="Compact"/>
              <w:jc w:val="left"/>
            </w:pPr>
            <w:r>
              <w:t xml:space="preserve">Chl-a (ug/L)</w:t>
            </w:r>
          </w:p>
        </w:tc>
        <w:tc>
          <w:p>
            <w:pPr>
              <w:pStyle w:val="Compact"/>
              <w:jc w:val="left"/>
            </w:pPr>
            <w:r>
              <w:t xml:space="preserve">41.53**</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5.5 (3, 120)</w:t>
            </w:r>
          </w:p>
        </w:tc>
      </w:tr>
      <w:tr>
        <w:tc>
          <w:p/>
        </w:tc>
        <w:tc>
          <w:p>
            <w:pPr>
              <w:pStyle w:val="Compact"/>
              <w:jc w:val="left"/>
            </w:pPr>
            <w:r>
              <w:t xml:space="preserve">Secchi (m)</w:t>
            </w:r>
          </w:p>
        </w:tc>
        <w:tc>
          <w:p>
            <w:pPr>
              <w:pStyle w:val="Compact"/>
              <w:jc w:val="left"/>
            </w:pPr>
            <w:r>
              <w:t xml:space="preserve">35.74**</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24</w:t>
            </w:r>
          </w:p>
        </w:tc>
        <w:tc>
          <w:p>
            <w:pPr>
              <w:pStyle w:val="Compact"/>
              <w:jc w:val="left"/>
            </w:pPr>
            <w:r>
              <w:t xml:space="preserve">2.2 (0.7, 3.5)</w:t>
            </w:r>
          </w:p>
        </w:tc>
      </w:tr>
      <w:tr>
        <w:tc>
          <w:p>
            <w:pPr>
              <w:pStyle w:val="Compact"/>
              <w:jc w:val="left"/>
            </w:pPr>
            <w:r>
              <w:t xml:space="preserve">2</w:t>
            </w:r>
          </w:p>
        </w:tc>
        <w:tc>
          <w:p>
            <w:pPr>
              <w:pStyle w:val="Compact"/>
              <w:jc w:val="left"/>
            </w:pPr>
            <w:r>
              <w:t xml:space="preserve">TN (mg/L)</w:t>
            </w:r>
          </w:p>
        </w:tc>
        <w:tc>
          <w:p>
            <w:pPr>
              <w:pStyle w:val="Compact"/>
              <w:jc w:val="left"/>
            </w:pPr>
            <w:r>
              <w:t xml:space="preserve">10.29*</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2</w:t>
            </w:r>
          </w:p>
        </w:tc>
        <w:tc>
          <w:p>
            <w:pPr>
              <w:pStyle w:val="Compact"/>
              <w:jc w:val="left"/>
            </w:pPr>
            <w:r>
              <w:t xml:space="preserve">0.585 (0.51,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1.41</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3</w:t>
            </w:r>
          </w:p>
        </w:tc>
        <w:tc>
          <w:p>
            <w:pPr>
              <w:pStyle w:val="Compact"/>
              <w:jc w:val="left"/>
            </w:pPr>
            <w:r>
              <w:t xml:space="preserve">1.5 (1.4, 2.2)</w:t>
            </w:r>
          </w:p>
        </w:tc>
      </w:tr>
      <w:tr>
        <w:tc>
          <w:p>
            <w:pPr>
              <w:pStyle w:val="Compact"/>
              <w:jc w:val="left"/>
            </w:pPr>
            <w:r>
              <w:t xml:space="preserve">3</w:t>
            </w:r>
          </w:p>
        </w:tc>
        <w:tc>
          <w:p>
            <w:pPr>
              <w:pStyle w:val="Compact"/>
              <w:jc w:val="left"/>
            </w:pPr>
            <w:r>
              <w:t xml:space="preserve">TN (mg/L)</w:t>
            </w:r>
          </w:p>
        </w:tc>
        <w:tc>
          <w:p>
            <w:pPr>
              <w:pStyle w:val="Compact"/>
              <w:jc w:val="left"/>
            </w:pPr>
            <w:r>
              <w:t xml:space="preserve">5.64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0.36 (0.34, 0.41)</w:t>
            </w:r>
          </w:p>
        </w:tc>
      </w:tr>
      <w:tr>
        <w:tc>
          <w:p/>
        </w:tc>
        <w:tc>
          <w:p>
            <w:pPr>
              <w:pStyle w:val="Compact"/>
              <w:jc w:val="left"/>
            </w:pPr>
            <w:r>
              <w:t xml:space="preserve">Chl-a (ug/L)</w:t>
            </w:r>
          </w:p>
        </w:tc>
        <w:tc>
          <w:p>
            <w:pPr>
              <w:pStyle w:val="Compact"/>
              <w:jc w:val="left"/>
            </w:pPr>
            <w:r>
              <w:t xml:space="preserve">28.4**</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27.18**</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tc>
        <w:tc>
          <w:p/>
        </w:tc>
        <w:tc>
          <w:p>
            <w:pPr>
              <w:pStyle w:val="Compact"/>
              <w:jc w:val="left"/>
            </w:pPr>
            <w:r>
              <w:t xml:space="preserve">abc</w:t>
            </w:r>
          </w:p>
        </w:tc>
        <w:tc>
          <w:p>
            <w:pPr>
              <w:pStyle w:val="Compact"/>
              <w:jc w:val="left"/>
            </w:pPr>
            <w:r>
              <w:t xml:space="preserve">Aug</w:t>
            </w:r>
          </w:p>
        </w:tc>
        <w:tc>
          <w:p>
            <w:pPr>
              <w:pStyle w:val="Compact"/>
              <w:jc w:val="right"/>
            </w:pPr>
            <w:r>
              <w:t xml:space="preserve">8</w:t>
            </w:r>
          </w:p>
        </w:tc>
        <w:tc>
          <w:p>
            <w:pPr>
              <w:pStyle w:val="Compact"/>
              <w:jc w:val="left"/>
            </w:pPr>
            <w:r>
              <w:t xml:space="preserve">0.464 (0.222, 0.857)</w:t>
            </w:r>
          </w:p>
        </w:tc>
      </w:tr>
      <w:tr>
        <w:tc>
          <w:p/>
        </w:tc>
        <w:tc>
          <w:p>
            <w:pPr>
              <w:pStyle w:val="Compact"/>
              <w:jc w:val="left"/>
            </w:pPr>
            <w:r>
              <w:t xml:space="preserve">Green</w:t>
            </w:r>
          </w:p>
        </w:tc>
        <w:tc>
          <w:p>
            <w:pPr>
              <w:pStyle w:val="Compact"/>
              <w:jc w:val="left"/>
            </w:pPr>
            <w:r>
              <w:t xml:space="preserve">5.13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Cyanobacteria</w:t>
            </w:r>
          </w:p>
        </w:tc>
        <w:tc>
          <w:p>
            <w:pPr>
              <w:pStyle w:val="Compact"/>
              <w:jc w:val="left"/>
            </w:pPr>
            <w:r>
              <w:t xml:space="preserve">21.67**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tc>
        <w:tc>
          <w:p/>
        </w:tc>
        <w:tc>
          <w:p/>
        </w:tc>
        <w:tc>
          <w:p>
            <w:pPr>
              <w:pStyle w:val="Compact"/>
              <w:jc w:val="left"/>
            </w:pPr>
            <w:r>
              <w:t xml:space="preserve">ab</w:t>
            </w:r>
          </w:p>
        </w:tc>
        <w:tc>
          <w:p>
            <w:pPr>
              <w:pStyle w:val="Compact"/>
              <w:jc w:val="left"/>
            </w:pPr>
            <w:r>
              <w:t xml:space="preserve">Aug</w:t>
            </w:r>
          </w:p>
        </w:tc>
        <w:tc>
          <w:p>
            <w:pPr>
              <w:pStyle w:val="Compact"/>
              <w:jc w:val="right"/>
            </w:pPr>
            <w:r>
              <w:t xml:space="preserve">8</w:t>
            </w:r>
          </w:p>
        </w:tc>
        <w:tc>
          <w:p>
            <w:pPr>
              <w:pStyle w:val="Compact"/>
              <w:jc w:val="left"/>
            </w:pPr>
            <w:r>
              <w:t xml:space="preserve">0 (0, 0)</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Probability values were adjusted for the pairwise comparisons using the Bonferroni method in Holm (1979). ** p &lt; 0.005, * p &lt; 0.05, blank is not signif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0.833)</w:t>
            </w:r>
          </w:p>
        </w:tc>
      </w:tr>
      <w:tr>
        <w:tc>
          <w:p/>
        </w:tc>
        <w:tc>
          <w:p>
            <w:pPr>
              <w:pStyle w:val="Compact"/>
              <w:jc w:val="left"/>
            </w:pPr>
            <w:r>
              <w:t xml:space="preserve">Halodule wrightii</w:t>
            </w:r>
          </w:p>
        </w:tc>
        <w:tc>
          <w:p>
            <w:pPr>
              <w:pStyle w:val="Compact"/>
              <w:jc w:val="left"/>
            </w:pPr>
            <w:r>
              <w:t xml:space="preserve">3.36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0.083 (0, 0.667)</w:t>
            </w:r>
          </w:p>
        </w:tc>
      </w:tr>
      <w:tr>
        <w:tc>
          <w:p/>
        </w:tc>
        <w:tc>
          <w:p>
            <w:pPr>
              <w:pStyle w:val="Compact"/>
              <w:jc w:val="left"/>
            </w:pPr>
            <w:r>
              <w:t xml:space="preserve">Syringodium filiforme</w:t>
            </w:r>
          </w:p>
        </w:tc>
        <w:tc>
          <w:p>
            <w:pPr>
              <w:pStyle w:val="Compact"/>
              <w:jc w:val="left"/>
            </w:pPr>
            <w:r>
              <w:t xml:space="preserve">0.55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Aug</w:t>
            </w:r>
          </w:p>
        </w:tc>
        <w:tc>
          <w:p>
            <w:pPr>
              <w:pStyle w:val="Compact"/>
              <w:jc w:val="right"/>
            </w:pPr>
            <w:r>
              <w:t xml:space="preserve">8</w:t>
            </w:r>
          </w:p>
        </w:tc>
        <w:tc>
          <w:p>
            <w:pPr>
              <w:pStyle w:val="Compact"/>
              <w:jc w:val="left"/>
            </w:pPr>
            <w:r>
              <w:t xml:space="preserve">0.417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49"/>
    <w:bookmarkStart w:id="99" w:name="references"/>
    <w:p>
      <w:pPr>
        <w:pStyle w:val="Heading1"/>
      </w:pPr>
      <w:r>
        <w:t xml:space="preserve">References</w:t>
      </w:r>
    </w:p>
    <w:bookmarkStart w:id="98" w:name="refs"/>
    <w:bookmarkStart w:id="51" w:name="ref-Beck18"/>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50">
        <w:r>
          <w:rPr>
            <w:rStyle w:val="Hyperlink"/>
          </w:rPr>
          <w:t xml:space="preserve">https://doi.org/10.18785/gcr.2901.02</w:t>
        </w:r>
      </w:hyperlink>
    </w:p>
    <w:bookmarkEnd w:id="51"/>
    <w:bookmarkStart w:id="53" w:name="ref-Beck18g"/>
    <w:p>
      <w:pPr>
        <w:pStyle w:val="Bibliography"/>
      </w:pPr>
      <w:r>
        <w:t xml:space="preserve">Beck, M.W., Hagy, J.D., III, Le, C., 2018b. Quantifying seagrass light requirements using an algorithm to spatially resolve depth of colonization. Estuaries and Coasts 41, 592–610.</w:t>
      </w:r>
      <w:r>
        <w:t xml:space="preserve"> </w:t>
      </w:r>
      <w:hyperlink r:id="rId52">
        <w:r>
          <w:rPr>
            <w:rStyle w:val="Hyperlink"/>
          </w:rPr>
          <w:t xml:space="preserve">https://doi.org/10.1007/s12237-017-0287-1</w:t>
        </w:r>
      </w:hyperlink>
    </w:p>
    <w:bookmarkEnd w:id="53"/>
    <w:bookmarkStart w:id="54"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54"/>
    <w:bookmarkStart w:id="56"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55">
        <w:r>
          <w:rPr>
            <w:rStyle w:val="Hyperlink"/>
          </w:rPr>
          <w:t xml:space="preserve">https://doi.org/10.1016/S0265-931X(00)00164-8</w:t>
        </w:r>
      </w:hyperlink>
    </w:p>
    <w:bookmarkEnd w:id="56"/>
    <w:bookmarkStart w:id="57"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57"/>
    <w:bookmarkStart w:id="59"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58">
        <w:r>
          <w:rPr>
            <w:rStyle w:val="Hyperlink"/>
          </w:rPr>
          <w:t xml:space="preserve">https://doi.org/10.1016/j.marpolbul.2015.10.047</w:t>
        </w:r>
      </w:hyperlink>
    </w:p>
    <w:bookmarkEnd w:id="59"/>
    <w:bookmarkStart w:id="6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60">
        <w:r>
          <w:rPr>
            <w:rStyle w:val="Hyperlink"/>
          </w:rPr>
          <w:t xml:space="preserve">https://doi.org/10.1016/j.marpolbul.2010.11.017</w:t>
        </w:r>
      </w:hyperlink>
    </w:p>
    <w:bookmarkEnd w:id="61"/>
    <w:bookmarkStart w:id="63"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62">
        <w:r>
          <w:rPr>
            <w:rStyle w:val="Hyperlink"/>
          </w:rPr>
          <w:t xml:space="preserve">https://doi.org/10.1007/s00267-005-0079-4</w:t>
        </w:r>
      </w:hyperlink>
    </w:p>
    <w:bookmarkEnd w:id="63"/>
    <w:bookmarkStart w:id="64"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64"/>
    <w:bookmarkStart w:id="66"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65">
        <w:r>
          <w:rPr>
            <w:rStyle w:val="Hyperlink"/>
          </w:rPr>
          <w:t xml:space="preserve">https://doi.org/10.1016/j.ecss.2014.10.003</w:t>
        </w:r>
      </w:hyperlink>
    </w:p>
    <w:bookmarkEnd w:id="66"/>
    <w:bookmarkStart w:id="67"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67"/>
    <w:bookmarkStart w:id="68" w:name="ref-Hollander13"/>
    <w:p>
      <w:pPr>
        <w:pStyle w:val="Bibliography"/>
      </w:pPr>
      <w:r>
        <w:t xml:space="preserve">Hollander, M., Wolfe, D.A., Chicken, E., 2013. Nonparametric statistical methods. John Wiley &amp; Sons.</w:t>
      </w:r>
    </w:p>
    <w:bookmarkEnd w:id="68"/>
    <w:bookmarkStart w:id="69" w:name="ref-Holm79"/>
    <w:p>
      <w:pPr>
        <w:pStyle w:val="Bibliography"/>
      </w:pPr>
      <w:r>
        <w:t xml:space="preserve">Holm, S., 1979. A simple sequentially rejective multiple test procedure. Scandinavian journal of statistics 65–70.</w:t>
      </w:r>
    </w:p>
    <w:bookmarkEnd w:id="69"/>
    <w:bookmarkStart w:id="71"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70">
        <w:r>
          <w:rPr>
            <w:rStyle w:val="Hyperlink"/>
          </w:rPr>
          <w:t xml:space="preserve">https://doi.org/10.4319/lo.2006.51.1_part_2.0364</w:t>
        </w:r>
      </w:hyperlink>
    </w:p>
    <w:bookmarkEnd w:id="71"/>
    <w:bookmarkStart w:id="73" w:name="ref-Hudson11"/>
    <w:p>
      <w:pPr>
        <w:pStyle w:val="Bibliography"/>
      </w:pPr>
      <w:r>
        <w:t xml:space="preserve">Hudson-Edwards, K.A., Jamieson, H.E., Lottermoser, B.G., 2011. Mine wastes: Past, present, future. Elements 7, 375–380.</w:t>
      </w:r>
      <w:r>
        <w:t xml:space="preserve"> </w:t>
      </w:r>
      <w:hyperlink r:id="rId72">
        <w:r>
          <w:rPr>
            <w:rStyle w:val="Hyperlink"/>
          </w:rPr>
          <w:t xml:space="preserve">https://doi.org/10.2113/gselements.7.6.375</w:t>
        </w:r>
      </w:hyperlink>
    </w:p>
    <w:bookmarkEnd w:id="73"/>
    <w:bookmarkStart w:id="74"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74"/>
    <w:bookmarkStart w:id="75" w:name="ref-Janicki17"/>
    <w:p>
      <w:pPr>
        <w:pStyle w:val="Bibliography"/>
      </w:pPr>
      <w:r>
        <w:t xml:space="preserve">Janicki Environmental, Inc., 2017.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75"/>
    <w:bookmarkStart w:id="76" w:name="ref-Janicki08"/>
    <w:p>
      <w:pPr>
        <w:pStyle w:val="Bibliography"/>
      </w:pPr>
      <w:r>
        <w:t xml:space="preserve">Janicki Environmental, Inc., 2008. Estimation of nitrogen loading from residential irrigation. Tampa Bay Estuary Program, St. Petersburg, Florida.</w:t>
      </w:r>
    </w:p>
    <w:bookmarkEnd w:id="76"/>
    <w:bookmarkStart w:id="77"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77"/>
    <w:bookmarkStart w:id="78" w:name="ref-Ohara17"/>
    <w:p>
      <w:pPr>
        <w:pStyle w:val="Bibliography"/>
      </w:pPr>
      <w:r>
        <w:t xml:space="preserve">N. O’Hara, Shafer Consulting, Inc., 2017. Charting the course: The comprehensive conservation and management plan for</w:t>
      </w:r>
      <w:r>
        <w:t xml:space="preserve"> </w:t>
      </w:r>
      <w:r>
        <w:t xml:space="preserve">T</w:t>
      </w:r>
      <w:r>
        <w:t xml:space="preserve">ampa</w:t>
      </w:r>
      <w:r>
        <w:t xml:space="preserve"> </w:t>
      </w:r>
      <w:r>
        <w:t xml:space="preserve">B</w:t>
      </w:r>
      <w:r>
        <w:t xml:space="preserve">ay (No. 10-17). Tampa Bay Estuary Program, St. Petersburg, Florida.</w:t>
      </w:r>
    </w:p>
    <w:bookmarkEnd w:id="78"/>
    <w:bookmarkStart w:id="80" w:name="ref-Nixon95"/>
    <w:p>
      <w:pPr>
        <w:pStyle w:val="Bibliography"/>
      </w:pPr>
      <w:r>
        <w:t xml:space="preserve">Nixon, S.W., 1995. Coastal marine eutrophication: A definition, social causes, and future concerns. Ophelia 41, 199–219.</w:t>
      </w:r>
      <w:r>
        <w:t xml:space="preserve"> </w:t>
      </w:r>
      <w:hyperlink r:id="rId79">
        <w:r>
          <w:rPr>
            <w:rStyle w:val="Hyperlink"/>
          </w:rPr>
          <w:t xml:space="preserve">https://doi.org/10.1080/00785236.1995.10422044</w:t>
        </w:r>
      </w:hyperlink>
    </w:p>
    <w:bookmarkEnd w:id="80"/>
    <w:bookmarkStart w:id="81"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81"/>
    <w:bookmarkStart w:id="8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82">
        <w:r>
          <w:rPr>
            <w:rStyle w:val="Hyperlink"/>
          </w:rPr>
          <w:t xml:space="preserve">https://doi.org/10.1016/j.scitotenv.2016.02.070</w:t>
        </w:r>
      </w:hyperlink>
    </w:p>
    <w:bookmarkEnd w:id="83"/>
    <w:bookmarkStart w:id="8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84">
        <w:r>
          <w:rPr>
            <w:rStyle w:val="Hyperlink"/>
          </w:rPr>
          <w:t xml:space="preserve">https://doi.org/10.1016/j.apgeochem.2010.02.003</w:t>
        </w:r>
      </w:hyperlink>
    </w:p>
    <w:bookmarkEnd w:id="85"/>
    <w:bookmarkStart w:id="8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86">
        <w:r>
          <w:rPr>
            <w:rStyle w:val="Hyperlink"/>
          </w:rPr>
          <w:t xml:space="preserve">https://doi.org/10.1016/j.atmosenv.2012.12.030</w:t>
        </w:r>
      </w:hyperlink>
    </w:p>
    <w:bookmarkEnd w:id="87"/>
    <w:bookmarkStart w:id="89"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88">
        <w:r>
          <w:rPr>
            <w:rStyle w:val="Hyperlink"/>
          </w:rPr>
          <w:t xml:space="preserve">https://doi.org/10.1007/s11270-013-1742-7</w:t>
        </w:r>
      </w:hyperlink>
    </w:p>
    <w:bookmarkEnd w:id="89"/>
    <w:bookmarkStart w:id="91"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90">
        <w:r>
          <w:rPr>
            <w:rStyle w:val="Hyperlink"/>
          </w:rPr>
          <w:t xml:space="preserve">https://doi.org/10.1007/s00267-013-0179-5</w:t>
        </w:r>
      </w:hyperlink>
    </w:p>
    <w:bookmarkEnd w:id="91"/>
    <w:bookmarkStart w:id="93"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92">
        <w:r>
          <w:rPr>
            <w:rStyle w:val="Hyperlink"/>
          </w:rPr>
          <w:t xml:space="preserve">https://doi.org/10.1353/sgo.2017.0026</w:t>
        </w:r>
      </w:hyperlink>
    </w:p>
    <w:bookmarkEnd w:id="93"/>
    <w:bookmarkStart w:id="95"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94">
        <w:r>
          <w:rPr>
            <w:rStyle w:val="Hyperlink"/>
          </w:rPr>
          <w:t xml:space="preserve">https://doi.org/10.1016/j.jenvman.2009.03.007</w:t>
        </w:r>
      </w:hyperlink>
    </w:p>
    <w:bookmarkEnd w:id="95"/>
    <w:bookmarkStart w:id="97" w:name="ref-Tomasko20"/>
    <w:p>
      <w:pPr>
        <w:pStyle w:val="Bibliography"/>
      </w:pPr>
      <w:r>
        <w:t xml:space="preserve">Tomasko, D., Alderson, M., Burnes, R., Hecker, J., Iadevaia, N., Leverone, J., Raulerson, G., Sherwood, E., 2020. The effects of</w:t>
      </w:r>
      <w:r>
        <w:t xml:space="preserve"> </w:t>
      </w:r>
      <w:r>
        <w:t xml:space="preserve">H</w:t>
      </w:r>
      <w:r>
        <w:t xml:space="preserve">urricane</w:t>
      </w:r>
      <w:r>
        <w:t xml:space="preserve"> </w:t>
      </w:r>
      <w:r>
        <w:t xml:space="preserve">I</w:t>
      </w:r>
      <w:r>
        <w:t xml:space="preserve">rma on seagrass meadows in previously eutrophic estuaries in</w:t>
      </w:r>
      <w:r>
        <w:t xml:space="preserve"> </w:t>
      </w:r>
      <w:r>
        <w:t xml:space="preserve">S</w:t>
      </w:r>
      <w:r>
        <w:t xml:space="preserve">outhwest</w:t>
      </w:r>
      <w:r>
        <w:t xml:space="preserve"> </w:t>
      </w:r>
      <w:r>
        <w:t xml:space="preserve">F</w:t>
      </w:r>
      <w:r>
        <w:t xml:space="preserve">lorida (</w:t>
      </w:r>
      <w:r>
        <w:t xml:space="preserve">USA</w:t>
      </w:r>
      <w:r>
        <w:t xml:space="preserve">). Marine Pollution Bulletin 156, 111247.</w:t>
      </w:r>
      <w:r>
        <w:t xml:space="preserve"> </w:t>
      </w:r>
      <w:hyperlink r:id="rId96">
        <w:r>
          <w:rPr>
            <w:rStyle w:val="Hyperlink"/>
          </w:rPr>
          <w:t xml:space="preserve">https://doi.org/10.1016/j.marpolbul.2020.111247</w:t>
        </w:r>
      </w:hyperlink>
    </w:p>
    <w:bookmarkEnd w:id="97"/>
    <w:bookmarkEnd w:id="98"/>
    <w:bookmarkEnd w:id="9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4" Target="media/rId44.jpg" /><Relationship Type="http://schemas.openxmlformats.org/officeDocument/2006/relationships/image" Id="rId37" Target="media/rId37.jpg" /><Relationship Type="http://schemas.openxmlformats.org/officeDocument/2006/relationships/image" Id="rId41" Target="media/rId41.jpg" /><Relationship Type="http://schemas.openxmlformats.org/officeDocument/2006/relationships/image" Id="rId38" Target="media/rId38.jp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5" Target="media/rId45.jpg" /><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_rels/footnotes.xml.rels><?xml version="1.0" encoding="UTF-8"?>
<Relationships xmlns="http://schemas.openxmlformats.org/package/2006/relationships"><Relationship Type="http://schemas.openxmlformats.org/officeDocument/2006/relationships/hyperlink" Id="rId30" Target="https://docs.google.com/document/d/1KqaEAYEG7pdcGpWbUjONfVKMHHB6_kOkKCyncp4JYKA/edit" TargetMode="External" /><Relationship Type="http://schemas.openxmlformats.org/officeDocument/2006/relationships/hyperlink" Id="rId62" Target="https://doi.org/10.1007/s00267-005-0079-4" TargetMode="External" /><Relationship Type="http://schemas.openxmlformats.org/officeDocument/2006/relationships/hyperlink" Id="rId90" Target="https://doi.org/10.1007/s00267-013-0179-5" TargetMode="External" /><Relationship Type="http://schemas.openxmlformats.org/officeDocument/2006/relationships/hyperlink" Id="rId88" Target="https://doi.org/10.1007/s11270-013-1742-7" TargetMode="External" /><Relationship Type="http://schemas.openxmlformats.org/officeDocument/2006/relationships/hyperlink" Id="rId52" Target="https://doi.org/10.1007/s12237-017-0287-1" TargetMode="External" /><Relationship Type="http://schemas.openxmlformats.org/officeDocument/2006/relationships/hyperlink" Id="rId55" Target="https://doi.org/10.1016/S0265-931X(00)00164-8" TargetMode="External" /><Relationship Type="http://schemas.openxmlformats.org/officeDocument/2006/relationships/hyperlink" Id="rId84" Target="https://doi.org/10.1016/j.apgeochem.2010.02.003" TargetMode="External" /><Relationship Type="http://schemas.openxmlformats.org/officeDocument/2006/relationships/hyperlink" Id="rId86" Target="https://doi.org/10.1016/j.atmosenv.2012.12.030" TargetMode="External" /><Relationship Type="http://schemas.openxmlformats.org/officeDocument/2006/relationships/hyperlink" Id="rId65" Target="https://doi.org/10.1016/j.ecss.2014.10.003" TargetMode="External" /><Relationship Type="http://schemas.openxmlformats.org/officeDocument/2006/relationships/hyperlink" Id="rId94" Target="https://doi.org/10.1016/j.jenvman.2009.03.007" TargetMode="External" /><Relationship Type="http://schemas.openxmlformats.org/officeDocument/2006/relationships/hyperlink" Id="rId60" Target="https://doi.org/10.1016/j.marpolbul.2010.11.017" TargetMode="External" /><Relationship Type="http://schemas.openxmlformats.org/officeDocument/2006/relationships/hyperlink" Id="rId58" Target="https://doi.org/10.1016/j.marpolbul.2015.10.047" TargetMode="External" /><Relationship Type="http://schemas.openxmlformats.org/officeDocument/2006/relationships/hyperlink" Id="rId96" Target="https://doi.org/10.1016/j.marpolbul.2020.111247" TargetMode="External" /><Relationship Type="http://schemas.openxmlformats.org/officeDocument/2006/relationships/hyperlink" Id="rId82" Target="https://doi.org/10.1016/j.scitotenv.2016.02.070" TargetMode="External" /><Relationship Type="http://schemas.openxmlformats.org/officeDocument/2006/relationships/hyperlink" Id="rId79" Target="https://doi.org/10.1080/00785236.1995.10422044" TargetMode="External" /><Relationship Type="http://schemas.openxmlformats.org/officeDocument/2006/relationships/hyperlink" Id="rId92" Target="https://doi.org/10.1353/sgo.2017.0026" TargetMode="External" /><Relationship Type="http://schemas.openxmlformats.org/officeDocument/2006/relationships/hyperlink" Id="rId50" Target="https://doi.org/10.18785/gcr.2901.02" TargetMode="External" /><Relationship Type="http://schemas.openxmlformats.org/officeDocument/2006/relationships/hyperlink" Id="rId72" Target="https://doi.org/10.2113/gselements.7.6.375" TargetMode="External" /><Relationship Type="http://schemas.openxmlformats.org/officeDocument/2006/relationships/hyperlink" Id="rId70" Target="https://doi.org/10.4319/lo.2006.51.1_part_2.0364" TargetMode="External" /><Relationship Type="http://schemas.openxmlformats.org/officeDocument/2006/relationships/hyperlink" Id="rId28" Target="https://floridadep.gov/sites/default/files/21-0323.pdf" TargetMode="External" /><Relationship Type="http://schemas.openxmlformats.org/officeDocument/2006/relationships/hyperlink" Id="rId27" Target="https://geodata.dep.state.fl.us/datasets/6277c3b1eeae4a818f8683fc29e6b35b_0/about" TargetMode="External" /><Relationship Type="http://schemas.openxmlformats.org/officeDocument/2006/relationships/hyperlink" Id="rId47" Target="https://public.myfwc.com/FWRI/FishKillReport/" TargetMode="External" /><Relationship Type="http://schemas.openxmlformats.org/officeDocument/2006/relationships/hyperlink" Id="rId31" Target="https://thebradentontimes.com/piney-point-a-retrospective-p6328-158.htm" TargetMode="External" /><Relationship Type="http://schemas.openxmlformats.org/officeDocument/2006/relationships/hyperlink" Id="rId46" Target="https://www.ncei.noaa.gov/maps/habsos" TargetMode="External" /><Relationship Type="http://schemas.openxmlformats.org/officeDocument/2006/relationships/hyperlink" Id="rId34" Target="https://www.wrri.msstate.edu/pdf/2016dillon_finalreport.pdf" TargetMode="External" /><Relationship Type="http://schemas.openxmlformats.org/officeDocument/2006/relationships/hyperlink" Id="rId25" Target="mailto:esherwood@tbep.org" TargetMode="External" /><Relationship Type="http://schemas.openxmlformats.org/officeDocument/2006/relationships/hyperlink" Id="rId21" Target="mailto:graulerson@tbep.org" TargetMode="External" /><Relationship Type="http://schemas.openxmlformats.org/officeDocument/2006/relationships/hyperlink" Id="rId23" Target="mailto:jwhalen@tbep.org" TargetMode="External" /><Relationship Type="http://schemas.openxmlformats.org/officeDocument/2006/relationships/hyperlink" Id="rId20" Target="mailto:mbeck@tbep.org" TargetMode="External" /><Relationship Type="http://schemas.openxmlformats.org/officeDocument/2006/relationships/hyperlink" Id="rId22" Target="mailto:mburke@tbep.org" TargetMode="External" /><Relationship Type="http://schemas.openxmlformats.org/officeDocument/2006/relationships/hyperlink" Id="rId24" Target="mailto:sscolar@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environmental impacts of Piney Point wastewater discharge into Tampa Bay, Florida</dc:title>
  <dc:creator>Marcus W. Beck (mbeck@tbep.org), Gary E. Raulerson (graulerson@tbep.org), Maya C. Burke (mburke@tbep.org), Joe Whalen (jwhalen@tbep.org), Sheila Scolaro (sscolar@tbep.org), Ed T. Sherwood (esherwood@tbep.org)</dc:creator>
  <cp:keywords/>
  <dcterms:created xsi:type="dcterms:W3CDTF">2021-08-19T21:25:34Z</dcterms:created>
  <dcterms:modified xsi:type="dcterms:W3CDTF">2021-08-19T21:25:34Z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