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75.jpg" ContentType="image/jpeg"/>
  <Override PartName="/word/media/rId74.jpg" ContentType="image/jpeg"/>
  <Override PartName="/word/media/rId68.jpg" ContentType="image/jpeg"/>
  <Override PartName="/word/media/rId69.jpg" ContentType="image/jpeg"/>
  <Override PartName="/word/media/rId72.jpg" ContentType="image/jpeg"/>
  <Override PartName="/word/media/rId73.jpg" ContentType="image/jpeg"/>
  <Override PartName="/word/media/rId70.jpg" ContentType="image/jpeg"/>
  <Override PartName="/word/media/rId71.jpg" ContentType="image/jpeg"/>
  <Override PartName="/word/media/rId76.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Jing</w:t>
      </w:r>
      <w:r>
        <w:t xml:space="preserve"> </w:t>
      </w:r>
      <w:r>
        <w:t xml:space="preserve">Chen</w:t>
      </w:r>
      <w:r>
        <w:t xml:space="preserve"> </w:t>
      </w:r>
      <w:r>
        <w:t xml:space="preserve">(</w:t>
      </w:r>
      <w:hyperlink r:id="rId24">
        <w:r>
          <w:rPr>
            <w:rStyle w:val="Hyperlink"/>
          </w:rPr>
          <w:t xml:space="preserve">jchen15@usf.edu</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5">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6">
        <w:r>
          <w:rPr>
            <w:rStyle w:val="Hyperlink"/>
          </w:rPr>
          <w:t xml:space="preserve">edontis@co.pinellas.fl.us</w:t>
        </w:r>
      </w:hyperlink>
      <w:r>
        <w:t xml:space="preserve">),</w:t>
      </w:r>
      <w:r>
        <w:t xml:space="preserve"> </w:t>
      </w:r>
      <w:r>
        <w:t xml:space="preserve">Jessica</w:t>
      </w:r>
      <w:r>
        <w:t xml:space="preserve"> </w:t>
      </w:r>
      <w:r>
        <w:t xml:space="preserve">Lewis</w:t>
      </w:r>
      <w:r>
        <w:t xml:space="preserve"> </w:t>
      </w:r>
      <w:r>
        <w:t xml:space="preserve">(</w:t>
      </w:r>
      <w:hyperlink r:id="rId27">
        <w:r>
          <w:rPr>
            <w:rStyle w:val="Hyperlink"/>
          </w:rPr>
          <w:t xml:space="preserve">jlewis@tbep.org</w:t>
        </w:r>
      </w:hyperlink>
      <w:r>
        <w:t xml:space="preserve">),</w:t>
      </w:r>
      <w:r>
        <w:t xml:space="preserve"> </w:t>
      </w:r>
      <w:r>
        <w:t xml:space="preserve">Yonggang</w:t>
      </w:r>
      <w:r>
        <w:t xml:space="preserve"> </w:t>
      </w:r>
      <w:r>
        <w:t xml:space="preserve">Liu</w:t>
      </w:r>
      <w:r>
        <w:t xml:space="preserve"> </w:t>
      </w:r>
      <w:r>
        <w:t xml:space="preserve">(</w:t>
      </w:r>
      <w:hyperlink r:id="rId28">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29">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30">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1">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2">
        <w:r>
          <w:rPr>
            <w:rStyle w:val="Hyperlink"/>
          </w:rPr>
          <w:t xml:space="preserve">phlips@ufl.edu</w:t>
        </w:r>
      </w:hyperlink>
      <w:r>
        <w:t xml:space="preserve">),</w:t>
      </w:r>
      <w:r>
        <w:t xml:space="preserve"> </w:t>
      </w:r>
      <w:r>
        <w:t xml:space="preserve">Mark</w:t>
      </w:r>
      <w:r>
        <w:t xml:space="preserve"> </w:t>
      </w:r>
      <w:r>
        <w:t xml:space="preserve">Rains</w:t>
      </w:r>
      <w:r>
        <w:t xml:space="preserve"> </w:t>
      </w:r>
      <w:r>
        <w:t xml:space="preserve">(</w:t>
      </w:r>
      <w:hyperlink r:id="rId33">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4">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5">
        <w:r>
          <w:rPr>
            <w:rStyle w:val="Hyperlink"/>
          </w:rPr>
          <w:t xml:space="preserve">sscolar@tbep.org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6">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7">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8">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39">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40">
        <w:r>
          <w:rPr>
            <w:rStyle w:val="Hyperlink"/>
          </w:rPr>
          <w:t xml:space="preserve">jwhalen@tbep.org</w:t>
        </w:r>
      </w:hyperlink>
      <w:r>
        <w:t xml:space="preserve">)</w:t>
      </w:r>
    </w:p>
    <w:p>
      <w:pPr>
        <w:pStyle w:val="FirstParagraph"/>
      </w:pPr>
      <w:r>
        <w:t xml:space="preserve">Last manuscript build 2021-10-11 12:54:14</w:t>
      </w:r>
    </w:p>
    <w:bookmarkStart w:id="41"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external nitrogen load estimates in a matter of days. An immediate phytoplankton response (non-harmful diatom) was observed in samples closest to the discharge site, with chlorophyll concentrations exceeding 50 ug/L. Cyanobacteria blooms (</w:t>
      </w:r>
      <w:r>
        <w:rPr>
          <w:iCs/>
          <w:i/>
        </w:rPr>
        <w:t xml:space="preserve">Dapis</w:t>
      </w:r>
      <w:r>
        <w:t xml:space="preserve"> </w:t>
      </w:r>
      <w:r>
        <w:t xml:space="preserve">spp.) were observed beginning in May, with biomass peaking in June at 48% frequency occurrence for some locations. Blooms of</w:t>
      </w:r>
      <w:r>
        <w:t xml:space="preserve"> </w:t>
      </w:r>
      <w:r>
        <w:rPr>
          <w:iCs/>
          <w:i/>
        </w:rPr>
        <w:t xml:space="preserve">Karenia brevis</w:t>
      </w:r>
      <w:r>
        <w:t xml:space="preserve"> </w:t>
      </w:r>
      <w:r>
        <w:t xml:space="preserve">were first observed in May and continued through July within Tampa Bay proper. Reported fish kills tracked bloom concentrations, prompting local cleanup efforts to remove over 1800 tons of dead fish. Combined, these observations indicate abnormal conditions in Tampa Bay following release of wastewater from Piney Point, which is supported by comparison to the decades of baseline environmental monitoring data for the region and typical seasonal conditions experienced in recent years.</w:t>
      </w:r>
    </w:p>
    <w:p>
      <w:pPr>
        <w:pStyle w:val="BodyText"/>
      </w:pPr>
      <w:r>
        <w:rPr>
          <w:iCs/>
          <w:i/>
        </w:rPr>
        <w:t xml:space="preserve">Key words</w:t>
      </w:r>
      <w:r>
        <w:t xml:space="preserve">: algae, nitrogen, phosphate mining, seagrass, Tampa Bay, wastewater, water quality</w:t>
      </w:r>
    </w:p>
    <w:bookmarkEnd w:id="41"/>
    <w:bookmarkStart w:id="44"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atmospheric, stormwater and wastewater sources. The effects of nitrogen from dominant external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a">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open-water estuary in Florida, located in a heavily urbanized watershed of nearly 3.1 million individuals. Historical gains in seagrass coverage in Tampa Bay have been achieved through public-private partnerships and consensus-based approaches to science applications that seek to limit the total nutrient loads delivered 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external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recent environmental recovery. Because point-source inputs of nutrient loads from wastewater treatment plants and industrial sources into Tampa Bay have been greatly reduced, non-point source loads from wastewater sources and stormwater runoff are now estimated to dominate external nutrient loads to the bay, particularly during the rainy season from June to September</w:t>
      </w:r>
      <w:r>
        <w:t xml:space="preserve"> </w:t>
      </w:r>
      <w:r>
        <w:t xml:space="preserve">(</w:t>
      </w:r>
      <w:hyperlink w:anchor="ref-Janicki17">
        <w:r>
          <w:rPr>
            <w:rStyle w:val="Hyperlink"/>
          </w:rPr>
          <w:t xml:space="preserve">Janicki Environmental, Inc., 2017a</w:t>
        </w:r>
      </w:hyperlink>
      <w:r>
        <w:t xml:space="preserve">,</w:t>
      </w:r>
      <w:r>
        <w:t xml:space="preserve"> </w:t>
      </w:r>
      <w:hyperlink w:anchor="ref-Janicki08">
        <w:r>
          <w:rPr>
            <w:rStyle w:val="Hyperlink"/>
          </w:rPr>
          <w:t xml:space="preserve">2008</w:t>
        </w:r>
      </w:hyperlink>
      <w:r>
        <w:t xml:space="preserve">)</w:t>
      </w:r>
      <w:r>
        <w:t xml:space="preserve">. Atmospheric deposition of nutrients from fossil fuel-based power production and automobile traffic further contribute about one-quarter of the total nitrogen inputs directly to the bay’s surface</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The Tampa Bay Estuary Program and its partners have been instrumental in coordinating efforts among local and regional stakeholders to address legacy pollutants and current threats to the long-term protection of bay resources through implementation of a science-based resource management plan for the Bay</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Phosphate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b">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b">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42">
        <w:r>
          <w:rPr>
            <w:rStyle w:val="Hyperlink"/>
          </w:rPr>
          <w:t xml:space="preserve">Florida Department of Environmental Protection</w:t>
        </w:r>
      </w:hyperlink>
      <w:r>
        <w:t xml:space="preserve">) exist in the Tampa Bay watershed with no comprehensive, long-term plan for closure or disposal of waste. The Piney Point facility located in Palmetto, Florida is a large, remnant phosphogypsum stack with three holding ponds located less than two miles from the shore of Tampa Bay and near two Florida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HRK Holdings, LLC, with oversight by the Florida Departmental of Environmental Protection (FDEP). Decreasing holding capacity of the ponds from seasonal rain events, tropical storms, and storage of dredging material from nearby Port Manatee have contributed to degradation of the facility. Discharges of wastewater from the stacks occurred in the early 2000s and 2011 to nearby Bishop Harbor connected to Tampa Bay. Those discharges resulted in spatially-restricted, ecosystem responses</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w:t>
      </w:r>
    </w:p>
    <w:p>
      <w:pPr>
        <w:pStyle w:val="BodyText"/>
      </w:pPr>
      <w:r>
        <w:t xml:space="preserve">Recently, HRK suspected leakages from a tear in the plastic liner of the southern holding pond (NGS-S) when water quality samples with a similar conductivity as the wastewater were detected at onsite seepage interceptor drains. In response, FDEP authorized an</w:t>
      </w:r>
      <w:r>
        <w:t xml:space="preserve"> </w:t>
      </w:r>
      <w:hyperlink r:id="rId43">
        <w:r>
          <w:rPr>
            <w:rStyle w:val="Hyperlink"/>
          </w:rPr>
          <w:t xml:space="preserve">emergency order</w:t>
        </w:r>
      </w:hyperlink>
      <w:r>
        <w:t xml:space="preserve"> </w:t>
      </w:r>
      <w:r>
        <w:t xml:space="preserve">on March 30th, 2021 to release wastewater from the southern gypstack directly into lower Tampa Bay to prevent catastrophic failure of the berms supporting the holding ponds. At that time, approximately 480 million gallons of mix legacy phosphate mining wastewater and seawater from port dedging operations was being held in the failing gypstack. Water quality parameters of NGS-S measured in 2019 were well above baseline conditions typical of surface waters in Tampa Bay (Table</w:t>
      </w:r>
      <w:r>
        <w:t xml:space="preserve"> </w:t>
      </w:r>
      <w:r>
        <w:t xml:space="preserve">1</w:t>
      </w:r>
      <w:r>
        <w:t xml:space="preserve">), particularly for total phosphorus (160 mg/L) and total nitrogen (230 mg/L). Due to public safety and property concerns over catastrophic failure of the holding walls, an</w:t>
      </w:r>
      <w:r>
        <w:t xml:space="preserve"> </w:t>
      </w:r>
      <w:hyperlink r:id="rId43">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untreated wastewater through siphon lines established during dredging operations in 2011 and that discharged through Berth 12 at Port Manatee. This was done under the assumption that backwater habitats (e.g., Bishop Harbor) may be spared the impacts of additional effluent discharges from the site, as was observed in prior events. From March 30th to April 9th, approximately 215 million gallons of wastewater were released to lower Tampa Bay. Over this ten day period, an estimated 205 tons of nitrogen were delivered to the bay, exceeding contemporary annual estimates of external nutrient loads to lower Tampa Bay in a matter of days</w:t>
      </w:r>
      <w:r>
        <w:t xml:space="preserve"> </w:t>
      </w:r>
      <w:r>
        <w:t xml:space="preserve">(</w:t>
      </w:r>
      <w:hyperlink w:anchor="ref-tbep0417">
        <w:r>
          <w:rPr>
            <w:rStyle w:val="Hyperlink"/>
          </w:rPr>
          <w:t xml:space="preserve">Janicki Environmental, Inc., 2017b</w:t>
        </w:r>
      </w:hyperlink>
      <w:r>
        <w:t xml:space="preserve">)</w:t>
      </w:r>
      <w:r>
        <w:t xml:space="preserve">.</w:t>
      </w:r>
    </w:p>
    <w:p>
      <w:pPr>
        <w:pStyle w:val="BodyText"/>
      </w:pPr>
      <w:r>
        <w:t xml:space="preserve">This paper provides an initial assessment of environmental conditions in Tampa Bay over four months following the recent release of legacy phosphate mining wastewater in April, 2021. The goal is to describe the results of monitoring data of surface waters collected in response to the discharge event to assess relative deviation of current conditions from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quantitative results from 2021 response-based monitoring of conditions in and around Port Manatee, FL – the focal point of emergency discharges from the Piney Point facility. The results of this study provide an initial documentation of impacts to the natural resources of Tampa Bay that can be used to inform long-term assessments of acute wastewater discharge events on the environmental quality of the region as well as a potential template for future emergency responses. We focus primarily on the perspective of the Tampa Bay Estuary Program in its role in coordinating monitoring and evaluating short-term impacts, particularly in the context of seagrass resources and long-term management goals that leverage existing partnerships among local resource management institutions.</w:t>
      </w:r>
    </w:p>
    <w:bookmarkEnd w:id="44"/>
    <w:bookmarkStart w:id="54" w:name="methods"/>
    <w:p>
      <w:pPr>
        <w:pStyle w:val="Heading1"/>
      </w:pPr>
      <w:r>
        <w:t xml:space="preserve">Methods</w:t>
      </w:r>
    </w:p>
    <w:bookmarkStart w:id="45"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to be released into Bishop Harbor, with an estimated 15.4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were observed as a potential indication of nutrient eutrophication. Around the same time, 248 million gallons of wastewater from Piney Point were barged 120 miles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Holdings, LLC (hereafter, 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an existing gypstack at Piney Point. Placement of the dredged material was suspected in compromising the liner integrity which led to an emergency discharge that released 169 million gallons of dredged saltwater slurry and 3.5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5"/>
    <w:bookmarkStart w:id="50" w:name="X0e822a22cb914ac65e3e00d4b9bef46c0574e5f"/>
    <w:p>
      <w:pPr>
        <w:pStyle w:val="Heading2"/>
      </w:pPr>
      <w:r>
        <w:t xml:space="preserve">Monitoring response to the emergency discharge</w:t>
      </w:r>
    </w:p>
    <w:p>
      <w:pPr>
        <w:pStyle w:val="FirstParagraph"/>
      </w:pPr>
      <w:r>
        <w:t xml:space="preserve">Monitoring of the natural resources of Tampa Bay in response to the wastewater release at Piney Point began in April, 2021 and continued over the following months. These data were collected through a coordinated effort, facilitated in part by the FDEP and TBEP. Monitoring agencies and local partners that collected data included FDEP, Environmental Protection Commission (EPC) of Hillsborough County, Parks and Natural Resources Department of Manatee County, Pinellas County Division of Environmental Management, Fish and Wildlife Research Institute of the Florida Fish and Wildlife Conservation Commission (FWC),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including water quality sampling (laboratory processing of discrete samples and</w:t>
      </w:r>
      <w:r>
        <w:t xml:space="preserve"> </w:t>
      </w:r>
      <w:r>
        <w:rPr>
          <w:iCs/>
          <w:i/>
        </w:rPr>
        <w:t xml:space="preserve">in situ</w:t>
      </w:r>
      <w:r>
        <w:t xml:space="preserve"> </w:t>
      </w:r>
      <w:r>
        <w:t xml:space="preserve">measurements), phytoplankton cell counts, and seagrass and macroalgae transect surveys (Figure</w:t>
      </w:r>
      <w:r>
        <w:t xml:space="preserve"> </w:t>
      </w:r>
      <w:r>
        <w:t xml:space="preserve">1</w:t>
      </w:r>
      <w:r>
        <w:t xml:space="preserve">). Additional sampling for contaminants (e.g., heavy metals), benthic invertebrates, and nekton was also conducted, but they are not reported here in anticipation of future monitoring events.</w:t>
      </w:r>
    </w:p>
    <w:p>
      <w:pPr>
        <w:pStyle w:val="BodyText"/>
      </w:pPr>
      <w:r>
        <w:t xml:space="preserve">Established laboratory and field sample protocols for all survey methods were based on an</w:t>
      </w:r>
      <w:r>
        <w:t xml:space="preserve"> </w:t>
      </w:r>
      <w:hyperlink r:id="rId46">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7">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Tampa Bay nutrient management paradigm and the expected phytoplankton response from a dense, inorganic nitrogen plume entering the bay.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(ug/L) concentrations. Samples for pH, salinity (psu), temperature (^o C), and dissolved oxygen saturation (%) were also evaluated given the role these parameters can have as indicators of wastewater contamination (pH), physical drivers of primary production (salinity, temperature), and indicators of primary production and respiration (dissolved oxygen, mg/L). Overall, sample effort was variable given agency resources at the time of the discharge event and over the next few months. As appropriate, water quality data were aggregated at the weekly scale and by major areas of interest (Figure</w:t>
      </w:r>
      <w:r>
        <w:t xml:space="preserve"> </w:t>
      </w:r>
      <w:r>
        <w:t xml:space="preserve">1</w:t>
      </w:r>
      <w:r>
        <w:t xml:space="preserve">a) given the hypothesized impacts adjacent to the discharge site. These areas of interest were delineated based on proximity to Piney Point, the main shipping channel in the bay, inflow boundaries (e.g., Little Manatee River), location of the Skyway Bridge at the mouth of Tampa Bay, and major segments of Tampa Bay used by TBEP for assessing programmatic goals.</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that can occur in the bay depending on salinity and temperature conditions during the growing season. Occurrence of this species has historically been spatially distinct, with blooms originating in the Gulf of Mexico and occasionally occurring at bloom concentrations in lower Tampa Bay. Data for</w:t>
      </w:r>
      <w:r>
        <w:t xml:space="preserve"> </w:t>
      </w:r>
      <w:r>
        <w:rPr>
          <w:iCs/>
          <w:i/>
        </w:rPr>
        <w:t xml:space="preserve">K. brevis</w:t>
      </w:r>
      <w:r>
        <w:t xml:space="preserve"> </w:t>
      </w:r>
      <w:r>
        <w:t xml:space="preserve">were also obtained from event-based monitoring samples collected by FWC and available from the Harmful Algal BloomS Observing System (</w:t>
      </w:r>
      <w:hyperlink r:id="rId48">
        <w:r>
          <w:rPr>
            <w:rStyle w:val="Hyperlink"/>
          </w:rPr>
          <w:t xml:space="preserve">HABSOS</w:t>
        </w:r>
      </w:hyperlink>
      <w:r>
        <w:t xml:space="preserve">). Because of the increased occurrence of red tide in July following the emergency discharge, fish kill reports from FWC were also evaluated in relation to key municipalities (Tampa, St. Petersberg) impacted by the event. Fish kill reports were obtained from the FWC</w:t>
      </w:r>
      <w:r>
        <w:t xml:space="preserve"> </w:t>
      </w:r>
      <w:hyperlink r:id="rId49">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starting in April.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wastewater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fifty meter transects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cover-abundance estimates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of occurrence estimates (i.e., number of locations present divided by total locations sampled) at the transect scale or within major areas (Figure</w:t>
      </w:r>
      <w:r>
        <w:t xml:space="preserve"> </w:t>
      </w:r>
      <w:r>
        <w:t xml:space="preserve">1</w:t>
      </w:r>
      <w:r>
        <w:t xml:space="preserve">a) depending on the analysis described below.</w:t>
      </w:r>
    </w:p>
    <w:bookmarkEnd w:id="50"/>
    <w:bookmarkStart w:id="52" w:name="long-term-monitoring-data"/>
    <w:p>
      <w:pPr>
        <w:pStyle w:val="Heading2"/>
      </w:pPr>
      <w:r>
        <w:t xml:space="preserve">Long-term monitoring data</w:t>
      </w:r>
    </w:p>
    <w:p>
      <w:pPr>
        <w:pStyle w:val="FirstParagraph"/>
      </w:pPr>
      <w:r>
        <w:t xml:space="preserve">Water quality data in Tampa Bay have been collected at fixed sampling sites since 1974 by the Environmental Protection Commission of Hillsborough County. These data include samples at 45 stations used by the TBEP to assess annual progress towards programmatic goals and regulatory thresholds applicable for each of the major segments in Tampa Bay. Discrete water samples are collected monthly at mid-depth and processed in the laboratory immediately after collection. Similarly, the Parks and Natural Resources Department of Manatee County have been collecting data in Tampa Bay at locations south of Piney Point and south of the main dredged channel of Tampa Bay (approximate longitudinal axis of the bay). The sampling design is similar to the EPC data, with the exception that sites are sampled approximately every three months but at a higher spatial density per unit area. Additionally, the period of record for monitoring data from Manatee County began in 1996. Long-term monitoring stations for Hillsborough and Manatee Counties are shown in Figure</w:t>
      </w:r>
      <w:r>
        <w:t xml:space="preserve"> </w:t>
      </w:r>
      <w:r>
        <w:t xml:space="preserve">1</w:t>
      </w:r>
      <w:r>
        <w:t xml:space="preserve">a.</w:t>
      </w:r>
    </w:p>
    <w:p>
      <w:pPr>
        <w:pStyle w:val="BodyText"/>
      </w:pPr>
      <w:r>
        <w:t xml:space="preserve">Long-term water quality monitoring data from Hillsborough and Manatee counties were used to establish baseline conditions for the major areas of interest in Figure</w:t>
      </w:r>
      <w:r>
        <w:t xml:space="preserve"> </w:t>
      </w:r>
      <w:r>
        <w:t xml:space="preserve">1</w:t>
      </w:r>
      <w:r>
        <w:t xml:space="preserve">a to compare with the response monitoring data described above. Station data from Hillsborough County were obtained for the middle and lower segments of Tampa Bay. Station data from Manatee County were obtained for areas in lower Tampa Bay, Terra Ceia Bay, Anna Maria Sound, and northern Sarasota Bay. For the same water quality parameters noted above (i.e., nitrogen, phosphorus, pH, temperature, salinity), observations at each monitoring station were averaged for each month across years from 2006 to 2020. This period represents a</w:t>
      </w:r>
      <w:r>
        <w:t xml:space="preserve"> </w:t>
      </w:r>
      <w:r>
        <w:t xml:space="preserve">“</w:t>
      </w:r>
      <w:r>
        <w:t xml:space="preserve">recovery</w:t>
      </w:r>
      <w:r>
        <w:t xml:space="preserve">”</w:t>
      </w:r>
      <w:r>
        <w:t xml:space="preserve"> </w:t>
      </w:r>
      <w:r>
        <w:t xml:space="preserve">stage for Tampa Bay where water quality conditions were much improved from historical conditions during a more eutrophic period and when seagrass areal coverage was trending towards and above a 1950s benchmark target of 38,000 acres</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For each month, the mean values +/- 1 standard deviation for each parameter at each station were quantified and used as reference values relative to results at the closest monitoring station that was sampled in response to Piney Point. This comparison was made to ensure that the response data were evaluated relative to stations that were spatially relevant (e.g., long-term conditions in Terra Ceia Bay are not the same as those in middle Tampa Bay) and seasonally-specific (e.g., historical conditions in April are not the same as historical conditions in July). Spatial matching of each response monitoring station relative to the long-term monitoring stations was accomplished using the</w:t>
      </w:r>
      <w:r>
        <w:t xml:space="preserve"> </w:t>
      </w:r>
      <w:r>
        <w:t xml:space="preserve">“</w:t>
      </w:r>
      <w:r>
        <w:t xml:space="preserve">st_nearest_feature()</w:t>
      </w:r>
      <w:r>
        <w:t xml:space="preserve">”</w:t>
      </w:r>
      <w:r>
        <w:t xml:space="preserve"> </w:t>
      </w:r>
      <w:r>
        <w:t xml:space="preserve">function from the sf R package</w:t>
      </w:r>
      <w:r>
        <w:t xml:space="preserve"> </w:t>
      </w:r>
      <w:r>
        <w:t xml:space="preserve">(</w:t>
      </w:r>
      <w:hyperlink w:anchor="ref-Pebesma18">
        <w:r>
          <w:rPr>
            <w:rStyle w:val="Hyperlink"/>
          </w:rPr>
          <w:t xml:space="preserve">Pebesma, 2018</w:t>
        </w:r>
      </w:hyperlink>
      <w:r>
        <w:t xml:space="preserve">)</w:t>
      </w:r>
      <w:r>
        <w:t xml:space="preserve">. In some cases, the nearest long-term station did not include data for every monitoring parameter at a response location and the next closest station was used as a reference. Long-term water quality data are available from the University of South Florida Water Atlas (</w:t>
      </w:r>
      <w:hyperlink r:id="rId51">
        <w:r>
          <w:rPr>
            <w:rStyle w:val="Hyperlink"/>
          </w:rPr>
          <w:t xml:space="preserve">https://wateratlas.usf.edu/</w:t>
        </w:r>
      </w:hyperlink>
      <w:r>
        <w:t xml:space="preserve">).</w:t>
      </w:r>
    </w:p>
    <w:bookmarkEnd w:id="52"/>
    <w:bookmarkStart w:id="53" w:name="data-analysis"/>
    <w:p>
      <w:pPr>
        <w:pStyle w:val="Heading2"/>
      </w:pPr>
      <w:r>
        <w:t xml:space="preserve">Data Analysis</w:t>
      </w:r>
    </w:p>
    <w:p>
      <w:pPr>
        <w:pStyle w:val="FirstParagraph"/>
      </w:pPr>
      <w:r>
        <w:t xml:space="preserve">The R statistical programming language (v4.0.2) was used to import, synthesize, and analyze all datasets provided by multiple partners</w:t>
      </w:r>
      <w:r>
        <w:t xml:space="preserve"> </w:t>
      </w:r>
      <w:r>
        <w:t xml:space="preserve">(</w:t>
      </w:r>
      <w:hyperlink w:anchor="ref-RCT20">
        <w:r>
          <w:rPr>
            <w:rStyle w:val="Hyperlink"/>
          </w:rPr>
          <w:t xml:space="preserve">R Core Team, 2020</w:t>
        </w:r>
      </w:hyperlink>
      <w:r>
        <w:t xml:space="preserve">)</w:t>
      </w:r>
      <w:r>
        <w:t xml:space="preserve">. Partner data were uploaded or entered manually as Google spreadsheets, where they were imported into R using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and Bryan, 2020</w:t>
        </w:r>
      </w:hyperlink>
      <w:r>
        <w:t xml:space="preserve">)</w:t>
      </w:r>
      <w:r>
        <w:t xml:space="preserve"> </w:t>
      </w:r>
      <w:r>
        <w:t xml:space="preserve">R packages. The suite of R packages available in the tidyverse</w:t>
      </w:r>
      <w:r>
        <w:t xml:space="preserve"> </w:t>
      </w:r>
      <w:r>
        <w:t xml:space="preserve">(</w:t>
      </w:r>
      <w:hyperlink w:anchor="ref-Wickham19">
        <w:r>
          <w:rPr>
            <w:rStyle w:val="Hyperlink"/>
          </w:rPr>
          <w:t xml:space="preserve">Wickham et al., 2019</w:t>
        </w:r>
      </w:hyperlink>
      <w:r>
        <w:t xml:space="preserve">)</w:t>
      </w:r>
      <w:r>
        <w:t xml:space="preserve"> </w:t>
      </w:r>
      <w:r>
        <w:t xml:space="preserve">were used to wrangle the data into an appropriate format for analysis. The tbeptools R package</w:t>
      </w:r>
      <w:r>
        <w:t xml:space="preserve"> </w:t>
      </w:r>
      <w:r>
        <w:t xml:space="preserve">(</w:t>
      </w:r>
      <w:hyperlink w:anchor="ref-Beck21">
        <w:r>
          <w:rPr>
            <w:rStyle w:val="Hyperlink"/>
          </w:rPr>
          <w:t xml:space="preserve">Beck et al., 2021</w:t>
        </w:r>
      </w:hyperlink>
      <w:r>
        <w:t xml:space="preserve">)</w:t>
      </w:r>
      <w:r>
        <w:t xml:space="preserve"> </w:t>
      </w:r>
      <w:r>
        <w:t xml:space="preserve">was used to import and summarize long-term monitoring data for Tampa Bay, specifically the EPC water quality data and seagrass transect database.</w:t>
      </w:r>
    </w:p>
    <w:p>
      <w:pPr>
        <w:pStyle w:val="BodyText"/>
      </w:pPr>
      <w:r>
        <w:t xml:space="preserve">Quantitative assessments of trends included boxplot summaries, principal components analysis (PCA), Spearman rank correlations between pairs of variables, and multiple comparison tests to assess trends between months. Assessments were first evaluated only on total nitrogen, chlorophyll-a, and secchi disk depth as a general analysis of potential patterns in eutrophication following wastewater release. Further analyses were conducted to compare all data types together using PCA and correlation analyses, to identify potential mechanisms of change using seagrasses as an endpoint for evaluating potential impacts. Data describing</w:t>
      </w:r>
      <w:r>
        <w:t xml:space="preserve"> </w:t>
      </w:r>
      <w:r>
        <w:rPr>
          <w:iCs/>
          <w:i/>
        </w:rPr>
        <w:t xml:space="preserve">K. brevis</w:t>
      </w:r>
      <w:r>
        <w:t xml:space="preserve"> </w:t>
      </w:r>
      <w:r>
        <w:t xml:space="preserve">cell concentrations were only evaluated qualitatively because the data are from event-based sampling and generally do not represent a random sample appropriate for statistical testing. Observations for each data type were typically aggregated to the weekly or monthly scale given that sampling occurred at different days over the five month period. Spatial comparisons were based primarily on the areas identified in Figure</w:t>
      </w:r>
      <w:r>
        <w:t xml:space="preserve"> </w:t>
      </w:r>
      <w:r>
        <w:t xml:space="preserve">1</w:t>
      </w:r>
      <w:r>
        <w:t xml:space="preserve">a. For PCA, all variables were standardized to zero mean and unit variance so that the central tendencies and ranges of all variables were similar. Variables with log-normal distribution were log</w:t>
      </w:r>
      <m:oMath>
        <m:sSub>
          <m:e>
            <m:r>
              <m:t>​</m:t>
            </m:r>
          </m:e>
          <m:sub>
            <m:r>
              <m:t>10</m:t>
            </m:r>
          </m:sub>
        </m:sSub>
      </m:oMath>
      <w:r>
        <w:t xml:space="preserve">-transformed (i.e., nutrients, chlorophyll) prior to analysis.</w:t>
      </w:r>
    </w:p>
    <w:p>
      <w:pPr>
        <w:pStyle w:val="BodyText"/>
      </w:pPr>
      <w:r>
        <w:t xml:space="preserve">The</w:t>
      </w:r>
      <w:r>
        <w:t xml:space="preserve"> </w:t>
      </w:r>
      <w:r>
        <w:t xml:space="preserve">“</w:t>
      </w:r>
      <w:r>
        <w:t xml:space="preserve">PCA</w:t>
      </w:r>
      <w:r>
        <w:t xml:space="preserve">”</w:t>
      </w:r>
      <w:r>
        <w:t xml:space="preserve"> </w:t>
      </w:r>
      <w:r>
        <w:t xml:space="preserve">function from the FactoMineR R package</w:t>
      </w:r>
      <w:r>
        <w:t xml:space="preserve"> </w:t>
      </w:r>
      <w:r>
        <w:t xml:space="preserve">(</w:t>
      </w:r>
      <w:hyperlink w:anchor="ref-Le08">
        <w:r>
          <w:rPr>
            <w:rStyle w:val="Hyperlink"/>
          </w:rPr>
          <w:t xml:space="preserve">Lê et al., 2008</w:t>
        </w:r>
      </w:hyperlink>
      <w:r>
        <w:t xml:space="preserve">)</w:t>
      </w:r>
      <w:r>
        <w:t xml:space="preserve"> </w:t>
      </w:r>
      <w:r>
        <w:t xml:space="preserve">was used for PCA and the</w:t>
      </w:r>
      <w:r>
        <w:t xml:space="preserve"> </w:t>
      </w:r>
      <w:r>
        <w:t xml:space="preserve">“</w:t>
      </w:r>
      <w:r>
        <w:t xml:space="preserve">ggord</w:t>
      </w:r>
      <w:r>
        <w:t xml:space="preserve">”</w:t>
      </w:r>
      <w:r>
        <w:t xml:space="preserve"> </w:t>
      </w:r>
      <w:r>
        <w:t xml:space="preserve">function from the ggord R package</w:t>
      </w:r>
      <w:r>
        <w:t xml:space="preserve"> </w:t>
      </w:r>
      <w:r>
        <w:t xml:space="preserve">(</w:t>
      </w:r>
      <w:hyperlink w:anchor="ref-Beck21b">
        <w:r>
          <w:rPr>
            <w:rStyle w:val="Hyperlink"/>
          </w:rPr>
          <w:t xml:space="preserve">Beck, 2021</w:t>
        </w:r>
      </w:hyperlink>
      <w:r>
        <w:t xml:space="preserve">)</w:t>
      </w:r>
      <w:r>
        <w:t xml:space="preserve"> </w:t>
      </w:r>
      <w:r>
        <w:t xml:space="preserve">was used to plot the results. For statistical tests using water quality data, only the monitoring results from FDEP were used for analysis given the consistency of sample location and collection date compared to the remainder of the data obtained from other partners. Secchi observations that were visually identified on the bottom (50 observations of 369 in the FDEP data) were removed from analysis because these are right-censored data, whereas all other non-detects were left-censored and evaluated with methods described below. Differences in observations between months for water quality, seagrass, and macroalgae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p>
      <w:pPr>
        <w:pStyle w:val="BodyText"/>
      </w:pPr>
      <w:r>
        <w:t xml:space="preserve">When appropriate, methods were used from the NADA R package</w:t>
      </w:r>
      <w:r>
        <w:t xml:space="preserve"> </w:t>
      </w:r>
      <w:r>
        <w:t xml:space="preserve">(</w:t>
      </w:r>
      <w:hyperlink w:anchor="ref-Lee20">
        <w:r>
          <w:rPr>
            <w:rStyle w:val="Hyperlink"/>
          </w:rPr>
          <w:t xml:space="preserve">Lee, 2020</w:t>
        </w:r>
      </w:hyperlink>
      <w:r>
        <w:t xml:space="preserve">)</w:t>
      </w:r>
      <w:r>
        <w:t xml:space="preserve"> </w:t>
      </w:r>
      <w:r>
        <w:t xml:space="preserve">to accommodate measured concentrations in water quality variables that were below detection. These included estimates of median, mean, and standard deviation of parameters using the</w:t>
      </w:r>
      <w:r>
        <w:t xml:space="preserve"> </w:t>
      </w:r>
      <w:r>
        <w:t xml:space="preserve">“</w:t>
      </w:r>
      <w:r>
        <w:t xml:space="preserve">cenfit</w:t>
      </w:r>
      <w:r>
        <w:t xml:space="preserve">”</w:t>
      </w:r>
      <w:r>
        <w:t xml:space="preserve"> </w:t>
      </w:r>
      <w:r>
        <w:t xml:space="preserve">function from NADA. For the multiple comparison tests, only total nitrogen, secchi, and chl-a data were evaluated, none of which were below detection as noted in the FDEP data. Nitrate/nitrite concentrations were not evaluated quantitatively because over 80% of the observations were below detection. PCA and correlation analyses were based on weekly aggregations by area, using appropriate methods for median estimates with non-detects in the water quality data.</w:t>
      </w:r>
    </w:p>
    <w:bookmarkEnd w:id="53"/>
    <w:bookmarkEnd w:id="54"/>
    <w:bookmarkStart w:id="60" w:name="results"/>
    <w:p>
      <w:pPr>
        <w:pStyle w:val="Heading1"/>
      </w:pPr>
      <w:r>
        <w:t xml:space="preserve">Results</w:t>
      </w:r>
    </w:p>
    <w:bookmarkStart w:id="55" w:name="timeline-of-events-from-april-2021"/>
    <w:p>
      <w:pPr>
        <w:pStyle w:val="Heading2"/>
      </w:pPr>
      <w:r>
        <w:t xml:space="preserve">Timeline of events from April 2021</w:t>
      </w:r>
    </w:p>
    <w:p>
      <w:pPr>
        <w:pStyle w:val="FirstParagraph"/>
      </w:pPr>
      <w:r>
        <w:t xml:space="preserve">A general narrative of 2021 events in Tampa Bay following release of wastewater from Piney Point is shown in Figure</w:t>
      </w:r>
      <w:r>
        <w:t xml:space="preserve"> </w:t>
      </w:r>
      <w:r>
        <w:t xml:space="preserve">2</w:t>
      </w:r>
      <w:r>
        <w:t xml:space="preserve">. After the discharge stopped on April 9th, an initial phytoplankton response was observed near Piney Point with concentrations peaking around mid-April (Area 1, Figure</w:t>
      </w:r>
      <w:r>
        <w:t xml:space="preserve"> </w:t>
      </w:r>
      <w:r>
        <w:t xml:space="preserve">4</w:t>
      </w:r>
      <w:r>
        <w:t xml:space="preserve">b). Taxa from the Bacillariophyta phylum (diatoms) were dominant in April, with a maximum chlorophyll concentration of 265 ug/L, although median concentrations for each week in April were less than 10 ug/L. The initial diatom bloom did not persist past April and was partially dispersed by the passage of a strong weather front across the Tampa Bay region on April 10. On April 20th,</w:t>
      </w:r>
      <w:r>
        <w:t xml:space="preserve"> </w:t>
      </w:r>
      <w:r>
        <w:rPr>
          <w:iCs/>
          <w:i/>
        </w:rPr>
        <w:t xml:space="preserve">K. brevis</w:t>
      </w:r>
      <w:r>
        <w:t xml:space="preserve"> </w:t>
      </w:r>
      <w:r>
        <w:t xml:space="preserve">was first observed near Anna Maria Sound at the southern edge of the mouth of Tampa Bay and reached bloom concentrations (&gt;10k cells/L) by May 23rd, although observations were limited to lower Tampa Bay. Also during May,</w:t>
      </w:r>
      <w:r>
        <w:t xml:space="preserve"> </w:t>
      </w:r>
      <w:r>
        <w:rPr>
          <w:iCs/>
          <w:i/>
        </w:rPr>
        <w:t xml:space="preserve">Dapis spp.</w:t>
      </w:r>
      <w:r>
        <w:t xml:space="preserve"> </w:t>
      </w:r>
      <w:r>
        <w:t xml:space="preserve">(cyanobacteria macroalgae) were observed at high abundances in Anna Maria Sound and near Port Manatee.</w:t>
      </w:r>
      <w:r>
        <w:t xml:space="preserve"> </w:t>
      </w:r>
      <w:r>
        <w:rPr>
          <w:iCs/>
          <w:i/>
        </w:rPr>
        <w:t xml:space="preserve">Dapis</w:t>
      </w:r>
      <w:r>
        <w:t xml:space="preserve"> </w:t>
      </w:r>
      <w:r>
        <w:t xml:space="preserve">were observed in large floating mats on the surface and covering benthic and seagrass habitats below the water column at these locations. By June 27th, fish kill reports attributed to red tide increased with</w:t>
      </w:r>
      <w:r>
        <w:t xml:space="preserve"> </w:t>
      </w:r>
      <w:r>
        <w:rPr>
          <w:iCs/>
          <w:i/>
        </w:rPr>
        <w:t xml:space="preserve">K. brevis</w:t>
      </w:r>
      <w:r>
        <w:t xml:space="preserve"> </w:t>
      </w:r>
      <w:r>
        <w:t xml:space="preserve">cell concentrations in lower and middle Tampa Bay. The center of tropical storm Elsa passed to the west of Tampa Bay on July 5th, causing a shift in prevailing winds from the southeast. This shift contributed to an increase in fish kill reports by moving dead fish closer to heavily populated areas of Tampa Bay, specifically near the cities of St. Petersburg and Tampa. Concentrations of</w:t>
      </w:r>
      <w:r>
        <w:t xml:space="preserve"> </w:t>
      </w:r>
      <w:r>
        <w:rPr>
          <w:iCs/>
          <w:i/>
        </w:rPr>
        <w:t xml:space="preserve">K. brevis</w:t>
      </w:r>
      <w:r>
        <w:t xml:space="preserve"> </w:t>
      </w:r>
      <w:r>
        <w:t xml:space="preserve">in middle and lower Tampa Bay peaked in mid-July, with bloom conditions not observed in the bay after July. A quantitative description of these events follows.</w:t>
      </w:r>
    </w:p>
    <w:bookmarkEnd w:id="55"/>
    <w:bookmarkStart w:id="56" w:name="water-quality-trends"/>
    <w:p>
      <w:pPr>
        <w:pStyle w:val="Heading2"/>
      </w:pPr>
      <w:r>
        <w:t xml:space="preserve">Water quality trends</w:t>
      </w:r>
    </w:p>
    <w:p>
      <w:pPr>
        <w:pStyle w:val="FirstParagraph"/>
      </w:pPr>
      <w:r>
        <w:t xml:space="preserve">From April through July 2021, 6844 samples were collected for chl-a, dissolved oxygen, total nitrogen, total phosphorus, total ammonia nitrogen, nitrate/nitrite, pH, salinity, secchi depth, and temperature (Table</w:t>
      </w:r>
      <w:r>
        <w:t xml:space="preserve"> </w:t>
      </w:r>
      <w:r>
        <w:t xml:space="preserve">2</w:t>
      </w:r>
      <w:r>
        <w:t xml:space="preserve">). Of these samples, 9.1% were outside of the normal range defined by the long-term monthly monitoring data for the baseline period from 2006 to 2020 (below for Secchi depth, above for all others). The percentage of observations outside of the normal range varied by location and parameter. For chl-a, 54% of the observations were above the normal range for area 1, whereas only 7% and 24% were above for areas 2 and 3, respectively. Total nitrogen concentrations were above the normal range for 38% of observations in area 1, whereas concentrations were above for 21% of observations in area 2 and 23% in area 3. Secchi observations were below the normal range for 37% of observations in area 1 and for 18% and 37% of observations in areas 2 and 3. Notable differences were also observed for dissolved oxygen (e.g., 56% were above in area 1, 47% in area 2). Physical parameters (salinity, temperature) were generally within range over the study period. Inorganic nitrogen (ammonia, nitrate/nitrite) was generally within range, although initial time series showed much higher concentrations for ammonia in April near area 1, similar to the effluent measurements in Table</w:t>
      </w:r>
      <w:r>
        <w:t xml:space="preserve"> </w:t>
      </w:r>
      <w:r>
        <w:t xml:space="preserve">1</w:t>
      </w:r>
      <w:r>
        <w:t xml:space="preserve">. Spatial variation among the parameters showed that values were generally above the normal range (or below for Secchi depth) for many locations near Piney Point, Anna Maria Sound, and the northern mouth of Tampa Bay (Figure</w:t>
      </w:r>
      <w:r>
        <w:t xml:space="preserve"> </w:t>
      </w:r>
      <w:r>
        <w:t xml:space="preserve">3</w:t>
      </w:r>
      <w:r>
        <w:t xml:space="preserve">).</w:t>
      </w:r>
    </w:p>
    <w:p>
      <w:pPr>
        <w:pStyle w:val="BodyText"/>
      </w:pPr>
      <w:r>
        <w:t xml:space="preserve">Boxplots of total nitrogen, chl-a, and secchi depth show the temporal progression of observations by week and area relative to the normal ranges from long-term monitoring data (Figure</w:t>
      </w:r>
      <w:r>
        <w:t xml:space="preserve"> </w:t>
      </w:r>
      <w:r>
        <w:t xml:space="preserve">4</w:t>
      </w:r>
      <w:r>
        <w:t xml:space="preserve">). For area 1, total nitrogen and chlorophyll concentrations were frequently above normal ranges beginning the week of April 4th and lasting through the month. Concentrations remained similar to baseline conditions until June and July when median values were often above the baseline range. Secchi observations in area 1 were below baseline ranges in April and July. Observations in areas 2 and 3 were more often within the normal range, with some exceptions for total nitrogen and chl-a in area 3 during weeks of May, June, and July. Statistical comparisons between months for total nitrogen, chl-a, and secchi depth (Table</w:t>
      </w:r>
      <w:r>
        <w:t xml:space="preserve"> </w:t>
      </w:r>
      <w:r>
        <w:t xml:space="preserve">3</w:t>
      </w:r>
      <w:r>
        <w:t xml:space="preserve">) supported the results in Figure</w:t>
      </w:r>
      <w:r>
        <w:t xml:space="preserve"> </w:t>
      </w:r>
      <w:r>
        <w:t xml:space="preserve">4</w:t>
      </w:r>
      <w:r>
        <w:t xml:space="preserve">. Kruskal-Wallis tests that assessed if at least one of the months had significantly different observations for each parameter were significant for total nitrogen, chl-a, and secchi depth for areas 1 and 3 and total nitrogen and chl-a for area 2 (Table</w:t>
      </w:r>
      <w:r>
        <w:t xml:space="preserve"> </w:t>
      </w:r>
      <w:r>
        <w:t xml:space="preserve">3</w:t>
      </w:r>
      <w:r>
        <w:t xml:space="preserve">). Results of multiple comparison tests that evaluated differences between pairs of months generally showed that April/May were different from June/July depending on area and parameter. Observations in the later months were generally higher (or lower for Secchi) corresponding to increasing</w:t>
      </w:r>
      <w:r>
        <w:t xml:space="preserve"> </w:t>
      </w:r>
      <w:r>
        <w:rPr>
          <w:iCs/>
          <w:i/>
        </w:rPr>
        <w:t xml:space="preserve">K. brevis</w:t>
      </w:r>
      <w:r>
        <w:t xml:space="preserve"> </w:t>
      </w:r>
      <w:r>
        <w:t xml:space="preserve">abundances.</w:t>
      </w:r>
    </w:p>
    <w:bookmarkEnd w:id="56"/>
    <w:bookmarkStart w:id="57" w:name="seagrass-and-macroalgae-trends"/>
    <w:p>
      <w:pPr>
        <w:pStyle w:val="Heading2"/>
      </w:pPr>
      <w:r>
        <w:t xml:space="preserve">Seagrass and macroalgae trends</w:t>
      </w:r>
    </w:p>
    <w:p>
      <w:pPr>
        <w:pStyle w:val="FirstParagraph"/>
      </w:pPr>
      <w:r>
        <w:t xml:space="preserve">A total of 38 transects were sampled for seagrasses and macroalgae from April through July, each visited on average 1.8 times per month. Turtle grass (</w:t>
      </w:r>
      <w:r>
        <w:rPr>
          <w:iCs/>
          <w:i/>
        </w:rPr>
        <w:t xml:space="preserve">T. testudinum</w:t>
      </w:r>
      <w:r>
        <w:t xml:space="preserve">) was the dominant seagrass species with frequency occurrence of 52% across all locations and sample dates. Manatee grass (</w:t>
      </w:r>
      <w:r>
        <w:rPr>
          <w:iCs/>
          <w:i/>
        </w:rPr>
        <w:t xml:space="preserve">S. filiforme</w:t>
      </w:r>
      <w:r>
        <w:t xml:space="preserve">) and shoal grass (</w:t>
      </w:r>
      <w:r>
        <w:rPr>
          <w:iCs/>
          <w:i/>
        </w:rPr>
        <w:t xml:space="preserve">H. wrightii</w:t>
      </w:r>
      <w:r>
        <w:t xml:space="preserve">) had similar coverage across all transects, with frequency occurrences of 31.7% and 32.2%, respectively. The frequency occurrences of seagrasses near Piney Point were similar to the long-term record of seagrass transect data available for Tampa Bay</w:t>
      </w:r>
      <w:r>
        <w:t xml:space="preserve"> </w:t>
      </w:r>
      <w:r>
        <w:t xml:space="preserve">(</w:t>
      </w:r>
      <w:hyperlink w:anchor="ref-Sherwood17">
        <w:r>
          <w:rPr>
            <w:rStyle w:val="Hyperlink"/>
          </w:rPr>
          <w:t xml:space="preserve">Sherwood et al., 2017</w:t>
        </w:r>
      </w:hyperlink>
      <w:r>
        <w:t xml:space="preserve">)</w:t>
      </w:r>
      <w:r>
        <w:t xml:space="preserve">. At the baywide scale, shoal grass is the dominant species, whereas turtle grass is more common in euhaline waters closer to the Gulf. Macroalgae observed along the transects also varied in coverage, with red macroalgae groups having the highest frequency occurrence of 58.6%. Common taxa in the red group included</w:t>
      </w:r>
      <w:r>
        <w:t xml:space="preserve"> </w:t>
      </w:r>
      <w:r>
        <w:rPr>
          <w:iCs/>
          <w:i/>
        </w:rPr>
        <w:t xml:space="preserve">Gracilaria spp.</w:t>
      </w:r>
      <w:r>
        <w:t xml:space="preserve"> </w:t>
      </w:r>
      <w:r>
        <w:t xml:space="preserve">and</w:t>
      </w:r>
      <w:r>
        <w:t xml:space="preserve"> </w:t>
      </w:r>
      <w:r>
        <w:rPr>
          <w:iCs/>
          <w:i/>
        </w:rPr>
        <w:t xml:space="preserve">Acanthophora sp.</w:t>
      </w:r>
      <w:r>
        <w:t xml:space="preserve">. Green and cyanobacteria macroalgae were less common, with frequency occurrences of 5.4% and 17.8%. Common taxa in the green group included</w:t>
      </w:r>
      <w:r>
        <w:t xml:space="preserve"> </w:t>
      </w:r>
      <w:r>
        <w:rPr>
          <w:iCs/>
          <w:i/>
        </w:rPr>
        <w:t xml:space="preserve">Ulva spp.</w:t>
      </w:r>
      <w:r>
        <w:t xml:space="preserve"> </w:t>
      </w:r>
      <w:r>
        <w:t xml:space="preserve">and</w:t>
      </w:r>
      <w:r>
        <w:t xml:space="preserve"> </w:t>
      </w:r>
      <w:r>
        <w:rPr>
          <w:iCs/>
          <w:i/>
        </w:rPr>
        <w:t xml:space="preserve">Caulerpa spp.</w:t>
      </w:r>
      <w:r>
        <w:t xml:space="preserve">, whereas</w:t>
      </w:r>
      <w:r>
        <w:t xml:space="preserve"> </w:t>
      </w:r>
      <w:r>
        <w:rPr>
          <w:iCs/>
          <w:i/>
        </w:rPr>
        <w:t xml:space="preserve">Dapis spp.</w:t>
      </w:r>
      <w:r>
        <w:t xml:space="preserve"> </w:t>
      </w:r>
      <w:r>
        <w:t xml:space="preserve">was the only cyanobacteria macroalgae observed. Brown macroalgae in the genus</w:t>
      </w:r>
      <w:r>
        <w:t xml:space="preserve"> </w:t>
      </w:r>
      <w:r>
        <w:rPr>
          <w:iCs/>
          <w:i/>
        </w:rPr>
        <w:t xml:space="preserve">Feldmannia</w:t>
      </w:r>
      <w:r>
        <w:t xml:space="preserve"> </w:t>
      </w:r>
      <w:r>
        <w:t xml:space="preserve">were only observed at 0.2% frequency occurrence.</w:t>
      </w:r>
    </w:p>
    <w:p>
      <w:pPr>
        <w:pStyle w:val="BodyText"/>
      </w:pPr>
      <w:r>
        <w:t xml:space="preserve">Temporal progression of seagrasses and macroalgae varied across the months, although a typical pattern observed at many of the transects is shown in Figure</w:t>
      </w:r>
      <w:r>
        <w:t xml:space="preserve"> </w:t>
      </w:r>
      <w:r>
        <w:t xml:space="preserve">5</w:t>
      </w:r>
      <w:r>
        <w:t xml:space="preserve">. Transect S3T6 is located less than one kilometer to the north of Port Manatee. The site is dominated by manatee grass that was observed at nearly all of the sample points along the transect at varying coverages. Overall abundance of seagrass did not change dramatically from April 22nd through July. However, macroalgal abundances changed over the course of sampling similar to many of the other transects sampled during the study. Red macroalgae were present in high abundances from April to May.</w:t>
      </w:r>
      <w:r>
        <w:t xml:space="preserve"> </w:t>
      </w:r>
      <w:r>
        <w:rPr>
          <w:iCs/>
          <w:i/>
        </w:rPr>
        <w:t xml:space="preserve">Dapis sp.</w:t>
      </w:r>
      <w:r>
        <w:t xml:space="preserve"> </w:t>
      </w:r>
      <w:r>
        <w:t xml:space="preserve">was first observed on May 24th and was present at all of the sample locations on June 4th and 15th.</w:t>
      </w:r>
      <w:r>
        <w:t xml:space="preserve"> </w:t>
      </w:r>
      <w:r>
        <w:rPr>
          <w:iCs/>
          <w:i/>
        </w:rPr>
        <w:t xml:space="preserve">Dapis sp.</w:t>
      </w:r>
      <w:r>
        <w:t xml:space="preserve"> </w:t>
      </w:r>
      <w:r>
        <w:t xml:space="preserve">persisted through June and July, but not was observed after July 20th. Green macroalgae taxa were first observed in July, although at generally low abundances. Trends in macroalgae somewhat followed seasonal patterns observed baywide with red macroalgae transitioning to green macroalgae by mid-summer.</w:t>
      </w:r>
    </w:p>
    <w:p>
      <w:pPr>
        <w:pStyle w:val="BodyText"/>
      </w:pPr>
      <w:r>
        <w:t xml:space="preserve">Monthly summaries in frequency occurrence by area (Figure</w:t>
      </w:r>
      <w:r>
        <w:t xml:space="preserve"> </w:t>
      </w:r>
      <w:r>
        <w:t xml:space="preserve">6</w:t>
      </w:r>
      <w:r>
        <w:t xml:space="preserve">) provided an indication of seagrass and macroalgae trends across all transects. No transects were sampled in area 2 to the north of Piney Point. Area 1 had generally balanced frequency occurrence of the three primary seagrass species observed in the bay, although a slight decrease over time in shoal grass (</w:t>
      </w:r>
      <w:r>
        <w:rPr>
          <w:iCs/>
          <w:i/>
        </w:rPr>
        <w:t xml:space="preserve">H. wrightii</w:t>
      </w:r>
      <w:r>
        <w:t xml:space="preserve">) was observed (April frequency occurrence of NA%, July frequency occurrence of NA%). A similar decline in coverage of shoal grass was also observed in area 3 (April frequency occurrence of NA%, July frequency occurrence of NA%). Frequency occurrence of manatee grass (</w:t>
      </w:r>
      <w:r>
        <w:rPr>
          <w:iCs/>
          <w:i/>
        </w:rPr>
        <w:t xml:space="preserve">S. syringodium</w:t>
      </w:r>
      <w:r>
        <w:t xml:space="preserve">) also declined slightly from April to July in area 3 (April frequency occurrence of NA%, July frequency occurrence of NA%). Changes in macroalgae frequency occurrence were much more pronounced than for seagrasses across months and by area. Red macroalgae was the dominant group across all months and areas, with the highest frequency occurrences observed in April (NA% in area 1, NA% in area 3). Cyanobacteria frequency occurrence peaked in June, with greater coverage in area 3 (NA%) compared to area 1 (NA%). Green macroalgae had the second lowest frequency occurrence, followed by Brown macroalgae that was only observed at one transect.</w:t>
      </w:r>
    </w:p>
    <w:p>
      <w:pPr>
        <w:pStyle w:val="BodyText"/>
      </w:pPr>
      <w:r>
        <w:t xml:space="preserve">Statistical comparisons of results in Figure</w:t>
      </w:r>
      <w:r>
        <w:t xml:space="preserve"> </w:t>
      </w:r>
      <w:r>
        <w:t xml:space="preserve">6</w:t>
      </w:r>
      <w:r>
        <w:t xml:space="preserve"> </w:t>
      </w:r>
      <w:r>
        <w:t xml:space="preserve">shown in Tables</w:t>
      </w:r>
      <w:r>
        <w:t xml:space="preserve"> </w:t>
      </w:r>
      <w:r>
        <w:t xml:space="preserve">4</w:t>
      </w:r>
      <w:r>
        <w:t xml:space="preserve"> </w:t>
      </w:r>
      <w:r>
        <w:t xml:space="preserve">and</w:t>
      </w:r>
      <w:r>
        <w:t xml:space="preserve"> </w:t>
      </w:r>
      <w:r>
        <w:t xml:space="preserve">5</w:t>
      </w:r>
      <w:r>
        <w:t xml:space="preserve"> </w:t>
      </w:r>
      <w:r>
        <w:t xml:space="preserve">further suggested that seagrass trends were minor compared to those of macroalgae. Results by month showed that seagrass frequency occurrence, by species and area, had insignificant changes (</w:t>
      </w:r>
      <m:oMath>
        <m:r>
          <m:t>p</m:t>
        </m:r>
        <m:r>
          <m:rPr>
            <m:sty m:val="p"/>
          </m:rPr>
          <m:t>&gt;</m:t>
        </m:r>
        <m:r>
          <m:t>0.05</m:t>
        </m:r>
      </m:oMath>
      <w:r>
        <w:t xml:space="preserve">) over the study period. Although trends were not significant, estimated medians in each month in Table</w:t>
      </w:r>
      <w:r>
        <w:t xml:space="preserve"> </w:t>
      </w:r>
      <w:r>
        <w:t xml:space="preserve">5</w:t>
      </w:r>
      <w:r>
        <w:t xml:space="preserve"> </w:t>
      </w:r>
      <w:r>
        <w:t xml:space="preserve">showed similar changes for seagrasses as in Figure</w:t>
      </w:r>
      <w:r>
        <w:t xml:space="preserve"> </w:t>
      </w:r>
      <w:r>
        <w:t xml:space="preserve">5</w:t>
      </w:r>
      <w:r>
        <w:t xml:space="preserve">, with generally higher coverage estimates in April. These changes were more pronounced in area 3 as compared to area 1. For macroalgae (Table</w:t>
      </w:r>
      <w:r>
        <w:t xml:space="preserve"> </w:t>
      </w:r>
      <w:r>
        <w:t xml:space="preserve">4</w:t>
      </w:r>
      <w:r>
        <w:t xml:space="preserve">), significant differences between months were observed for red and cyanobacteria macroalgae in both areas 1 and 3, although cyanobacteria differences for area 3 were only marginally significant (</w:t>
      </w:r>
      <m:oMath>
        <m:r>
          <m:t>p</m:t>
        </m:r>
        <m:r>
          <m:rPr>
            <m:sty m:val="p"/>
          </m:rPr>
          <m:t>=</m:t>
        </m:r>
        <m:r>
          <m:t>0.05</m:t>
        </m:r>
      </m:oMath>
      <w:r>
        <w:t xml:space="preserve">). Coverage of cyanobacteria in area 1 during June was significantly higher than coverage in April. No significant differences between months were observed for the green macroalgae group.</w:t>
      </w:r>
    </w:p>
    <w:bookmarkEnd w:id="57"/>
    <w:bookmarkStart w:id="58" w:name="X7c38f50fd4a7c7a3e46b2b63d974326ba80d8e4"/>
    <w:p>
      <w:pPr>
        <w:pStyle w:val="Heading2"/>
      </w:pPr>
      <w:r>
        <w:t xml:space="preserve">Water quality compared to seagrass and macroalgae</w:t>
      </w:r>
    </w:p>
    <w:p>
      <w:pPr>
        <w:pStyle w:val="FirstParagraph"/>
      </w:pPr>
      <w:r>
        <w:t xml:space="preserve">A PCA comparison of all water quality variables with seagrass and macroalgae frequency occurrence estimates showed significant associations between groups of variables (Figure</w:t>
      </w:r>
      <w:r>
        <w:t xml:space="preserve"> </w:t>
      </w:r>
      <w:r>
        <w:t xml:space="preserve">7</w:t>
      </w:r>
      <w:r>
        <w:t xml:space="preserve">). The first principal component axis explained 30% of the variation among all variables, whereas the second and third axes explained 22% and 13% of the remaining variation. For the water quality variables, the first principal component axis had strong, positive loadings for dissolved oxygen and secchi depth and strong negative loadings for total nitrogen, chl-a, and temperature. For macroalgae, the first axis had positive loadings with frequency occurrence of red and green macroalgae. For seagrasses, turtle grass (</w:t>
      </w:r>
      <w:r>
        <w:rPr>
          <w:iCs/>
          <w:i/>
        </w:rPr>
        <w:t xml:space="preserve">T. testudinum</w:t>
      </w:r>
      <w:r>
        <w:t xml:space="preserve">) had a strong positive loading with axis 1. The second principal component axis had strong positive loadings for secchi depth, total phosphorus, and ammonia and negative loadings for salinity and cyanobacteria macroalgae. The third axis showed a strong negative loading with shoal grass (</w:t>
      </w:r>
      <w:r>
        <w:rPr>
          <w:iCs/>
          <w:i/>
        </w:rPr>
        <w:t xml:space="preserve">H. wrightii</w:t>
      </w:r>
      <w:r>
        <w:t xml:space="preserve">) and positive loading with manatee grass (</w:t>
      </w:r>
      <w:r>
        <w:rPr>
          <w:iCs/>
          <w:i/>
        </w:rPr>
        <w:t xml:space="preserve">S. filiforme</w:t>
      </w:r>
      <w:r>
        <w:t xml:space="preserve">). Observations by area showed that samples in area 3 were distinct from points in area 1 and grouped by positive loadings on the first PCA axis and negative loadings on the second PCA axis.</w:t>
      </w:r>
    </w:p>
    <w:p>
      <w:pPr>
        <w:pStyle w:val="BodyText"/>
      </w:pPr>
      <w:r>
        <w:t xml:space="preserve">Pairwise Spearman rank correlations for the same variables used in the PCA showed significant associations among several of the water quality, seagrass, and macroalgae variables (Figure</w:t>
      </w:r>
      <w:r>
        <w:t xml:space="preserve"> </w:t>
      </w:r>
      <w:r>
        <w:t xml:space="preserve">8</w:t>
      </w:r>
      <w:r>
        <w:t xml:space="preserve">). Among the water quality variables, chlorophyll-a was positively correlated with total phosphorus, total nitrogen, temperature, and pH (</w:t>
      </w:r>
      <m:oMath>
        <m:r>
          <m:t>p</m:t>
        </m:r>
        <m:r>
          <m:rPr>
            <m:sty m:val="p"/>
          </m:rPr>
          <m:t>&lt;</m:t>
        </m:r>
        <m:r>
          <m:t>0.005</m:t>
        </m:r>
      </m:oMath>
      <w:r>
        <w:t xml:space="preserve"> </w:t>
      </w:r>
      <w:r>
        <w:t xml:space="preserve">for all) and negatively correlated with secchi depth (</w:t>
      </w:r>
      <m:oMath>
        <m:r>
          <m:t>p</m:t>
        </m:r>
        <m:r>
          <m:rPr>
            <m:sty m:val="p"/>
          </m:rPr>
          <m:t>&lt;</m:t>
        </m:r>
        <m:r>
          <m:t>0.05</m:t>
        </m:r>
      </m:oMath>
      <w:r>
        <w:t xml:space="preserve">). Total nitrogen was positively correlated with total phosphorus, temperature, and ammonia (</w:t>
      </w:r>
      <m:oMath>
        <m:r>
          <m:t>p</m:t>
        </m:r>
        <m:r>
          <m:rPr>
            <m:sty m:val="p"/>
          </m:rPr>
          <m:t>&lt;</m:t>
        </m:r>
        <m:r>
          <m:t>0.005</m:t>
        </m:r>
      </m:oMath>
      <w:r>
        <w:t xml:space="preserve">, except</w:t>
      </w:r>
      <w:r>
        <w:t xml:space="preserve"> </w:t>
      </w:r>
      <m:oMath>
        <m:r>
          <m:t>p</m:t>
        </m:r>
        <m:r>
          <m:rPr>
            <m:sty m:val="p"/>
          </m:rPr>
          <m:t>&lt;</m:t>
        </m:r>
        <m:r>
          <m:t>0.05</m:t>
        </m:r>
      </m:oMath>
      <w:r>
        <w:t xml:space="preserve"> </w:t>
      </w:r>
      <w:r>
        <w:t xml:space="preserve">for temperature) and negatively correlated with secchi (</w:t>
      </w:r>
      <m:oMath>
        <m:r>
          <m:t>p</m:t>
        </m:r>
        <m:r>
          <m:rPr>
            <m:sty m:val="p"/>
          </m:rPr>
          <m:t>&lt;</m:t>
        </m:r>
        <m:r>
          <m:t>0.005</m:t>
        </m:r>
      </m:oMath>
      <w:r>
        <w:t xml:space="preserve">). Among the macroalgae, green and red groups were positively correlated (</w:t>
      </w:r>
      <m:oMath>
        <m:r>
          <m:t>p</m:t>
        </m:r>
        <m:r>
          <m:rPr>
            <m:sty m:val="p"/>
          </m:rPr>
          <m:t>&lt;</m:t>
        </m:r>
        <m:r>
          <m:t>0.05</m:t>
        </m:r>
      </m:oMath>
      <w:r>
        <w:t xml:space="preserve">), whereas red macroalgae was negatively correlated with cyanobacteria (</w:t>
      </w:r>
      <m:oMath>
        <m:r>
          <m:t>p</m:t>
        </m:r>
        <m:r>
          <m:rPr>
            <m:sty m:val="p"/>
          </m:rPr>
          <m:t>&lt;</m:t>
        </m:r>
        <m:r>
          <m:t>0.005</m:t>
        </m:r>
      </m:oMath>
      <w:r>
        <w:t xml:space="preserve">). Among the seagrasses, manatee grass was negatively correlated with shoal grass and turtle grass (</w:t>
      </w:r>
      <m:oMath>
        <m:r>
          <m:t>p</m:t>
        </m:r>
        <m:r>
          <m:rPr>
            <m:sty m:val="p"/>
          </m:rPr>
          <m:t>&lt;</m:t>
        </m:r>
        <m:r>
          <m:t>0.005</m:t>
        </m:r>
      </m:oMath>
      <w:r>
        <w:t xml:space="preserve">). Several notable correlations were also observed between water quality, macroalgae, and seagrass. Chlorophyll-a was negatively correlated with red and green macroalgae (</w:t>
      </w:r>
      <m:oMath>
        <m:r>
          <m:t>p</m:t>
        </m:r>
        <m:r>
          <m:rPr>
            <m:sty m:val="p"/>
          </m:rPr>
          <m:t>&lt;</m:t>
        </m:r>
        <m:r>
          <m:t>0.05</m:t>
        </m:r>
      </m:oMath>
      <w:r>
        <w:t xml:space="preserve">), whereas secchi depth was positively correlated with both (</w:t>
      </w:r>
      <m:oMath>
        <m:r>
          <m:t>p</m:t>
        </m:r>
        <m:r>
          <m:rPr>
            <m:sty m:val="p"/>
          </m:rPr>
          <m:t>&lt;</m:t>
        </m:r>
        <m:r>
          <m:t>0.05</m:t>
        </m:r>
      </m:oMath>
      <w:r>
        <w:t xml:space="preserve">) and negatively correlated with cyanobacteria (</w:t>
      </w:r>
      <m:oMath>
        <m:r>
          <m:t>p</m:t>
        </m:r>
        <m:r>
          <m:rPr>
            <m:sty m:val="p"/>
          </m:rPr>
          <m:t>&lt;</m:t>
        </m:r>
        <m:r>
          <m:t>0.05</m:t>
        </m:r>
      </m:oMath>
      <w:r>
        <w:t xml:space="preserve">). For water quality and seagrass, chl-a, total nitrogen, and total phosphorus were negatively correlated with turtle grass (</w:t>
      </w:r>
      <m:oMath>
        <m:r>
          <m:t>p</m:t>
        </m:r>
        <m:r>
          <m:rPr>
            <m:sty m:val="p"/>
          </m:rPr>
          <m:t>&lt;</m:t>
        </m:r>
        <m:r>
          <m:t>0.005</m:t>
        </m:r>
      </m:oMath>
      <w:r>
        <w:t xml:space="preserve"> </w:t>
      </w:r>
      <w:r>
        <w:t xml:space="preserve">for all, except</w:t>
      </w:r>
      <w:r>
        <w:t xml:space="preserve"> </w:t>
      </w:r>
      <m:oMath>
        <m:r>
          <m:t>p</m:t>
        </m:r>
        <m:r>
          <m:rPr>
            <m:sty m:val="p"/>
          </m:rPr>
          <m:t>&lt;</m:t>
        </m:r>
        <m:r>
          <m:t>0.05</m:t>
        </m:r>
      </m:oMath>
      <w:r>
        <w:t xml:space="preserve"> </w:t>
      </w:r>
      <w:r>
        <w:t xml:space="preserve">for total nitrogen), whereas secchi was positively correlated with shoal grass (</w:t>
      </w:r>
      <m:oMath>
        <m:r>
          <m:t>p</m:t>
        </m:r>
        <m:r>
          <m:rPr>
            <m:sty m:val="p"/>
          </m:rPr>
          <m:t>&lt;</m:t>
        </m:r>
        <m:r>
          <m:t>0.05</m:t>
        </m:r>
      </m:oMath>
      <w:r>
        <w:t xml:space="preserve">). For macroalgae and seagrass, red and cyanobacteria macroalgae were positively correlated with manatee grass (</w:t>
      </w:r>
      <m:oMath>
        <m:r>
          <m:t>p</m:t>
        </m:r>
        <m:r>
          <m:rPr>
            <m:sty m:val="p"/>
          </m:rPr>
          <m:t>&lt;</m:t>
        </m:r>
        <m:r>
          <m:t>0.005</m:t>
        </m:r>
      </m:oMath>
      <w:r>
        <w:t xml:space="preserve">), whereas cyanobacteria was negatively correlated with shoal grass (</w:t>
      </w:r>
      <m:oMath>
        <m:r>
          <m:t>p</m:t>
        </m:r>
        <m:r>
          <m:rPr>
            <m:sty m:val="p"/>
          </m:rPr>
          <m:t>&lt;</m:t>
        </m:r>
        <m:r>
          <m:t>0.005</m:t>
        </m:r>
      </m:oMath>
      <w:r>
        <w:t xml:space="preserve">) and turtle grass (</w:t>
      </w:r>
      <m:oMath>
        <m:r>
          <m:t>p</m:t>
        </m:r>
        <m:r>
          <m:rPr>
            <m:sty m:val="p"/>
          </m:rPr>
          <m:t>&lt;</m:t>
        </m:r>
        <m:r>
          <m:t>0.05</m:t>
        </m:r>
      </m:oMath>
      <w:r>
        <w:t xml:space="preserve">).</w:t>
      </w:r>
    </w:p>
    <w:bookmarkEnd w:id="58"/>
    <w:bookmarkStart w:id="59" w:name="red-tide-and-fish-kill-reports"/>
    <w:p>
      <w:pPr>
        <w:pStyle w:val="Heading2"/>
      </w:pPr>
      <w:r>
        <w:t xml:space="preserve">Red tide and fish kill reports</w:t>
      </w:r>
    </w:p>
    <w:p>
      <w:pPr>
        <w:pStyle w:val="FirstParagraph"/>
      </w:pPr>
      <w:r>
        <w:t xml:space="preserve">The increase in</w:t>
      </w:r>
      <w:r>
        <w:t xml:space="preserve"> </w:t>
      </w:r>
      <w:r>
        <w:rPr>
          <w:iCs/>
          <w:i/>
        </w:rPr>
        <w:t xml:space="preserve">K. brevis</w:t>
      </w:r>
      <w:r>
        <w:t xml:space="preserve"> </w:t>
      </w:r>
      <w:r>
        <w:t xml:space="preserve">from April to July to bloom concentrations exceeding 10k cells/L was an anomaly in 2021 that is not regularly observed in Tampa Bay. The historical record from 1995 to present in Figure</w:t>
      </w:r>
      <w:r>
        <w:t xml:space="preserve"> </w:t>
      </w:r>
      <w:r>
        <w:t xml:space="preserve">9</w:t>
      </w:r>
      <w:r>
        <w:t xml:space="preserve">a shows the range of cell concentrations sampled in middle and lower Tampa Bay, with only a handful of years having median cell concentrations greater than 10,000 cells/L, notably 2001 and 2012, although several years had concentrations above the median that were at bloom levels. Median cell concentrations for most years were well below 1,000 cells/L. The highest concentration of 17.6 million cells/L was observed in 2021, whereas only 2006 had a maximum observed concentration above 10 million cells/L</w:t>
      </w:r>
      <w:r>
        <w:t xml:space="preserve"> </w:t>
      </w:r>
      <w:r>
        <w:t xml:space="preserve">(</w:t>
      </w:r>
      <w:hyperlink w:anchor="ref-Flaherty11">
        <w:r>
          <w:rPr>
            <w:rStyle w:val="Hyperlink"/>
          </w:rPr>
          <w:t xml:space="preserve">Flaherty and Landsberg, 2011</w:t>
        </w:r>
      </w:hyperlink>
      <w:r>
        <w:t xml:space="preserve">)</w:t>
      </w:r>
      <w:r>
        <w:t xml:space="preserve">. Seasonally in 2021, bloom concentrations were not observed until the week of May 23, with concentrations peaking by the week of July 4th, after which concentrations declined (Figure</w:t>
      </w:r>
      <w:r>
        <w:t xml:space="preserve"> </w:t>
      </w:r>
      <w:r>
        <w:t xml:space="preserve">9</w:t>
      </w:r>
      <w:r>
        <w:t xml:space="preserve">b).</w:t>
      </w:r>
    </w:p>
    <w:p>
      <w:pPr>
        <w:pStyle w:val="BodyText"/>
      </w:pPr>
      <w:r>
        <w:t xml:space="preserve">Fish kill reports attributed to red tide at the cities of Tampa and Saint Petersburg, FL somewhat tracked the annual</w:t>
      </w:r>
      <w:r>
        <w:t xml:space="preserve"> </w:t>
      </w:r>
      <w:r>
        <w:rPr>
          <w:iCs/>
          <w:i/>
        </w:rPr>
        <w:t xml:space="preserve">K. brevis</w:t>
      </w:r>
      <w:r>
        <w:t xml:space="preserve"> </w:t>
      </w:r>
      <w:r>
        <w:t xml:space="preserve">cell concentrations, with a notable exception in 2021 which had the most reports among all years (Figure</w:t>
      </w:r>
      <w:r>
        <w:t xml:space="preserve"> </w:t>
      </w:r>
      <w:r>
        <w:t xml:space="preserve">9</w:t>
      </w:r>
      <w:r>
        <w:t xml:space="preserve">c). Historically, more fish kills were reported in Saint Petersburg (85.6%) as compared to Tampa (14.4%), where the former is closer to the mouth of Tampa Bay. In 2021, 329 reports were made in Saint Petersburg and 65 in Tampa (Figure</w:t>
      </w:r>
      <w:r>
        <w:t xml:space="preserve"> </w:t>
      </w:r>
      <w:r>
        <w:t xml:space="preserve">9</w:t>
      </w:r>
      <w:r>
        <w:t xml:space="preserve">d). The combined weekly reports in 2021 for Tampa and Saint Petersburg peaked the week of July 4th, the same week as the peak of</w:t>
      </w:r>
      <w:r>
        <w:t xml:space="preserve"> </w:t>
      </w:r>
      <w:r>
        <w:rPr>
          <w:iCs/>
          <w:i/>
        </w:rPr>
        <w:t xml:space="preserve">K. brevis</w:t>
      </w:r>
      <w:r>
        <w:t xml:space="preserve"> </w:t>
      </w:r>
      <w:r>
        <w:t xml:space="preserve">cell concentrations (Figure</w:t>
      </w:r>
      <w:r>
        <w:t xml:space="preserve"> </w:t>
      </w:r>
      <w:r>
        <w:t xml:space="preserve">9</w:t>
      </w:r>
      <w:r>
        <w:t xml:space="preserve">b). Notably, the first to last week of fish kill reports covered only one and half months, whereas red tide in the bay was observed for nearly four months. Increased reports in early July coincided with a shift in winds from Tropical Storm Elsa which moved dead fish closer to populated nearshore areas, as noted earlier. As a result, Pinellas County and the city of St. Petersburg removed over 1800 tons of dead fish near public and private shoreline areas (K. Hammer Levy, Pinellas County, pers. comm. Aug. 2021).</w:t>
      </w:r>
    </w:p>
    <w:bookmarkEnd w:id="59"/>
    <w:bookmarkEnd w:id="60"/>
    <w:bookmarkStart w:id="66" w:name="discussion"/>
    <w:p>
      <w:pPr>
        <w:pStyle w:val="Heading1"/>
      </w:pPr>
      <w:r>
        <w:t xml:space="preserve">Discussion</w:t>
      </w:r>
    </w:p>
    <w:p>
      <w:pPr>
        <w:pStyle w:val="FirstParagraph"/>
      </w:pPr>
      <w:r>
        <w:t xml:space="preserve">The observed conditions in Tampa Bay from April to July, 2021 following effluent release from Piney Point provide a weight of evidence that demonstrates an adverse environmental response to a large pulse of inorganic nitrogen into the system. Collectively, these observations show that conditions in 2021 were anomalous when compared to the long-term record of water quality and habitat data for Tampa Bay. These anomalous events included 1) a large diatom bloom in April in the vicinity of the discharge at Port Manatee, 2) high abundance of Cyanobacteria in Anna Maria Sound and near Port Manatee, 3) bloom concentrations of red tide in lower and middle Tampa Bay from June through July, and 4) high incidence of fish kill reports prompting local governments to remove over 1800 tons of dead fish from shoreline areas. The observed water quality conditions throughout this period, particularly for total nitrogen, chlorophyll-a, and secchi depth, were outside of normal ranges for many observations supported by the decades of long-term monitoring data for the region (Figures</w:t>
      </w:r>
      <w:r>
        <w:t xml:space="preserve"> </w:t>
      </w:r>
      <w:r>
        <w:t xml:space="preserve">3</w:t>
      </w:r>
      <w:r>
        <w:t xml:space="preserve"> </w:t>
      </w:r>
      <w:r>
        <w:t xml:space="preserve">and</w:t>
      </w:r>
      <w:r>
        <w:t xml:space="preserve"> </w:t>
      </w:r>
      <w:r>
        <w:t xml:space="preserve">4</w:t>
      </w:r>
      <w:r>
        <w:t xml:space="preserve">, Table</w:t>
      </w:r>
      <w:r>
        <w:t xml:space="preserve"> </w:t>
      </w:r>
      <w:r>
        <w:t xml:space="preserve">2</w:t>
      </w:r>
      <w:r>
        <w:t xml:space="preserve">). Although these out-of-range results had specific temporal and spatial patterns, they were widespread in lower and middle Tampa Bay.</w:t>
      </w:r>
    </w:p>
    <w:p>
      <w:pPr>
        <w:pStyle w:val="BodyText"/>
      </w:pPr>
      <w:r>
        <w:t xml:space="preserve">In addition to the changing environmental conditions observed during the summer, the Piney Point event also represented an anomalous volume and load of labile nitrogen effluent directly into lower Tampa Bay. Spill events</w:t>
      </w:r>
      <w:r>
        <w:t xml:space="preserve"> </w:t>
      </w:r>
      <w:hyperlink r:id="rId61">
        <w:r>
          <w:rPr>
            <w:rStyle w:val="Hyperlink"/>
          </w:rPr>
          <w:t xml:space="preserve">reported to FDEP</w:t>
        </w:r>
      </w:hyperlink>
      <w:r>
        <w:t xml:space="preserve"> </w:t>
      </w:r>
      <w:r>
        <w:t xml:space="preserve">(e.g., industrial spills, service line failures, sanitary sewer overflows) provide additional context for Piney Point relative to other potential anomalous discharges to Tampa Bay. An assessment of over 800 reports to FDEP for the Tampa Bay watershed over the last five years showed spill volumes for these events are small (median volume 3630 gallons,</w:t>
      </w:r>
      <w:r>
        <w:t xml:space="preserve"> </w:t>
      </w:r>
      <w:hyperlink r:id="rId62">
        <w:r>
          <w:rPr>
            <w:rStyle w:val="Hyperlink"/>
          </w:rPr>
          <w:t xml:space="preserve">unpublished analysis</w:t>
        </w:r>
      </w:hyperlink>
      <w:r>
        <w:t xml:space="preserve">) compared to the 285 million gallons discharged from Piney Point. Moreover, the estimated nutrient load of 205 tons of nitrogen to Tampa Bay from Piney Point over the ten day period, exceeded current annual estimates of all external loading sources into lower Tampa Bay</w:t>
      </w:r>
      <w:r>
        <w:t xml:space="preserve"> </w:t>
      </w:r>
      <w:r>
        <w:t xml:space="preserve">(</w:t>
      </w:r>
      <w:hyperlink w:anchor="ref-tbep0417">
        <w:r>
          <w:rPr>
            <w:rStyle w:val="Hyperlink"/>
          </w:rPr>
          <w:t xml:space="preserve">Janicki Environmental, Inc., 2017b</w:t>
        </w:r>
      </w:hyperlink>
      <w:r>
        <w:t xml:space="preserve">)</w:t>
      </w:r>
      <w:r>
        <w:t xml:space="preserve">. From both a monitoring perspective and the nature of the effluent directly discharged into Tampa Bay, indicators of eutrophication and primary production in 2021 were comparatively different than recent prior years. These events were interpreted in the context of broad goals of the Tampa Bay Estuary Program and its partners to collectively manage ecosystem health following a nutrient management paradigm with seagrasses as both an indicator of environmental quality and an asset for biological resources in Tampa Bay.</w:t>
      </w:r>
    </w:p>
    <w:p>
      <w:pPr>
        <w:pStyle w:val="BodyText"/>
      </w:pPr>
      <w:r>
        <w:t xml:space="preserve">Several of the results support known responses of water quality to nutrient loads for shallow Gulf Coast estuaries</w:t>
      </w:r>
      <w:r>
        <w:t xml:space="preserve"> </w:t>
      </w:r>
      <w:r>
        <w:t xml:space="preserve">(</w:t>
      </w:r>
      <w:hyperlink w:anchor="ref-Caffrey14">
        <w:r>
          <w:rPr>
            <w:rStyle w:val="Hyperlink"/>
          </w:rPr>
          <w:t xml:space="preserve">Caffrey et al., 2013</w:t>
        </w:r>
      </w:hyperlink>
      <w:r>
        <w:t xml:space="preserve">;</w:t>
      </w:r>
      <w:r>
        <w:t xml:space="preserve"> </w:t>
      </w:r>
      <w:hyperlink w:anchor="ref-Doering06">
        <w:r>
          <w:rPr>
            <w:rStyle w:val="Hyperlink"/>
          </w:rPr>
          <w:t xml:space="preserve">Doering et al., 2006</w:t>
        </w:r>
      </w:hyperlink>
      <w:r>
        <w:t xml:space="preserve">;</w:t>
      </w:r>
      <w:r>
        <w:t xml:space="preserve"> </w:t>
      </w:r>
      <w:hyperlink w:anchor="ref-Greening14">
        <w:r>
          <w:rPr>
            <w:rStyle w:val="Hyperlink"/>
          </w:rPr>
          <w:t xml:space="preserve">Greening et al., 2014</w:t>
        </w:r>
      </w:hyperlink>
      <w:r>
        <w:t xml:space="preserve">)</w:t>
      </w:r>
      <w:r>
        <w:t xml:space="preserve">. Regarding the nutrient management paradigm for Tampa Bay, the relationship between nutrients, chlorophyll-a, and water transparency is supported by the significant correlations (Figure</w:t>
      </w:r>
      <w:r>
        <w:t xml:space="preserve"> </w:t>
      </w:r>
      <w:r>
        <w:t xml:space="preserve">8</w:t>
      </w:r>
      <w:r>
        <w:t xml:space="preserve">) and loadings from the PCA results (Figure</w:t>
      </w:r>
      <w:r>
        <w:t xml:space="preserve"> </w:t>
      </w:r>
      <w:r>
        <w:t xml:space="preserve">7</w:t>
      </w:r>
      <w:r>
        <w:t xml:space="preserve">). Temporally, these changes were observed at different times and for different species of phytoplankton. The initial increase in chlorophyll-a was first associated with a diatom bloom in April and then by</w:t>
      </w:r>
      <w:r>
        <w:t xml:space="preserve"> </w:t>
      </w:r>
      <w:r>
        <w:rPr>
          <w:iCs/>
          <w:i/>
        </w:rPr>
        <w:t xml:space="preserve">K. brevis</w:t>
      </w:r>
      <w:r>
        <w:t xml:space="preserve"> </w:t>
      </w:r>
      <w:r>
        <w:t xml:space="preserve">in June and July. Of note is that inorganic species of nitrogen, mainly ammonia, were only present at high concentrations in early April. Concerns of the negative impacts of nutrients from the wastewater release focused primarily on the high concentrations of ammonia in the effluent (Table</w:t>
      </w:r>
      <w:r>
        <w:t xml:space="preserve"> </w:t>
      </w:r>
      <w:r>
        <w:t xml:space="preserve">1</w:t>
      </w:r>
      <w:r>
        <w:t xml:space="preserve">), which can be utilized rapidly by many phytoplankton taxa</w:t>
      </w:r>
      <w:r>
        <w:t xml:space="preserve"> </w:t>
      </w:r>
      <w:r>
        <w:t xml:space="preserve">(</w:t>
      </w:r>
      <w:hyperlink w:anchor="ref-Bates76">
        <w:r>
          <w:rPr>
            <w:rStyle w:val="Hyperlink"/>
          </w:rPr>
          <w:t xml:space="preserve">Bates, 1976</w:t>
        </w:r>
      </w:hyperlink>
      <w:r>
        <w:t xml:space="preserve">;</w:t>
      </w:r>
      <w:r>
        <w:t xml:space="preserve"> </w:t>
      </w:r>
      <w:hyperlink w:anchor="ref-Domingues11">
        <w:r>
          <w:rPr>
            <w:rStyle w:val="Hyperlink"/>
          </w:rPr>
          <w:t xml:space="preserve">Domingues et al., 2011</w:t>
        </w:r>
      </w:hyperlink>
      <w:r>
        <w:t xml:space="preserve">)</w:t>
      </w:r>
      <w:r>
        <w:t xml:space="preserve">. Low concentrations of ammonia after April may be explained by quick uptake by the initial diatom bloom, where total nitrogen that included organic sources were at high concentrations through April and again peaking in July. Variation in observed concentrations of nutrients is complex given that high concentrations may suggest availability to support phytoplankton growth, whereas low concentrations may imply cycling of available nitrogen in organic forms already utilized by different taxa, including macroalgae</w:t>
      </w:r>
      <w:r>
        <w:t xml:space="preserve"> </w:t>
      </w:r>
      <w:r>
        <w:t xml:space="preserve">(</w:t>
      </w:r>
      <w:hyperlink w:anchor="ref-Cohen06">
        <w:r>
          <w:rPr>
            <w:rStyle w:val="Hyperlink"/>
          </w:rPr>
          <w:t xml:space="preserve">Cohen and Fong, 2006</w:t>
        </w:r>
      </w:hyperlink>
      <w:r>
        <w:t xml:space="preserve">;</w:t>
      </w:r>
      <w:r>
        <w:t xml:space="preserve"> </w:t>
      </w:r>
      <w:hyperlink w:anchor="ref-Valiela97">
        <w:r>
          <w:rPr>
            <w:rStyle w:val="Hyperlink"/>
          </w:rPr>
          <w:t xml:space="preserve">Valiela et al., 1997</w:t>
        </w:r>
      </w:hyperlink>
      <w:r>
        <w:t xml:space="preserve">)</w:t>
      </w:r>
      <w:r>
        <w:t xml:space="preserve">.</w:t>
      </w:r>
    </w:p>
    <w:p>
      <w:pPr>
        <w:pStyle w:val="BodyText"/>
      </w:pPr>
      <w:r>
        <w:t xml:space="preserve">From a seagrass perspective, both major bloom events contributed to a reduction in water clarity and less light availability during the summer 2021 in comparison to prior years. Future effects on seagrass persistence in this region of Tampa Bay are unknown at this time, but monitoring continues. Changes in frequency occurrence of seagrasses and associations with water quality and macroalgae were ambiguous and not readily apparent over the initial 4 month sampling period. Evaluations of frequency occurrence across months showed no changes, although correlations with water quality and macroalgae can be explained with some certainty. Spatially, transects closer to the mouth of Tampa Bay and extending to the northern portion of Sarasota Bay (area 3) had higher frequency occurrence of turtle grass and lower frequency of shoal grass. This reflects a natural partitioning of the species along a salinity gradient</w:t>
      </w:r>
      <w:r>
        <w:t xml:space="preserve"> </w:t>
      </w:r>
      <w:r>
        <w:t xml:space="preserve">(Figure</w:t>
      </w:r>
      <w:r>
        <w:t xml:space="preserve"> </w:t>
      </w:r>
      <w:r>
        <w:t xml:space="preserve">7</w:t>
      </w:r>
      <w:r>
        <w:t xml:space="preserve">,</w:t>
      </w:r>
      <w:r>
        <w:t xml:space="preserve"> </w:t>
      </w:r>
      <w:hyperlink w:anchor="ref-Sherwood17">
        <w:r>
          <w:rPr>
            <w:rStyle w:val="Hyperlink"/>
          </w:rPr>
          <w:t xml:space="preserve">Sherwood et al., 2017</w:t>
        </w:r>
      </w:hyperlink>
      <w:r>
        <w:t xml:space="preserve">)</w:t>
      </w:r>
      <w:r>
        <w:t xml:space="preserve">. Correlations between macroalgae and seagrasses can also be explained by spatial differences along a depth gradient. Frequency occurrences of both shoal grass and turtle grass were negatively associated with manatee grass. Shoal grass and turtle grass generally grow at more shallow depths than manatee grass and are often exposed during low tides. As an adaptive mechanism to varying water levels at shallower depths, blades of shoal grass and turtle grass can</w:t>
      </w:r>
      <w:r>
        <w:t xml:space="preserve"> </w:t>
      </w:r>
      <w:r>
        <w:t xml:space="preserve">“</w:t>
      </w:r>
      <w:r>
        <w:t xml:space="preserve">lay down</w:t>
      </w:r>
      <w:r>
        <w:t xml:space="preserve">”</w:t>
      </w:r>
      <w:r>
        <w:t xml:space="preserve"> </w:t>
      </w:r>
      <w:r>
        <w:t xml:space="preserve">during low tide to minimize desiccation stress. Manatee grass has thicker, cylindrical blades that are more rigid and, as a result, the species grows deeper. In addition to species depth partitioning, these associations may also reflect natural variation in seagrass response to water clarity gradients along the main axis of Tampa Bay. Shoal grass can occur in more turbid waters of oligohaline areas.</w:t>
      </w:r>
    </w:p>
    <w:p>
      <w:pPr>
        <w:pStyle w:val="BodyText"/>
      </w:pPr>
      <w:r>
        <w:t xml:space="preserve">Macroalgae trends across the study period were much more dramatic than the subtle differences observed in the seagrass community. This was expected given both the documented changes from past releases from Piney Point and the more rapid response of macroalgae to changing water quality conditions relative to seagrasses</w:t>
      </w:r>
      <w:r>
        <w:t xml:space="preserve"> </w:t>
      </w:r>
      <w:r>
        <w:t xml:space="preserve">(</w:t>
      </w:r>
      <w:hyperlink w:anchor="ref-Valiela97">
        <w:r>
          <w:rPr>
            <w:rStyle w:val="Hyperlink"/>
          </w:rPr>
          <w:t xml:space="preserve">Valiela et al., 1997</w:t>
        </w:r>
      </w:hyperlink>
      <w:r>
        <w:t xml:space="preserve">)</w:t>
      </w:r>
      <w:r>
        <w:t xml:space="preserve">. In Tampa Bay, red macroalgae groups (e.g.,</w:t>
      </w:r>
      <w:r>
        <w:t xml:space="preserve"> </w:t>
      </w:r>
      <w:r>
        <w:rPr>
          <w:iCs/>
          <w:i/>
        </w:rPr>
        <w:t xml:space="preserve">Gracilaria spp.</w:t>
      </w:r>
      <w:r>
        <w:t xml:space="preserve">,</w:t>
      </w:r>
      <w:r>
        <w:t xml:space="preserve"> </w:t>
      </w:r>
      <w:r>
        <w:rPr>
          <w:iCs/>
          <w:i/>
        </w:rPr>
        <w:t xml:space="preserve">Acanthophora sp.</w:t>
      </w:r>
      <w:r>
        <w:t xml:space="preserve">) are more common than green macroalgae (e.g.,</w:t>
      </w:r>
      <w:r>
        <w:t xml:space="preserve"> </w:t>
      </w:r>
      <w:r>
        <w:rPr>
          <w:iCs/>
          <w:i/>
        </w:rPr>
        <w:t xml:space="preserve">Ulva spp.</w:t>
      </w:r>
      <w:r>
        <w:t xml:space="preserve">,</w:t>
      </w:r>
      <w:r>
        <w:t xml:space="preserve"> </w:t>
      </w:r>
      <w:r>
        <w:rPr>
          <w:iCs/>
          <w:i/>
        </w:rPr>
        <w:t xml:space="preserve">Caulerpa spp.</w:t>
      </w:r>
      <w:r>
        <w:t xml:space="preserve">) and seasonally occur earlier in the growing season. The dominance of the red groups early in the summer followed by an increase in</w:t>
      </w:r>
      <w:r>
        <w:t xml:space="preserve"> </w:t>
      </w:r>
      <w:r>
        <w:rPr>
          <w:iCs/>
          <w:i/>
        </w:rPr>
        <w:t xml:space="preserve">Ulva spp.</w:t>
      </w:r>
      <w:r>
        <w:t xml:space="preserve"> </w:t>
      </w:r>
      <w:r>
        <w:t xml:space="preserve">likely reflects a natural phenology in Tampa Bay. Past spill events were associated with an increase in both red and green macroalgae in a small embayment of Tampa Bay</w:t>
      </w:r>
      <w:r>
        <w:t xml:space="preserve"> </w:t>
      </w:r>
      <w:r>
        <w:t xml:space="preserve">(</w:t>
      </w:r>
      <w:hyperlink w:anchor="ref-Switzer11">
        <w:r>
          <w:rPr>
            <w:rStyle w:val="Hyperlink"/>
          </w:rPr>
          <w:t xml:space="preserve">Switzer et al., 2011</w:t>
        </w:r>
      </w:hyperlink>
      <w:r>
        <w:t xml:space="preserve">)</w:t>
      </w:r>
      <w:r>
        <w:t xml:space="preserve">. Thus, it is unclear if the trend from red to green macroalgae reflects a seasonal change or a shift to more eutrophic conditions at nearshore sites stimulated by wastewater release. A clear difference in the macroalgae community in 2021 compared to recent prior years was a high abundance of cyanobacteria macroalgae (i.e.,</w:t>
      </w:r>
      <w:r>
        <w:t xml:space="preserve"> </w:t>
      </w:r>
      <w:r>
        <w:rPr>
          <w:iCs/>
          <w:i/>
        </w:rPr>
        <w:t xml:space="preserve">Dapis sp.</w:t>
      </w:r>
      <w:r>
        <w:t xml:space="preserve">). Although cyanobacteria are observed in routine monitoring of seagrass transects in Tampa Bay, unusually high abundances of</w:t>
      </w:r>
      <w:r>
        <w:t xml:space="preserve"> </w:t>
      </w:r>
      <w:r>
        <w:rPr>
          <w:iCs/>
          <w:i/>
        </w:rPr>
        <w:t xml:space="preserve">Dapis sp.</w:t>
      </w:r>
      <w:r>
        <w:t xml:space="preserve"> </w:t>
      </w:r>
      <w:r>
        <w:t xml:space="preserve">in Anna Maria Sound and near Port Manatee were observed in 2021. The long-term effects of these blooms are uncertain, whereas the correlation of cyanobacteria with the different macroalgae groups and seagrass species may be partially explained by depth variation and a seasonal change in species dominance.</w:t>
      </w:r>
      <w:r>
        <w:t xml:space="preserve"> </w:t>
      </w:r>
      <w:r>
        <w:rPr>
          <w:iCs/>
          <w:i/>
        </w:rPr>
        <w:t xml:space="preserve">Dapis sp</w:t>
      </w:r>
      <w:r>
        <w:t xml:space="preserve"> </w:t>
      </w:r>
      <w:r>
        <w:t xml:space="preserve">were commonly observed at depth and entangled in blades of manatee grass (positive correlation in Figure</w:t>
      </w:r>
      <w:r>
        <w:t xml:space="preserve"> </w:t>
      </w:r>
      <w:r>
        <w:t xml:space="preserve">8</w:t>
      </w:r>
      <w:r>
        <w:t xml:space="preserve">), whereas floating mats closer to shore were also observed and likely driven by currents or winds moving the macroalgae away from the point of origin.</w:t>
      </w:r>
    </w:p>
    <w:p>
      <w:pPr>
        <w:pStyle w:val="BodyText"/>
      </w:pPr>
      <w:r>
        <w:t xml:space="preserve">The long-term effects of the Piney Point discharge on the seagrass community remains uncertain. Regionally, seagrasses have declined in coverage as estimated from biennial maps provided by the Southwest Florida Water Management District. From 2018 to 2020, seagrass coverage declined by 16% in Tampa Bay, with similar losses observed in Sarasota Bay (18%), Lemon Bay (12%), and Charlotte Harbor (23%) to the south. These broader trends suggest regional drivers are affecting seagrass communities (e.g., variation in precipitation), yet local issues specific to individual bays also pose challenges to managing water quality and subtidal habitats. Recent seagrass losses in Sarasota Bay may be linked to decreased light availability from a persistent red time bloom in 2018. Although the 2021 bloom in Tampa Bay was short-lived, potential effects on seagrasses remain a concern. Ecosystem shifts from seagrass to macroalgae dominated communities are also a concern, both in 2021 and as observed at some locations in recent years from the annual transect monitoring results for Tampa Bay. In particular, increasing abundance in recent years of the green algae</w:t>
      </w:r>
      <w:r>
        <w:t xml:space="preserve"> </w:t>
      </w:r>
      <w:r>
        <w:rPr>
          <w:iCs/>
          <w:i/>
        </w:rPr>
        <w:t xml:space="preserve">Caulerpa sp.</w:t>
      </w:r>
      <w:r>
        <w:t xml:space="preserve"> </w:t>
      </w:r>
      <w:r>
        <w:t xml:space="preserve">has been observed at long-term transects that were previously dominated by seagrass. The causes of these shifts have yet to be identified, nor is the ecological value known for habitat and water quality. General consensus among local managers is that</w:t>
      </w:r>
      <w:r>
        <w:t xml:space="preserve"> </w:t>
      </w:r>
      <w:r>
        <w:rPr>
          <w:iCs/>
          <w:i/>
        </w:rPr>
        <w:t xml:space="preserve">Caulerpa</w:t>
      </w:r>
      <w:r>
        <w:t xml:space="preserve"> </w:t>
      </w:r>
      <w:r>
        <w:t xml:space="preserve">may provide some ecological value over bare substrate, but it may be indicative of broader ecosystem changes concurrent with alteration of nutrient loads or system resilience at the expense of seagrass communities</w:t>
      </w:r>
      <w:r>
        <w:t xml:space="preserve"> </w:t>
      </w:r>
      <w:r>
        <w:t xml:space="preserve">(</w:t>
      </w:r>
      <w:hyperlink w:anchor="ref-Lloret05">
        <w:r>
          <w:rPr>
            <w:rStyle w:val="Hyperlink"/>
          </w:rPr>
          <w:t xml:space="preserve">Lloret et al., 2005</w:t>
        </w:r>
      </w:hyperlink>
      <w:r>
        <w:t xml:space="preserve">;</w:t>
      </w:r>
      <w:r>
        <w:t xml:space="preserve"> </w:t>
      </w:r>
      <w:hyperlink w:anchor="ref-Stafford06">
        <w:r>
          <w:rPr>
            <w:rStyle w:val="Hyperlink"/>
          </w:rPr>
          <w:t xml:space="preserve">Stafford and Bell, 2006</w:t>
        </w:r>
      </w:hyperlink>
      <w:r>
        <w:t xml:space="preserve">)</w:t>
      </w:r>
      <w:r>
        <w:t xml:space="preserve">. Acute stressors from short-term events, such as wastewater release from Piney Point, create additional and often preventable challenges in the context of broader issues affecting ecosystem health and restoration activities.</w:t>
      </w:r>
    </w:p>
    <w:p>
      <w:pPr>
        <w:pStyle w:val="BodyText"/>
      </w:pPr>
      <w:r>
        <w:t xml:space="preserve">Fisheries resources were undoubtedly impacted by</w:t>
      </w:r>
      <w:r>
        <w:t xml:space="preserve"> </w:t>
      </w:r>
      <w:r>
        <w:rPr>
          <w:iCs/>
          <w:i/>
        </w:rPr>
        <w:t xml:space="preserve">K. brevis</w:t>
      </w:r>
      <w:r>
        <w:t xml:space="preserve"> </w:t>
      </w:r>
      <w:r>
        <w:t xml:space="preserve">blooms in June and July (Figure</w:t>
      </w:r>
      <w:r>
        <w:t xml:space="preserve"> </w:t>
      </w:r>
      <w:r>
        <w:t xml:space="preserve">9</w:t>
      </w:r>
      <w:r>
        <w:t xml:space="preserve">). Quantitative data on changes in nekton abundance and diversity in Tampa Bay in 2021 are forthcoming. Routine sampling by the FWC Fisheries Independent Monitoring Program occurs monthly in Tampa Bay and a long-term record back to 1998 provides detailed information for the major bay segments. Results from the Tampa Bay Nekton Index showed a decline in fisheries resources following a significant red tide event in lower Tampa Bay in 2005</w:t>
      </w:r>
      <w:r>
        <w:t xml:space="preserve"> </w:t>
      </w:r>
      <w:r>
        <w:t xml:space="preserve">(</w:t>
      </w:r>
      <w:hyperlink w:anchor="ref-Flaherty11">
        <w:r>
          <w:rPr>
            <w:rStyle w:val="Hyperlink"/>
          </w:rPr>
          <w:t xml:space="preserve">Flaherty and Landsberg, 2011</w:t>
        </w:r>
      </w:hyperlink>
      <w:r>
        <w:t xml:space="preserve">;</w:t>
      </w:r>
      <w:r>
        <w:t xml:space="preserve"> </w:t>
      </w:r>
      <w:hyperlink w:anchor="ref-Schrandt21">
        <w:r>
          <w:rPr>
            <w:rStyle w:val="Hyperlink"/>
          </w:rPr>
          <w:t xml:space="preserve">Schrandt et al., 2021</w:t>
        </w:r>
      </w:hyperlink>
      <w:r>
        <w:t xml:space="preserve">)</w:t>
      </w:r>
      <w:r>
        <w:t xml:space="preserve">. Given the observed</w:t>
      </w:r>
      <w:r>
        <w:t xml:space="preserve"> </w:t>
      </w:r>
      <w:r>
        <w:rPr>
          <w:iCs/>
          <w:i/>
        </w:rPr>
        <w:t xml:space="preserve">K. brevis</w:t>
      </w:r>
      <w:r>
        <w:t xml:space="preserve"> </w:t>
      </w:r>
      <w:r>
        <w:t xml:space="preserve">concentrations in 2021 and the magnitude of fish kills, restrictions for catch and release only for popular sportfishes (</w:t>
      </w:r>
      <w:r>
        <w:rPr>
          <w:iCs/>
          <w:i/>
        </w:rPr>
        <w:t xml:space="preserve">Sciaenops ocellatus</w:t>
      </w:r>
      <w:r>
        <w:t xml:space="preserve">,</w:t>
      </w:r>
      <w:r>
        <w:t xml:space="preserve"> </w:t>
      </w:r>
      <w:r>
        <w:rPr>
          <w:iCs/>
          <w:i/>
        </w:rPr>
        <w:t xml:space="preserve">Cynoscion nebulosus</w:t>
      </w:r>
      <w:r>
        <w:t xml:space="preserve">, and</w:t>
      </w:r>
      <w:r>
        <w:t xml:space="preserve"> </w:t>
      </w:r>
      <w:r>
        <w:rPr>
          <w:iCs/>
          <w:i/>
        </w:rPr>
        <w:t xml:space="preserve">Centropomus undecimalis</w:t>
      </w:r>
      <w:r>
        <w:t xml:space="preserve">) have been extended through the fall. For past Piney Point events,</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evaluated nekton communities in Bishop Harbor from November 2003 to October 2004 following discharge to the subembayment. Fish community structure and species composition did not differ compared to a pre-impact period, although bloom concentrations of HAB species (</w:t>
      </w:r>
      <w:r>
        <w:rPr>
          <w:iCs/>
          <w:i/>
        </w:rPr>
        <w:t xml:space="preserve">Prorocentrum minimum</w:t>
      </w:r>
      <w:r>
        <w:t xml:space="preserve">,</w:t>
      </w:r>
      <w:r>
        <w:t xml:space="preserve"> </w:t>
      </w:r>
      <w:r>
        <w:rPr>
          <w:iCs/>
          <w:i/>
        </w:rPr>
        <w:t xml:space="preserve">Heterosigma akashiwo</w:t>
      </w:r>
      <w:r>
        <w:t xml:space="preserve">), including</w:t>
      </w:r>
      <w:r>
        <w:t xml:space="preserve"> </w:t>
      </w:r>
      <w:r>
        <w:rPr>
          <w:iCs/>
          <w:i/>
        </w:rPr>
        <w:t xml:space="preserve">K. brevis</w:t>
      </w:r>
      <w:r>
        <w:t xml:space="preserve"> </w:t>
      </w:r>
      <w:r>
        <w:t xml:space="preserve">and diatoms, were observed in Bishop Harbor during this time</w:t>
      </w:r>
      <w:r>
        <w:t xml:space="preserve"> </w:t>
      </w:r>
      <w:r>
        <w:t xml:space="preserve">(</w:t>
      </w:r>
      <w:hyperlink w:anchor="ref-Garrett11">
        <w:r>
          <w:rPr>
            <w:rStyle w:val="Hyperlink"/>
          </w:rPr>
          <w:t xml:space="preserve">Garrett et al., 2011</w:t>
        </w:r>
      </w:hyperlink>
      <w:r>
        <w:t xml:space="preserve">)</w:t>
      </w:r>
      <w:r>
        <w:t xml:space="preserve">.</w:t>
      </w:r>
    </w:p>
    <w:p>
      <w:pPr>
        <w:pStyle w:val="BodyText"/>
      </w:pPr>
      <w:r>
        <w:t xml:space="preserve">Additional monitoring and analysis is also required to fully understand the long-term impacts to bay resources beyond water quality. For benthic communities, sediments were sampled in April during the discharge near Port Manatee and surrounding waters. These samples were used to calculate scores for the Tampa Bay Benthic Index (TBBI) as a measure of the ecological health of the benthos</w:t>
      </w:r>
      <w:r>
        <w:t xml:space="preserve"> </w:t>
      </w:r>
      <w:r>
        <w:t xml:space="preserve">(</w:t>
      </w:r>
      <w:hyperlink w:anchor="ref-tbep0106">
        <w:r>
          <w:rPr>
            <w:rStyle w:val="Hyperlink"/>
          </w:rPr>
          <w:t xml:space="preserve">Wade et al., 2006</w:t>
        </w:r>
      </w:hyperlink>
      <w:r>
        <w:t xml:space="preserve">)</w:t>
      </w:r>
      <w:r>
        <w:t xml:space="preserve">. Similar to other reporting tools for Tampa Bay, the TBBI categorizes sediment samples into</w:t>
      </w:r>
      <w:r>
        <w:t xml:space="preserve"> </w:t>
      </w:r>
      <w:r>
        <w:t xml:space="preserve">“</w:t>
      </w:r>
      <w:r>
        <w:t xml:space="preserve">good,</w:t>
      </w:r>
      <w:r>
        <w:t xml:space="preserve">”</w:t>
      </w:r>
      <w:r>
        <w:t xml:space="preserve"> </w:t>
      </w:r>
      <w:r>
        <w:t xml:space="preserve">“</w:t>
      </w:r>
      <w:r>
        <w:t xml:space="preserve">fair,</w:t>
      </w:r>
      <w:r>
        <w:t xml:space="preserve">”</w:t>
      </w:r>
      <w:r>
        <w:t xml:space="preserve"> </w:t>
      </w:r>
      <w:r>
        <w:t xml:space="preserve">and</w:t>
      </w:r>
      <w:r>
        <w:t xml:space="preserve"> </w:t>
      </w:r>
      <w:r>
        <w:t xml:space="preserve">“</w:t>
      </w:r>
      <w:r>
        <w:t xml:space="preserve">poor</w:t>
      </w:r>
      <w:r>
        <w:t xml:space="preserve">”</w:t>
      </w:r>
      <w:r>
        <w:t xml:space="preserve"> </w:t>
      </w:r>
      <w:r>
        <w:t xml:space="preserve">as a qualitative summary of enumerated taxonomic data that can support management decisions. Results suggested a mix of conditions dominated by</w:t>
      </w:r>
      <w:r>
        <w:t xml:space="preserve"> </w:t>
      </w:r>
      <w:r>
        <w:t xml:space="preserve">“</w:t>
      </w:r>
      <w:r>
        <w:t xml:space="preserve">fair</w:t>
      </w:r>
      <w:r>
        <w:t xml:space="preserve">”</w:t>
      </w:r>
      <w:r>
        <w:t xml:space="preserve"> </w:t>
      </w:r>
      <w:r>
        <w:t xml:space="preserve">and</w:t>
      </w:r>
      <w:r>
        <w:t xml:space="preserve"> </w:t>
      </w:r>
      <w:r>
        <w:t xml:space="preserve">“</w:t>
      </w:r>
      <w:r>
        <w:t xml:space="preserve">good</w:t>
      </w:r>
      <w:r>
        <w:t xml:space="preserve">”</w:t>
      </w:r>
      <w:r>
        <w:t xml:space="preserve"> </w:t>
      </w:r>
      <w:r>
        <w:t xml:space="preserve">samples, possibly reflecting the high spatial variability of macroinvertebrate communities in coastal habitats</w:t>
      </w:r>
      <w:r>
        <w:t xml:space="preserve"> </w:t>
      </w:r>
      <w:r>
        <w:t xml:space="preserve">(</w:t>
      </w:r>
      <w:hyperlink w:anchor="ref-Gillett21">
        <w:r>
          <w:rPr>
            <w:rStyle w:val="Hyperlink"/>
          </w:rPr>
          <w:t xml:space="preserve">Gillett et al., 2021</w:t>
        </w:r>
      </w:hyperlink>
      <w:r>
        <w:t xml:space="preserve">;</w:t>
      </w:r>
      <w:r>
        <w:t xml:space="preserve"> </w:t>
      </w:r>
      <w:hyperlink w:anchor="ref-tbep0620">
        <w:r>
          <w:rPr>
            <w:rStyle w:val="Hyperlink"/>
          </w:rPr>
          <w:t xml:space="preserve">Karlen et al., 2020</w:t>
        </w:r>
      </w:hyperlink>
      <w:r>
        <w:t xml:space="preserve">)</w:t>
      </w:r>
      <w:r>
        <w:t xml:space="preserve">. Comparison of the initial 2021 samples to historical benthic conditions suggested relatively consistent sediment quality from 1993 to present (</w:t>
      </w:r>
      <w:hyperlink r:id="rId63">
        <w:r>
          <w:rPr>
            <w:rStyle w:val="Hyperlink"/>
          </w:rPr>
          <w:t xml:space="preserve">unpublished results</w:t>
        </w:r>
      </w:hyperlink>
      <w:r>
        <w:t xml:space="preserve">). Additional sampling is planned later at the same sites surveyed in April to further assess potential impacts of Piney Point on sediment quality. Finally, effects of changing environmental conditions and red tide on marine mammals (e.g., cetaceans, sirenians) was also a concern given their use of bay resources within the broader distribution of these species. Twenty preliminary manatee (</w:t>
      </w:r>
      <w:r>
        <w:rPr>
          <w:iCs/>
          <w:i/>
        </w:rPr>
        <w:t xml:space="preserve">Trichechus manatus latirostris</w:t>
      </w:r>
      <w:r>
        <w:t xml:space="preserve">) mortalities were</w:t>
      </w:r>
      <w:r>
        <w:t xml:space="preserve"> </w:t>
      </w:r>
      <w:hyperlink r:id="rId64">
        <w:r>
          <w:rPr>
            <w:rStyle w:val="Hyperlink"/>
          </w:rPr>
          <w:t xml:space="preserve">reported</w:t>
        </w:r>
      </w:hyperlink>
      <w:r>
        <w:t xml:space="preserve"> </w:t>
      </w:r>
      <w:r>
        <w:t xml:space="preserve">in the red tide boundary of the impacted counties of Tampa Bay through August 2021. This is of particular concern given the recent</w:t>
      </w:r>
      <w:r>
        <w:t xml:space="preserve"> </w:t>
      </w:r>
      <w:hyperlink r:id="rId65">
        <w:r>
          <w:rPr>
            <w:rStyle w:val="Hyperlink"/>
          </w:rPr>
          <w:t xml:space="preserve">unusual mortality events</w:t>
        </w:r>
      </w:hyperlink>
      <w:r>
        <w:t xml:space="preserve"> </w:t>
      </w:r>
      <w:r>
        <w:t xml:space="preserve">for Florida manatees that is likely linked to seagrass losses on the east coast of Florida (e.g., Indian River Lagoon) and current seagrass losses for southwest Florida.</w:t>
      </w:r>
    </w:p>
    <w:p>
      <w:pPr>
        <w:pStyle w:val="BodyText"/>
      </w:pPr>
      <w:r>
        <w:t xml:space="preserve">Compared to past events, the 2021 event differed from previous releases to the bay in that effluent was discharged directly to lower Tampa Bay instead of through channels, rivers or other back-bay habitats (e.g., Alafia River and Bishop Harbor). The comparison to past years provided a stark contrast of the effect of wastewater discharge location that is specific to Tampa Bay, but can inform understanding of pollutant dispersal and its impacts on different habitats that varies spatially and throughout the water column. The Tampa Bay Coastal Ocean Model</w:t>
      </w:r>
      <w:r>
        <w:t xml:space="preserve"> </w:t>
      </w:r>
      <w:r>
        <w:t xml:space="preserve">(</w:t>
      </w:r>
      <w:hyperlink w:anchor="ref-Chen19">
        <w:r>
          <w:rPr>
            <w:rStyle w:val="Hyperlink"/>
          </w:rPr>
          <w:t xml:space="preserve">Chen et al., 2019</w:t>
        </w:r>
      </w:hyperlink>
      <w:r>
        <w:t xml:space="preserve">)</w:t>
      </w:r>
      <w:r>
        <w:t xml:space="preserve"> </w:t>
      </w:r>
      <w:r>
        <w:t xml:space="preserve">was used to simulate daily tracer particle movement and expected dilution of nutrient concentrations from the point of discharge. Although these results were initially used to inform monitoring locations, the model suggested that the effluent was widespread throughout the bay and persisted for many months after the discharge ceased at Port Manatee. Plume dispersal also suggested that both open-water and back-bay habitats were exposed to nutrient concentrations sufficient to stimulate phytoplankton production. Although simulated particle tracking showed that nutrient dilution occurred rapidly on the order of 10- to 100-fold in a few days, concentrations were considered biologically relevant given the initial concentrations of labile inorganic nitrogen forms from stack effluent (Table</w:t>
      </w:r>
      <w:r>
        <w:t xml:space="preserve"> </w:t>
      </w:r>
      <w:r>
        <w:t xml:space="preserve">1</w:t>
      </w:r>
      <w:r>
        <w:t xml:space="preserve">) relative to background concentrations for the bay (Table</w:t>
      </w:r>
      <w:r>
        <w:t xml:space="preserve"> </w:t>
      </w:r>
      <w:r>
        <w:t xml:space="preserve">2</w:t>
      </w:r>
      <w:r>
        <w:t xml:space="preserve">).</w:t>
      </w:r>
    </w:p>
    <w:p>
      <w:pPr>
        <w:pStyle w:val="BodyText"/>
      </w:pPr>
      <w:r>
        <w:t xml:space="preserve">In the broader context of mining impacts to surface waters, the results herein reinforce the understanding that legacy pollutants from phosphate mining represent a serious threat to environmental resources. In addition to the previous studies and reports for Tampa Bay</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other Gulf Coast estuaries have also been affected by gypstack release. Grand Bay is a 7500 hectare protected area in southern Mississippi that has been exposed to phosphorus-rich and highly acidic wastewater release from a defunct gypstack</w:t>
      </w:r>
      <w:r>
        <w:t xml:space="preserve"> </w:t>
      </w:r>
      <w:r>
        <w:t xml:space="preserve">(</w:t>
      </w:r>
      <w:hyperlink w:anchor="ref-Beck18b">
        <w:r>
          <w:rPr>
            <w:rStyle w:val="Hyperlink"/>
          </w:rPr>
          <w:t xml:space="preserve">Beck et al., 2018a</w:t>
        </w:r>
      </w:hyperlink>
      <w:r>
        <w:t xml:space="preserve">;</w:t>
      </w:r>
      <w:r>
        <w:t xml:space="preserve"> </w:t>
      </w:r>
      <w:hyperlink w:anchor="ref-Dillon15">
        <w:r>
          <w:rPr>
            <w:rStyle w:val="Hyperlink"/>
          </w:rPr>
          <w:t xml:space="preserve">Dillon et al., 2015</w:t>
        </w:r>
      </w:hyperlink>
      <w:r>
        <w:t xml:space="preserve">)</w:t>
      </w:r>
      <w:r>
        <w:t xml:space="preserve">. The first spill event in 2005 occurred following failure of the retaining walls after a heavy rain event and the second event in 2012 occurred after passage of Hurricane Isaac when the holding capacity of the gypstack was exceeded again with heavy rainfall. Massive fish kills were observed and likely related to low pH of the effluent. Unlike Piney Point, inorganic nitrogen concentrations of the effluent were low and concerns of the long-term impacts focused primarily on heavy loads of orthophosphate</w:t>
      </w:r>
      <w:r>
        <w:t xml:space="preserve"> </w:t>
      </w:r>
      <w:r>
        <w:t xml:space="preserve">(</w:t>
      </w:r>
      <w:hyperlink w:anchor="ref-Dillon15">
        <w:r>
          <w:rPr>
            <w:rStyle w:val="Hyperlink"/>
          </w:rPr>
          <w:t xml:space="preserve">Dillon et al., 2015</w:t>
        </w:r>
      </w:hyperlink>
      <w:r>
        <w:t xml:space="preserve">)</w:t>
      </w:r>
      <w:r>
        <w:t xml:space="preserve">. Regardless, the historical context of Grand Bay is similar to Piney Point and other international examples, e.g., Huelva estuary in Spain</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Legacy wastewater from fertilizer production has been poorly maintained at some facilities and long-term plans are insufficient to safely dispose of remnant pollutants that can significantly affect coastal resources. These are not isolated examples and enhanced regulatory oversight is needed to safely and effectively close these types of facilities.</w:t>
      </w:r>
    </w:p>
    <w:p>
      <w:pPr>
        <w:pStyle w:val="BodyText"/>
      </w:pPr>
      <w:r>
        <w:t xml:space="preserve">Limitations of our analyses are also important to note to inform future event-based monitoring and additional research to fully understand acute, short-term threats to the sustained recovery of Tampa Bay. All of the analyses are correlative based on associations between the measured water quality observations, macroalgae, and seagrass results and, as a result, may not represent explicit cause and effect mechanisms. However, the interpretations are supported by previous research on drivers of primary production and eutrophication of coastal waters. The weight of evidence that 2021 is an anomaly relative to recent prior years provides further justification that our interpretation of results is within the limits of what would be expected by more mechanistic descriptions of the effects of large nutrient pulses to Tampa Bay. Additional data to support these results could include explicit load-based estimates for all sources entering the bay through 2021 and these estimates are forthcoming. Laboratory-based methods, such as isotopic analyses of nutrient signatures found in biological tissues (e.g., macroalgae) compared to those from the wastewater, could provide a more comprehensive description of the recycling and fate of nitrogen from Piney Point. There may likely never be a definitive link, but this is not necessary to support future actions that ensure that the continued threats of these facilities to the health of coastal resources are mitigated through collaborative efforts by local, regional, and state partners. These efforts are critical to managing the health of Tampa Bay given past successes and the need to address ongoing threats of climate change, population growth, habitat loss, episodic weather events, and recurring pollutant sources to the bay.</w:t>
      </w:r>
    </w:p>
    <w:bookmarkEnd w:id="66"/>
    <w:bookmarkStart w:id="67" w:name="acknowledgments"/>
    <w:p>
      <w:pPr>
        <w:pStyle w:val="Heading1"/>
      </w:pPr>
      <w:r>
        <w:t xml:space="preserve">Acknowledgments</w:t>
      </w:r>
    </w:p>
    <w:p>
      <w:pPr>
        <w:pStyle w:val="FirstParagraph"/>
      </w:pPr>
      <w:r>
        <w:t xml:space="preserve">We thank the many TBEP partners and collaborators for their continuing efforts to restore and monitor Tampa Bay. We thank the administrative staff, field crews, and laboratory staff from the Florida Department of Environmental Protection, Environmental Protection Commission of Hillsborough County, Parks and Natural Resources Department of Manatee County, Pinellas County Division of Environmental Management, Fish and Wildlife Research Institute of the Florida Fish and Wildlife Conservation Commission, City of St. Petersburg, Sarasota Bay Estuary Program, Environmental Science Associates, University of South Florida, University of Florida, and New College of Florida. The progress achieved in restoring the Tampa Bay ecosystem over recent decades would not be possible without the collaborative partnerships fostered in the region. Our partners’ willingness to adapt and implement innovative monitoring and management actions in response to Piney Point and the ever evolving challenges threatening Tampa Bay is greatly appreciated.</w:t>
      </w:r>
    </w:p>
    <w:bookmarkEnd w:id="67"/>
    <w:bookmarkStart w:id="79" w:name="figures"/>
    <w:p>
      <w:pPr>
        <w:pStyle w:val="Heading1"/>
      </w:pPr>
      <w:r>
        <w:t xml:space="preserve">Figures</w:t>
      </w:r>
    </w:p>
    <w:p>
      <w:pPr>
        <w:pStyle w:val="CaptionedFigure"/>
      </w:pPr>
      <w:r>
        <w:drawing>
          <wp:inline>
            <wp:extent cx="5943600" cy="2773679"/>
            <wp:effectExtent b="0" l="0" r="0" t="0"/>
            <wp:docPr descr="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68"/>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ar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69"/>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March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 1a). Values below detection limits (or secchi on bottom) are not shown."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70"/>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w:t>
      </w:r>
      <w:r>
        <w:t xml:space="preserve"> </w:t>
      </w:r>
      <w:r>
        <w:t xml:space="preserve">1</w:t>
      </w:r>
      <w:r>
        <w:t xml:space="preserve">a). Values below detection limits (or secchi on bottom) are not shown.</w:t>
      </w:r>
    </w:p>
    <w:p>
      <w:pPr>
        <w:pStyle w:val="CaptionedFigure"/>
      </w:pPr>
      <w:r>
        <w:drawing>
          <wp:inline>
            <wp:extent cx="5943600" cy="4195482"/>
            <wp:effectExtent b="0" l="0" r="0" t="0"/>
            <wp:docPr descr="Figure 4: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Values below detection limits (or secchi on bottom) are not shown."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71"/>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discharge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w:t>
      </w:r>
      <w:r>
        <w:t xml:space="preserve"> </w:t>
      </w:r>
      <w:r>
        <w:t xml:space="preserve">1</w:t>
      </w:r>
      <w:r>
        <w:t xml:space="preserve">a). Values below detection limits (or secchi on bottom) are not shown.</w:t>
      </w:r>
    </w:p>
    <w:p>
      <w:pPr>
        <w:pStyle w:val="CaptionedFigure"/>
      </w:pPr>
      <w:r>
        <w:drawing>
          <wp:inline>
            <wp:extent cx="5943600" cy="5200650"/>
            <wp:effectExtent b="0" l="0" r="0" t="0"/>
            <wp:docPr descr="Figure 5: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Dapis sp. (cyanobacteria) peaking in June and green macroalgae (Ulva sp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72"/>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5: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Dapis sp.</w:t>
      </w:r>
      <w:r>
        <w:t xml:space="preserve"> </w:t>
      </w:r>
      <w:r>
        <w:t xml:space="preserve">(cyanobacteria) peaking in June and green macroalgae (</w:t>
      </w:r>
      <w:r>
        <w:rPr>
          <w:iCs/>
          <w:i/>
        </w:rPr>
        <w:t xml:space="preserve">Ulva spp.</w:t>
      </w:r>
      <w:r>
        <w:t xml:space="preserve">) increasing in July. Abundances are Braun-Blanquet coverage estimates.</w:t>
      </w:r>
    </w:p>
    <w:p>
      <w:pPr>
        <w:pStyle w:val="CaptionedFigure"/>
      </w:pPr>
      <w:r>
        <w:drawing>
          <wp:inline>
            <wp:extent cx="5943600" cy="4457700"/>
            <wp:effectExtent b="0" l="0" r="0" t="0"/>
            <wp:docPr descr="Figure 6: Frequency occurrence estimates for (a) area 1 and (b) area 3 (Figure 1a) for seagrass (top) and macroalgae (bottom) rapid response transect surveys across all transects (n = 38) near Piney Point. Estimates are grouped by sample months in 2021. Frequency occurrences are absolute for each taxa based on presence/absence, whereas the total frequency occurrence applies to any taxa observed on each transect."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73"/>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Frequency occurrence estimates for (a) area 1 and (b) area 3 (Figure</w:t>
      </w:r>
      <w:r>
        <w:t xml:space="preserve"> </w:t>
      </w:r>
      <w:r>
        <w:t xml:space="preserve">1</w:t>
      </w:r>
      <w:r>
        <w:t xml:space="preserve">a) for seagrass (top) and macroalgae (bottom) rapid response transect surveys across all transects (n = 38) near Piney Point. Estimates are grouped by sample months in 2021. Frequency occurrences are absolute for each taxa based on presence/absence, whereas the total frequency occurrence applies to any taxa observed on each transect.</w:t>
      </w:r>
    </w:p>
    <w:p>
      <w:pPr>
        <w:pStyle w:val="CaptionedFigure"/>
      </w:pPr>
      <w:r>
        <w:drawing>
          <wp:inline>
            <wp:extent cx="5943600" cy="3396342"/>
            <wp:effectExtent b="0" l="0" r="0" t="0"/>
            <wp:docPr descr="Figure 7: Principal components analysis (PCA) for water quality variables, macroalgae, and seagrass results aggregated by week from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itle="" id="1" name="Picture"/>
            <a:graphic>
              <a:graphicData uri="http://schemas.openxmlformats.org/drawingml/2006/picture">
                <pic:pic>
                  <pic:nvPicPr>
                    <pic:cNvPr descr="C:/proj/piney-point-manu/figs/allpca.jpeg" id="0" name="Picture"/>
                    <pic:cNvPicPr>
                      <a:picLocks noChangeArrowheads="1" noChangeAspect="1"/>
                    </pic:cNvPicPr>
                  </pic:nvPicPr>
                  <pic:blipFill>
                    <a:blip r:embed="rId74"/>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Principal components analysis (PCA)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w:t>
      </w:r>
    </w:p>
    <w:p>
      <w:pPr>
        <w:pStyle w:val="CaptionedFigure"/>
      </w:pPr>
      <w:r>
        <w:drawing>
          <wp:inline>
            <wp:extent cx="4114800" cy="4023360"/>
            <wp:effectExtent b="0" l="0" r="0" t="0"/>
            <wp:docPr descr="Figure 8: Correlation matrix for water quality variables, macroalgae, and seagrass results aggregated by week from April to July 2021 in response to wastewater discharge from Piney Point. Only areas 1 and 3 (Figure 1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 \alpha = 0.05." title="" id="1" name="Picture"/>
            <a:graphic>
              <a:graphicData uri="http://schemas.openxmlformats.org/drawingml/2006/picture">
                <pic:pic>
                  <pic:nvPicPr>
                    <pic:cNvPr descr="C:/proj/piney-point-manu/figs/allcor.jpeg" id="0" name="Picture"/>
                    <pic:cNvPicPr>
                      <a:picLocks noChangeArrowheads="1" noChangeAspect="1"/>
                    </pic:cNvPicPr>
                  </pic:nvPicPr>
                  <pic:blipFill>
                    <a:blip r:embed="rId75"/>
                    <a:stretch>
                      <a:fillRect/>
                    </a:stretch>
                  </pic:blipFill>
                  <pic:spPr bwMode="auto">
                    <a:xfrm>
                      <a:off x="0" y="0"/>
                      <a:ext cx="4114800" cy="4023360"/>
                    </a:xfrm>
                    <a:prstGeom prst="rect">
                      <a:avLst/>
                    </a:prstGeom>
                    <a:noFill/>
                    <a:ln w="9525">
                      <a:noFill/>
                      <a:headEnd/>
                      <a:tailEnd/>
                    </a:ln>
                  </pic:spPr>
                </pic:pic>
              </a:graphicData>
            </a:graphic>
          </wp:inline>
        </w:drawing>
      </w:r>
    </w:p>
    <w:p>
      <w:pPr>
        <w:pStyle w:val="ImageCaption"/>
      </w:pPr>
      <w:r>
        <w:t xml:space="preserve">Figure 8: Correlation matrix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25th percentile, median, 75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76"/>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25th percentile, median, 75th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77">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78">
        <w:r>
          <w:rPr>
            <w:rStyle w:val="Hyperlink"/>
          </w:rPr>
          <w:t xml:space="preserve">https://public.myfwc.com/FWRI/FishKillReport/</w:t>
        </w:r>
      </w:hyperlink>
      <w:r>
        <w:t xml:space="preserve">).</w:t>
      </w:r>
    </w:p>
    <w:bookmarkEnd w:id="79"/>
    <w:bookmarkStart w:id="80"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w:t>
      </w:r>
      <w:r>
        <w:t xml:space="preserve"> </w:t>
      </w:r>
      <w:r>
        <w:t xml:space="preserve">1</w:t>
      </w:r>
      <w:r>
        <w:t xml:space="preserve">a). End-of-pipe concentrations were taken as averages from two samples on April 6th and 13th at the outflow at Port Manatee. Missing values were not measured in the effluent or stack water.</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 1a). End-of-pipe concentrations were taken as averages from two samples on April 6th and 13th at the outflow at Port Manatee. Missing values were not measured in the effluent or stack water."/>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0.012 (0.007, 0.014)</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(0.007, 0.039)</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0.288 (0.226, 0.385)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0.082 (0.058, 0.145)</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(0.029,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90.7 (86, 92)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in Tampa Bay from March to July 2021 in response to wastewater discharge from Piney Point. Variables are grouped by major areas of interest for evaluating status and trends shown in Figure</w:t>
      </w:r>
      <w:r>
        <w:t xml:space="preserve"> </w:t>
      </w:r>
      <w:r>
        <w:t xml:space="preserve">1</w:t>
      </w:r>
      <w:r>
        <w:t xml:space="preserve">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w:t>
      </w:r>
      <w:r>
        <w:t xml:space="preserve"> </w:t>
      </w:r>
      <w:r>
        <w:t xml:space="preserve">“</w:t>
      </w:r>
      <w:r>
        <w:t xml:space="preserve">-</w:t>
      </w:r>
      <w:r>
        <w:t xml:space="preserve">”</w:t>
      </w:r>
      <w:r>
        <w:t xml:space="preserve"> </w:t>
      </w:r>
      <w:r>
        <w:t xml:space="preserve">could not be calculated due to insufficient values above detection.</w:t>
      </w:r>
    </w:p>
    <w:tbl>
      <w:tblPr>
        <w:tblStyle w:val="Table"/>
        <w:tblW w:type="pct" w:w="5000.0"/>
        <w:tblLook w:firstRow="1" w:lastRow="0" w:firstColumn="0" w:lastColumn="0" w:noHBand="0" w:noVBand="0" w:val="0020"/>
        <w:tblCaption w:val="Table 2: Summary of water quality variables collected in Tampa Bay from March to July 2021 in response to wastewater discharge from Piney Point. Variables are grouped by major areas of interest for evaluating status and trends shown in Figure 1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 “-” could not be calculated due to insufficient values above detection."/>
      </w:tblPr>
      <w:tblGrid>
        <w:gridCol w:w="425"/>
        <w:gridCol w:w="1958"/>
        <w:gridCol w:w="1788"/>
        <w:gridCol w:w="596"/>
        <w:gridCol w:w="766"/>
        <w:gridCol w:w="510"/>
        <w:gridCol w:w="510"/>
        <w:gridCol w:w="1362"/>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c>
          <w:p>
            <w:pPr>
              <w:pStyle w:val="Compact"/>
              <w:jc w:val="right"/>
            </w:pPr>
            <w:r>
              <w:t xml:space="preserve">Below detection</w:t>
            </w:r>
          </w:p>
        </w:tc>
      </w:tr>
      <w:tr>
        <w:tc>
          <w:p>
            <w:pPr>
              <w:pStyle w:val="Compact"/>
              <w:jc w:val="left"/>
            </w:pPr>
            <w:r>
              <w:t xml:space="preserve">1</w:t>
            </w:r>
          </w:p>
        </w:tc>
        <w:tc>
          <w:p>
            <w:pPr>
              <w:pStyle w:val="Compact"/>
              <w:jc w:val="left"/>
            </w:pPr>
            <w:r>
              <w:t xml:space="preserve">Chl-a (ug/L)</w:t>
            </w:r>
          </w:p>
        </w:tc>
        <w:tc>
          <w:p>
            <w:pPr>
              <w:pStyle w:val="Compact"/>
              <w:jc w:val="left"/>
            </w:pPr>
            <w:r>
              <w:t xml:space="preserve">4.4 (1.1, 265.01)</w:t>
            </w:r>
          </w:p>
        </w:tc>
        <w:tc>
          <w:p>
            <w:pPr>
              <w:pStyle w:val="Compact"/>
              <w:jc w:val="right"/>
            </w:pPr>
            <w:r>
              <w:t xml:space="preserve">446</w:t>
            </w:r>
          </w:p>
        </w:tc>
        <w:tc>
          <w:p>
            <w:pPr>
              <w:pStyle w:val="Compact"/>
              <w:jc w:val="right"/>
            </w:pPr>
            <w:r>
              <w:t xml:space="preserve">40.4</w:t>
            </w:r>
          </w:p>
        </w:tc>
        <w:tc>
          <w:p>
            <w:pPr>
              <w:pStyle w:val="Compact"/>
              <w:jc w:val="right"/>
            </w:pPr>
            <w:r>
              <w:t xml:space="preserve">54.0</w:t>
            </w:r>
          </w:p>
        </w:tc>
        <w:tc>
          <w:p>
            <w:pPr>
              <w:pStyle w:val="Compact"/>
              <w:jc w:val="right"/>
            </w:pPr>
            <w:r>
              <w:t xml:space="preserve">5.6</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98.8 (36.9, 215.3)</w:t>
            </w:r>
          </w:p>
        </w:tc>
        <w:tc>
          <w:p>
            <w:pPr>
              <w:pStyle w:val="Compact"/>
              <w:jc w:val="right"/>
            </w:pPr>
            <w:r>
              <w:t xml:space="preserve">375</w:t>
            </w:r>
          </w:p>
        </w:tc>
        <w:tc>
          <w:p>
            <w:pPr>
              <w:pStyle w:val="Compact"/>
              <w:jc w:val="right"/>
            </w:pPr>
            <w:r>
              <w:t xml:space="preserve">27.2</w:t>
            </w:r>
          </w:p>
        </w:tc>
        <w:tc>
          <w:p>
            <w:pPr>
              <w:pStyle w:val="Compact"/>
              <w:jc w:val="right"/>
            </w:pPr>
            <w:r>
              <w:t xml:space="preserve">55.7</w:t>
            </w:r>
          </w:p>
        </w:tc>
        <w:tc>
          <w:p>
            <w:pPr>
              <w:pStyle w:val="Compact"/>
              <w:jc w:val="right"/>
            </w:pPr>
            <w:r>
              <w:t xml:space="preserve">17.1</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 14.86)</w:t>
            </w:r>
          </w:p>
        </w:tc>
        <w:tc>
          <w:p>
            <w:pPr>
              <w:pStyle w:val="Compact"/>
              <w:jc w:val="right"/>
            </w:pPr>
            <w:r>
              <w:t xml:space="preserve">448</w:t>
            </w:r>
          </w:p>
        </w:tc>
        <w:tc>
          <w:p>
            <w:pPr>
              <w:pStyle w:val="Compact"/>
              <w:jc w:val="right"/>
            </w:pPr>
            <w:r>
              <w:t xml:space="preserve">63.8</w:t>
            </w:r>
          </w:p>
        </w:tc>
        <w:tc>
          <w:p>
            <w:pPr>
              <w:pStyle w:val="Compact"/>
              <w:jc w:val="right"/>
            </w:pPr>
            <w:r>
              <w:t xml:space="preserve">19.6</w:t>
            </w:r>
          </w:p>
        </w:tc>
        <w:tc>
          <w:p>
            <w:pPr>
              <w:pStyle w:val="Compact"/>
              <w:jc w:val="right"/>
            </w:pPr>
            <w:r>
              <w:t xml:space="preserve">16.5</w:t>
            </w:r>
          </w:p>
        </w:tc>
        <w:tc>
          <w:p>
            <w:pPr>
              <w:pStyle w:val="Compact"/>
              <w:jc w:val="right"/>
            </w:pPr>
            <w:r>
              <w:t xml:space="preserve">27.5</w:t>
            </w:r>
          </w:p>
        </w:tc>
      </w:tr>
      <w:tr>
        <w:tc>
          <w:p/>
        </w:tc>
        <w:tc>
          <w:p>
            <w:pPr>
              <w:pStyle w:val="Compact"/>
              <w:jc w:val="left"/>
            </w:pPr>
            <w:r>
              <w:t xml:space="preserve">Nitrate/Nitrite (mg/L)</w:t>
            </w:r>
          </w:p>
        </w:tc>
        <w:tc>
          <w:p>
            <w:pPr>
              <w:pStyle w:val="Compact"/>
              <w:jc w:val="left"/>
            </w:pPr>
            <w:r>
              <w:t xml:space="preserve">0 (0, 0.14352)</w:t>
            </w:r>
          </w:p>
        </w:tc>
        <w:tc>
          <w:p>
            <w:pPr>
              <w:pStyle w:val="Compact"/>
              <w:jc w:val="right"/>
            </w:pPr>
            <w:r>
              <w:t xml:space="preserve">470</w:t>
            </w:r>
          </w:p>
        </w:tc>
        <w:tc>
          <w:p>
            <w:pPr>
              <w:pStyle w:val="Compact"/>
              <w:jc w:val="right"/>
            </w:pPr>
            <w:r>
              <w:t xml:space="preserve">61.5</w:t>
            </w:r>
          </w:p>
        </w:tc>
        <w:tc>
          <w:p>
            <w:pPr>
              <w:pStyle w:val="Compact"/>
              <w:jc w:val="right"/>
            </w:pPr>
            <w:r>
              <w:t xml:space="preserve">20.2</w:t>
            </w:r>
          </w:p>
        </w:tc>
        <w:tc>
          <w:p>
            <w:pPr>
              <w:pStyle w:val="Compact"/>
              <w:jc w:val="right"/>
            </w:pPr>
            <w:r>
              <w:t xml:space="preserve">18.3</w:t>
            </w:r>
          </w:p>
        </w:tc>
        <w:tc>
          <w:p>
            <w:pPr>
              <w:pStyle w:val="Compact"/>
              <w:jc w:val="right"/>
            </w:pPr>
            <w:r>
              <w:t xml:space="preserve">71.7</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419</w:t>
            </w:r>
          </w:p>
        </w:tc>
        <w:tc>
          <w:p>
            <w:pPr>
              <w:pStyle w:val="Compact"/>
              <w:jc w:val="right"/>
            </w:pPr>
            <w:r>
              <w:t xml:space="preserve">54.2</w:t>
            </w:r>
          </w:p>
        </w:tc>
        <w:tc>
          <w:p>
            <w:pPr>
              <w:pStyle w:val="Compact"/>
              <w:jc w:val="right"/>
            </w:pPr>
            <w:r>
              <w:t xml:space="preserve">33.9</w:t>
            </w:r>
          </w:p>
        </w:tc>
        <w:tc>
          <w:p>
            <w:pPr>
              <w:pStyle w:val="Compact"/>
              <w:jc w:val="right"/>
            </w:pPr>
            <w:r>
              <w:t xml:space="preserve">11.9</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30.5 (12.9, 34.6)</w:t>
            </w:r>
          </w:p>
        </w:tc>
        <w:tc>
          <w:p>
            <w:pPr>
              <w:pStyle w:val="Compact"/>
              <w:jc w:val="right"/>
            </w:pPr>
            <w:r>
              <w:t xml:space="preserve">386</w:t>
            </w:r>
          </w:p>
        </w:tc>
        <w:tc>
          <w:p>
            <w:pPr>
              <w:pStyle w:val="Compact"/>
              <w:jc w:val="right"/>
            </w:pPr>
            <w:r>
              <w:t xml:space="preserve">83.4</w:t>
            </w:r>
          </w:p>
        </w:tc>
        <w:tc>
          <w:p>
            <w:pPr>
              <w:pStyle w:val="Compact"/>
              <w:jc w:val="right"/>
            </w:pPr>
            <w:r>
              <w:t xml:space="preserve">4.4</w:t>
            </w:r>
          </w:p>
        </w:tc>
        <w:tc>
          <w:p>
            <w:pPr>
              <w:pStyle w:val="Compact"/>
              <w:jc w:val="right"/>
            </w:pPr>
            <w:r>
              <w:t xml:space="preserve">12.2</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2.5 (0.5, 5.5)</w:t>
            </w:r>
          </w:p>
        </w:tc>
        <w:tc>
          <w:p>
            <w:pPr>
              <w:pStyle w:val="Compact"/>
              <w:jc w:val="right"/>
            </w:pPr>
            <w:r>
              <w:t xml:space="preserve">236</w:t>
            </w:r>
          </w:p>
        </w:tc>
        <w:tc>
          <w:p>
            <w:pPr>
              <w:pStyle w:val="Compact"/>
              <w:jc w:val="right"/>
            </w:pPr>
            <w:r>
              <w:t xml:space="preserve">43.6</w:t>
            </w:r>
          </w:p>
        </w:tc>
        <w:tc>
          <w:p>
            <w:pPr>
              <w:pStyle w:val="Compact"/>
              <w:jc w:val="right"/>
            </w:pPr>
            <w:r>
              <w:t xml:space="preserve">19.5</w:t>
            </w:r>
          </w:p>
        </w:tc>
        <w:tc>
          <w:p>
            <w:pPr>
              <w:pStyle w:val="Compact"/>
              <w:jc w:val="right"/>
            </w:pPr>
            <w:r>
              <w:t xml:space="preserve">36.9</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25.2 (19.6, 32.9)</w:t>
            </w:r>
          </w:p>
        </w:tc>
        <w:tc>
          <w:p>
            <w:pPr>
              <w:pStyle w:val="Compact"/>
              <w:jc w:val="right"/>
            </w:pPr>
            <w:r>
              <w:t xml:space="preserve">387</w:t>
            </w:r>
          </w:p>
        </w:tc>
        <w:tc>
          <w:p>
            <w:pPr>
              <w:pStyle w:val="Compact"/>
              <w:jc w:val="right"/>
            </w:pPr>
            <w:r>
              <w:t xml:space="preserve">61.2</w:t>
            </w:r>
          </w:p>
        </w:tc>
        <w:tc>
          <w:p>
            <w:pPr>
              <w:pStyle w:val="Compact"/>
              <w:jc w:val="right"/>
            </w:pPr>
            <w:r>
              <w:t xml:space="preserve">17.3</w:t>
            </w:r>
          </w:p>
        </w:tc>
        <w:tc>
          <w:p>
            <w:pPr>
              <w:pStyle w:val="Compact"/>
              <w:jc w:val="right"/>
            </w:pPr>
            <w:r>
              <w:t xml:space="preserve">21.4</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0.41 (0.178, 5.6)</w:t>
            </w:r>
          </w:p>
        </w:tc>
        <w:tc>
          <w:p>
            <w:pPr>
              <w:pStyle w:val="Compact"/>
              <w:jc w:val="right"/>
            </w:pPr>
            <w:r>
              <w:t xml:space="preserve">385</w:t>
            </w:r>
          </w:p>
        </w:tc>
        <w:tc>
          <w:p>
            <w:pPr>
              <w:pStyle w:val="Compact"/>
              <w:jc w:val="right"/>
            </w:pPr>
            <w:r>
              <w:t xml:space="preserve">58.2</w:t>
            </w:r>
          </w:p>
        </w:tc>
        <w:tc>
          <w:p>
            <w:pPr>
              <w:pStyle w:val="Compact"/>
              <w:jc w:val="right"/>
            </w:pPr>
            <w:r>
              <w:t xml:space="preserve">38.2</w:t>
            </w:r>
          </w:p>
        </w:tc>
        <w:tc>
          <w:p>
            <w:pPr>
              <w:pStyle w:val="Compact"/>
              <w:jc w:val="right"/>
            </w:pPr>
            <w:r>
              <w:t xml:space="preserve">3.6</w:t>
            </w:r>
          </w:p>
        </w:tc>
        <w:tc>
          <w:p>
            <w:pPr>
              <w:pStyle w:val="Compact"/>
              <w:jc w:val="right"/>
            </w:pPr>
            <w:r>
              <w:t xml:space="preserve">4.4</w:t>
            </w:r>
          </w:p>
        </w:tc>
      </w:tr>
      <w:tr>
        <w:tc>
          <w:p/>
        </w:tc>
        <w:tc>
          <w:p>
            <w:pPr>
              <w:pStyle w:val="Compact"/>
              <w:jc w:val="left"/>
            </w:pPr>
            <w:r>
              <w:t xml:space="preserve">TP (mg/L)</w:t>
            </w:r>
          </w:p>
        </w:tc>
        <w:tc>
          <w:p>
            <w:pPr>
              <w:pStyle w:val="Compact"/>
              <w:jc w:val="left"/>
            </w:pPr>
            <w:r>
              <w:t xml:space="preserve">0.12 (0.019, 3.9)</w:t>
            </w:r>
          </w:p>
        </w:tc>
        <w:tc>
          <w:p>
            <w:pPr>
              <w:pStyle w:val="Compact"/>
              <w:jc w:val="right"/>
            </w:pPr>
            <w:r>
              <w:t xml:space="preserve">446</w:t>
            </w:r>
          </w:p>
        </w:tc>
        <w:tc>
          <w:p>
            <w:pPr>
              <w:pStyle w:val="Compact"/>
              <w:jc w:val="right"/>
            </w:pPr>
            <w:r>
              <w:t xml:space="preserve">79.6</w:t>
            </w:r>
          </w:p>
        </w:tc>
        <w:tc>
          <w:p>
            <w:pPr>
              <w:pStyle w:val="Compact"/>
              <w:jc w:val="right"/>
            </w:pPr>
            <w:r>
              <w:t xml:space="preserve">16.1</w:t>
            </w:r>
          </w:p>
        </w:tc>
        <w:tc>
          <w:p>
            <w:pPr>
              <w:pStyle w:val="Compact"/>
              <w:jc w:val="right"/>
            </w:pPr>
            <w:r>
              <w:t xml:space="preserve">4.3</w:t>
            </w:r>
          </w:p>
        </w:tc>
        <w:tc>
          <w:p>
            <w:pPr>
              <w:pStyle w:val="Compact"/>
              <w:jc w:val="right"/>
            </w:pPr>
            <w:r>
              <w:t xml:space="preserve">0.9</w:t>
            </w:r>
          </w:p>
        </w:tc>
      </w:tr>
      <w:tr>
        <w:tc>
          <w:p>
            <w:pPr>
              <w:pStyle w:val="Compact"/>
              <w:jc w:val="left"/>
            </w:pPr>
            <w:r>
              <w:t xml:space="preserve">2</w:t>
            </w:r>
          </w:p>
        </w:tc>
        <w:tc>
          <w:p>
            <w:pPr>
              <w:pStyle w:val="Compact"/>
              <w:jc w:val="left"/>
            </w:pPr>
            <w:r>
              <w:t xml:space="preserve">Chl-a (ug/L)</w:t>
            </w:r>
          </w:p>
        </w:tc>
        <w:tc>
          <w:p>
            <w:pPr>
              <w:pStyle w:val="Compact"/>
              <w:jc w:val="left"/>
            </w:pPr>
            <w:r>
              <w:t xml:space="preserve">2.6 (1.08, 42)</w:t>
            </w:r>
          </w:p>
        </w:tc>
        <w:tc>
          <w:p>
            <w:pPr>
              <w:pStyle w:val="Compact"/>
              <w:jc w:val="right"/>
            </w:pPr>
            <w:r>
              <w:t xml:space="preserve">69</w:t>
            </w:r>
          </w:p>
        </w:tc>
        <w:tc>
          <w:p>
            <w:pPr>
              <w:pStyle w:val="Compact"/>
              <w:jc w:val="right"/>
            </w:pPr>
            <w:r>
              <w:t xml:space="preserve">60.9</w:t>
            </w:r>
          </w:p>
        </w:tc>
        <w:tc>
          <w:p>
            <w:pPr>
              <w:pStyle w:val="Compact"/>
              <w:jc w:val="right"/>
            </w:pPr>
            <w:r>
              <w:t xml:space="preserve">7.2</w:t>
            </w:r>
          </w:p>
        </w:tc>
        <w:tc>
          <w:p>
            <w:pPr>
              <w:pStyle w:val="Compact"/>
              <w:jc w:val="right"/>
            </w:pPr>
            <w:r>
              <w:t xml:space="preserve">31.9</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96.8 (60.6, 153.3)</w:t>
            </w:r>
          </w:p>
        </w:tc>
        <w:tc>
          <w:p>
            <w:pPr>
              <w:pStyle w:val="Compact"/>
              <w:jc w:val="right"/>
            </w:pPr>
            <w:r>
              <w:t xml:space="preserve">62</w:t>
            </w:r>
          </w:p>
        </w:tc>
        <w:tc>
          <w:p>
            <w:pPr>
              <w:pStyle w:val="Compact"/>
              <w:jc w:val="right"/>
            </w:pPr>
            <w:r>
              <w:t xml:space="preserve">40.3</w:t>
            </w:r>
          </w:p>
        </w:tc>
        <w:tc>
          <w:p>
            <w:pPr>
              <w:pStyle w:val="Compact"/>
              <w:jc w:val="right"/>
            </w:pPr>
            <w:r>
              <w:t xml:space="preserve">46.8</w:t>
            </w:r>
          </w:p>
        </w:tc>
        <w:tc>
          <w:p>
            <w:pPr>
              <w:pStyle w:val="Compact"/>
              <w:jc w:val="right"/>
            </w:pPr>
            <w:r>
              <w:t xml:space="preserve">12.9</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(0.002, 0.049)</w:t>
            </w:r>
          </w:p>
        </w:tc>
        <w:tc>
          <w:p>
            <w:pPr>
              <w:pStyle w:val="Compact"/>
              <w:jc w:val="right"/>
            </w:pPr>
            <w:r>
              <w:t xml:space="preserve">66</w:t>
            </w:r>
          </w:p>
        </w:tc>
        <w:tc>
          <w:p>
            <w:pPr>
              <w:pStyle w:val="Compact"/>
              <w:jc w:val="right"/>
            </w:pPr>
            <w:r>
              <w:t xml:space="preserve">87.9</w:t>
            </w:r>
          </w:p>
        </w:tc>
        <w:tc>
          <w:p>
            <w:pPr>
              <w:pStyle w:val="Compact"/>
              <w:jc w:val="right"/>
            </w:pPr>
            <w:r>
              <w:t xml:space="preserve">0.0</w:t>
            </w:r>
          </w:p>
        </w:tc>
        <w:tc>
          <w:p>
            <w:pPr>
              <w:pStyle w:val="Compact"/>
              <w:jc w:val="right"/>
            </w:pPr>
            <w:r>
              <w:t xml:space="preserve">12.1</w:t>
            </w:r>
          </w:p>
        </w:tc>
        <w:tc>
          <w:p>
            <w:pPr>
              <w:pStyle w:val="Compact"/>
              <w:jc w:val="right"/>
            </w:pPr>
            <w:r>
              <w:t xml:space="preserve">28.8</w:t>
            </w:r>
          </w:p>
        </w:tc>
      </w:tr>
      <w:tr>
        <w:tc>
          <w:p/>
        </w:tc>
        <w:tc>
          <w:p>
            <w:pPr>
              <w:pStyle w:val="Compact"/>
              <w:jc w:val="left"/>
            </w:pPr>
            <w:r>
              <w:t xml:space="preserve">Nitrate/Nitrite (mg/L)</w:t>
            </w:r>
          </w:p>
        </w:tc>
        <w:tc>
          <w:p>
            <w:pPr>
              <w:pStyle w:val="Compact"/>
              <w:jc w:val="left"/>
            </w:pPr>
            <w:r>
              <w:t xml:space="preserve">- (0.00078, 0.014)</w:t>
            </w:r>
          </w:p>
        </w:tc>
        <w:tc>
          <w:p>
            <w:pPr>
              <w:pStyle w:val="Compact"/>
              <w:jc w:val="right"/>
            </w:pPr>
            <w:r>
              <w:t xml:space="preserve">77</w:t>
            </w:r>
          </w:p>
        </w:tc>
        <w:tc>
          <w:p>
            <w:pPr>
              <w:pStyle w:val="Compact"/>
              <w:jc w:val="right"/>
            </w:pPr>
            <w:r>
              <w:t xml:space="preserve">63.6</w:t>
            </w:r>
          </w:p>
        </w:tc>
        <w:tc>
          <w:p>
            <w:pPr>
              <w:pStyle w:val="Compact"/>
              <w:jc w:val="right"/>
            </w:pPr>
            <w:r>
              <w:t xml:space="preserve">15.6</w:t>
            </w:r>
          </w:p>
        </w:tc>
        <w:tc>
          <w:p>
            <w:pPr>
              <w:pStyle w:val="Compact"/>
              <w:jc w:val="right"/>
            </w:pPr>
            <w:r>
              <w:t xml:space="preserve">20.8</w:t>
            </w:r>
          </w:p>
        </w:tc>
        <w:tc>
          <w:p>
            <w:pPr>
              <w:pStyle w:val="Compact"/>
              <w:jc w:val="right"/>
            </w:pPr>
            <w:r>
              <w:t xml:space="preserve">84.4</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81</w:t>
            </w:r>
          </w:p>
        </w:tc>
        <w:tc>
          <w:p>
            <w:pPr>
              <w:pStyle w:val="Compact"/>
              <w:jc w:val="right"/>
            </w:pPr>
            <w:r>
              <w:t xml:space="preserve">75.3</w:t>
            </w:r>
          </w:p>
        </w:tc>
        <w:tc>
          <w:p>
            <w:pPr>
              <w:pStyle w:val="Compact"/>
              <w:jc w:val="right"/>
            </w:pPr>
            <w:r>
              <w:t xml:space="preserve">16.0</w:t>
            </w:r>
          </w:p>
        </w:tc>
        <w:tc>
          <w:p>
            <w:pPr>
              <w:pStyle w:val="Compact"/>
              <w:jc w:val="right"/>
            </w:pPr>
            <w:r>
              <w:t xml:space="preserve">8.6</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27.6 (23.7, 32.3)</w:t>
            </w:r>
          </w:p>
        </w:tc>
        <w:tc>
          <w:p>
            <w:pPr>
              <w:pStyle w:val="Compact"/>
              <w:jc w:val="right"/>
            </w:pPr>
            <w:r>
              <w:t xml:space="preserve">62</w:t>
            </w:r>
          </w:p>
        </w:tc>
        <w:tc>
          <w:p>
            <w:pPr>
              <w:pStyle w:val="Compact"/>
              <w:jc w:val="right"/>
            </w:pPr>
            <w:r>
              <w:t xml:space="preserve">93.5</w:t>
            </w:r>
          </w:p>
        </w:tc>
        <w:tc>
          <w:p>
            <w:pPr>
              <w:pStyle w:val="Compact"/>
              <w:jc w:val="right"/>
            </w:pPr>
            <w:r>
              <w:t xml:space="preserve">0.0</w:t>
            </w:r>
          </w:p>
        </w:tc>
        <w:tc>
          <w:p>
            <w:pPr>
              <w:pStyle w:val="Compact"/>
              <w:jc w:val="right"/>
            </w:pPr>
            <w:r>
              <w:t xml:space="preserve">6.5</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27</w:t>
            </w:r>
          </w:p>
        </w:tc>
        <w:tc>
          <w:p>
            <w:pPr>
              <w:pStyle w:val="Compact"/>
              <w:jc w:val="right"/>
            </w:pPr>
            <w:r>
              <w:t xml:space="preserve">51.9</w:t>
            </w:r>
          </w:p>
        </w:tc>
        <w:tc>
          <w:p>
            <w:pPr>
              <w:pStyle w:val="Compact"/>
              <w:jc w:val="right"/>
            </w:pPr>
            <w:r>
              <w:t xml:space="preserve">29.6</w:t>
            </w:r>
          </w:p>
        </w:tc>
        <w:tc>
          <w:p>
            <w:pPr>
              <w:pStyle w:val="Compact"/>
              <w:jc w:val="right"/>
            </w:pPr>
            <w:r>
              <w:t xml:space="preserve">18.5</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24.9 (19.9, 31.6)</w:t>
            </w:r>
          </w:p>
        </w:tc>
        <w:tc>
          <w:p>
            <w:pPr>
              <w:pStyle w:val="Compact"/>
              <w:jc w:val="right"/>
            </w:pPr>
            <w:r>
              <w:t xml:space="preserve">62</w:t>
            </w:r>
          </w:p>
        </w:tc>
        <w:tc>
          <w:p>
            <w:pPr>
              <w:pStyle w:val="Compact"/>
              <w:jc w:val="right"/>
            </w:pPr>
            <w:r>
              <w:t xml:space="preserve">69.4</w:t>
            </w:r>
          </w:p>
        </w:tc>
        <w:tc>
          <w:p>
            <w:pPr>
              <w:pStyle w:val="Compact"/>
              <w:jc w:val="right"/>
            </w:pPr>
            <w:r>
              <w:t xml:space="preserve">8.1</w:t>
            </w:r>
          </w:p>
        </w:tc>
        <w:tc>
          <w:p>
            <w:pPr>
              <w:pStyle w:val="Compact"/>
              <w:jc w:val="right"/>
            </w:pPr>
            <w:r>
              <w:t xml:space="preserve">22.6</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0.33 (0.068, 1.13)</w:t>
            </w:r>
          </w:p>
        </w:tc>
        <w:tc>
          <w:p>
            <w:pPr>
              <w:pStyle w:val="Compact"/>
              <w:jc w:val="right"/>
            </w:pPr>
            <w:r>
              <w:t xml:space="preserve">53</w:t>
            </w:r>
          </w:p>
        </w:tc>
        <w:tc>
          <w:p>
            <w:pPr>
              <w:pStyle w:val="Compact"/>
              <w:jc w:val="right"/>
            </w:pPr>
            <w:r>
              <w:t xml:space="preserve">66.0</w:t>
            </w:r>
          </w:p>
        </w:tc>
        <w:tc>
          <w:p>
            <w:pPr>
              <w:pStyle w:val="Compact"/>
              <w:jc w:val="right"/>
            </w:pPr>
            <w:r>
              <w:t xml:space="preserve">20.8</w:t>
            </w:r>
          </w:p>
        </w:tc>
        <w:tc>
          <w:p>
            <w:pPr>
              <w:pStyle w:val="Compact"/>
              <w:jc w:val="right"/>
            </w:pPr>
            <w:r>
              <w:t xml:space="preserve">13.2</w:t>
            </w:r>
          </w:p>
        </w:tc>
        <w:tc>
          <w:p>
            <w:pPr>
              <w:pStyle w:val="Compact"/>
              <w:jc w:val="right"/>
            </w:pPr>
            <w:r>
              <w:t xml:space="preserve">17.0</w:t>
            </w:r>
          </w:p>
        </w:tc>
      </w:tr>
      <w:tr>
        <w:tc>
          <w:p/>
        </w:tc>
        <w:tc>
          <w:p>
            <w:pPr>
              <w:pStyle w:val="Compact"/>
              <w:jc w:val="left"/>
            </w:pPr>
            <w:r>
              <w:t xml:space="preserve">TP (mg/L)</w:t>
            </w:r>
          </w:p>
        </w:tc>
        <w:tc>
          <w:p>
            <w:pPr>
              <w:pStyle w:val="Compact"/>
              <w:jc w:val="left"/>
            </w:pPr>
            <w:r>
              <w:t xml:space="preserve">0.1 (0.05, 0.235)</w:t>
            </w:r>
          </w:p>
        </w:tc>
        <w:tc>
          <w:p>
            <w:pPr>
              <w:pStyle w:val="Compact"/>
              <w:jc w:val="right"/>
            </w:pPr>
            <w:r>
              <w:t xml:space="preserve">58</w:t>
            </w:r>
          </w:p>
        </w:tc>
        <w:tc>
          <w:p>
            <w:pPr>
              <w:pStyle w:val="Compact"/>
              <w:jc w:val="right"/>
            </w:pPr>
            <w:r>
              <w:t xml:space="preserve">55.2</w:t>
            </w:r>
          </w:p>
        </w:tc>
        <w:tc>
          <w:p>
            <w:pPr>
              <w:pStyle w:val="Compact"/>
              <w:jc w:val="right"/>
            </w:pPr>
            <w:r>
              <w:t xml:space="preserve">13.8</w:t>
            </w:r>
          </w:p>
        </w:tc>
        <w:tc>
          <w:p>
            <w:pPr>
              <w:pStyle w:val="Compact"/>
              <w:jc w:val="right"/>
            </w:pPr>
            <w:r>
              <w:t xml:space="preserve">31.0</w:t>
            </w:r>
          </w:p>
        </w:tc>
        <w:tc>
          <w:p>
            <w:pPr>
              <w:pStyle w:val="Compact"/>
              <w:jc w:val="right"/>
            </w:pPr>
            <w:r>
              <w:t xml:space="preserve">0.0</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228</w:t>
            </w:r>
          </w:p>
        </w:tc>
        <w:tc>
          <w:p>
            <w:pPr>
              <w:pStyle w:val="Compact"/>
              <w:jc w:val="right"/>
            </w:pPr>
            <w:r>
              <w:t xml:space="preserve">68.0</w:t>
            </w:r>
          </w:p>
        </w:tc>
        <w:tc>
          <w:p>
            <w:pPr>
              <w:pStyle w:val="Compact"/>
              <w:jc w:val="right"/>
            </w:pPr>
            <w:r>
              <w:t xml:space="preserve">23.7</w:t>
            </w:r>
          </w:p>
        </w:tc>
        <w:tc>
          <w:p>
            <w:pPr>
              <w:pStyle w:val="Compact"/>
              <w:jc w:val="right"/>
            </w:pPr>
            <w:r>
              <w:t xml:space="preserve">8.3</w:t>
            </w:r>
          </w:p>
        </w:tc>
        <w:tc>
          <w:p>
            <w:pPr>
              <w:pStyle w:val="Compact"/>
              <w:jc w:val="right"/>
            </w:pPr>
            <w:r>
              <w:t xml:space="preserve">0.4</w:t>
            </w:r>
          </w:p>
        </w:tc>
      </w:tr>
      <w:tr>
        <w:tc>
          <w:p/>
        </w:tc>
        <w:tc>
          <w:p>
            <w:pPr>
              <w:pStyle w:val="Compact"/>
              <w:jc w:val="left"/>
            </w:pPr>
            <w:r>
              <w:t xml:space="preserve">DO (% sat.)</w:t>
            </w:r>
          </w:p>
        </w:tc>
        <w:tc>
          <w:p>
            <w:pPr>
              <w:pStyle w:val="Compact"/>
              <w:jc w:val="left"/>
            </w:pPr>
            <w:r>
              <w:t xml:space="preserve">99.3 (42.4, 229.9)</w:t>
            </w:r>
          </w:p>
        </w:tc>
        <w:tc>
          <w:p>
            <w:pPr>
              <w:pStyle w:val="Compact"/>
              <w:jc w:val="right"/>
            </w:pPr>
            <w:r>
              <w:t xml:space="preserve">193</w:t>
            </w:r>
          </w:p>
        </w:tc>
        <w:tc>
          <w:p>
            <w:pPr>
              <w:pStyle w:val="Compact"/>
              <w:jc w:val="right"/>
            </w:pPr>
            <w:r>
              <w:t xml:space="preserve">52.3</w:t>
            </w:r>
          </w:p>
        </w:tc>
        <w:tc>
          <w:p>
            <w:pPr>
              <w:pStyle w:val="Compact"/>
              <w:jc w:val="right"/>
            </w:pPr>
            <w:r>
              <w:t xml:space="preserve">25.9</w:t>
            </w:r>
          </w:p>
        </w:tc>
        <w:tc>
          <w:p>
            <w:pPr>
              <w:pStyle w:val="Compact"/>
              <w:jc w:val="right"/>
            </w:pPr>
            <w:r>
              <w:t xml:space="preserve">21.8</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0.003 (0.002, 0.041)</w:t>
            </w:r>
          </w:p>
        </w:tc>
        <w:tc>
          <w:p>
            <w:pPr>
              <w:pStyle w:val="Compact"/>
              <w:jc w:val="right"/>
            </w:pPr>
            <w:r>
              <w:t xml:space="preserve">222</w:t>
            </w:r>
          </w:p>
        </w:tc>
        <w:tc>
          <w:p>
            <w:pPr>
              <w:pStyle w:val="Compact"/>
              <w:jc w:val="right"/>
            </w:pPr>
            <w:r>
              <w:t xml:space="preserve">51.8</w:t>
            </w:r>
          </w:p>
        </w:tc>
        <w:tc>
          <w:p>
            <w:pPr>
              <w:pStyle w:val="Compact"/>
              <w:jc w:val="right"/>
            </w:pPr>
            <w:r>
              <w:t xml:space="preserve">0.0</w:t>
            </w:r>
          </w:p>
        </w:tc>
        <w:tc>
          <w:p>
            <w:pPr>
              <w:pStyle w:val="Compact"/>
              <w:jc w:val="right"/>
            </w:pPr>
            <w:r>
              <w:t xml:space="preserve">48.2</w:t>
            </w:r>
          </w:p>
        </w:tc>
        <w:tc>
          <w:p>
            <w:pPr>
              <w:pStyle w:val="Compact"/>
              <w:jc w:val="right"/>
            </w:pPr>
            <w:r>
              <w:t xml:space="preserve">54.5</w:t>
            </w:r>
          </w:p>
        </w:tc>
      </w:tr>
      <w:tr>
        <w:tc>
          <w:p/>
        </w:tc>
        <w:tc>
          <w:p>
            <w:pPr>
              <w:pStyle w:val="Compact"/>
              <w:jc w:val="left"/>
            </w:pPr>
            <w:r>
              <w:t xml:space="preserve">Nitrate/Nitrite (mg/L)</w:t>
            </w:r>
          </w:p>
        </w:tc>
        <w:tc>
          <w:p>
            <w:pPr>
              <w:pStyle w:val="Compact"/>
              <w:jc w:val="left"/>
            </w:pPr>
            <w:r>
              <w:t xml:space="preserve">- (0.00078, 0.046)</w:t>
            </w:r>
          </w:p>
        </w:tc>
        <w:tc>
          <w:p>
            <w:pPr>
              <w:pStyle w:val="Compact"/>
              <w:jc w:val="right"/>
            </w:pPr>
            <w:r>
              <w:t xml:space="preserve">241</w:t>
            </w:r>
          </w:p>
        </w:tc>
        <w:tc>
          <w:p>
            <w:pPr>
              <w:pStyle w:val="Compact"/>
              <w:jc w:val="right"/>
            </w:pPr>
            <w:r>
              <w:t xml:space="preserve">58.9</w:t>
            </w:r>
          </w:p>
        </w:tc>
        <w:tc>
          <w:p>
            <w:pPr>
              <w:pStyle w:val="Compact"/>
              <w:jc w:val="right"/>
            </w:pPr>
            <w:r>
              <w:t xml:space="preserve">10.0</w:t>
            </w:r>
          </w:p>
        </w:tc>
        <w:tc>
          <w:p>
            <w:pPr>
              <w:pStyle w:val="Compact"/>
              <w:jc w:val="right"/>
            </w:pPr>
            <w:r>
              <w:t xml:space="preserve">31.1</w:t>
            </w:r>
          </w:p>
        </w:tc>
        <w:tc>
          <w:p>
            <w:pPr>
              <w:pStyle w:val="Compact"/>
              <w:jc w:val="right"/>
            </w:pPr>
            <w:r>
              <w:t xml:space="preserve">93.8</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216</w:t>
            </w:r>
          </w:p>
        </w:tc>
        <w:tc>
          <w:p>
            <w:pPr>
              <w:pStyle w:val="Compact"/>
              <w:jc w:val="right"/>
            </w:pPr>
            <w:r>
              <w:t xml:space="preserve">71.8</w:t>
            </w:r>
          </w:p>
        </w:tc>
        <w:tc>
          <w:p>
            <w:pPr>
              <w:pStyle w:val="Compact"/>
              <w:jc w:val="right"/>
            </w:pPr>
            <w:r>
              <w:t xml:space="preserve">24.1</w:t>
            </w:r>
          </w:p>
        </w:tc>
        <w:tc>
          <w:p>
            <w:pPr>
              <w:pStyle w:val="Compact"/>
              <w:jc w:val="right"/>
            </w:pPr>
            <w:r>
              <w:t xml:space="preserve">4.2</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32.1 (1.4, 36.5)</w:t>
            </w:r>
          </w:p>
        </w:tc>
        <w:tc>
          <w:p>
            <w:pPr>
              <w:pStyle w:val="Compact"/>
              <w:jc w:val="right"/>
            </w:pPr>
            <w:r>
              <w:t xml:space="preserve">251</w:t>
            </w:r>
          </w:p>
        </w:tc>
        <w:tc>
          <w:p>
            <w:pPr>
              <w:pStyle w:val="Compact"/>
              <w:jc w:val="right"/>
            </w:pPr>
            <w:r>
              <w:t xml:space="preserve">81.7</w:t>
            </w:r>
          </w:p>
        </w:tc>
        <w:tc>
          <w:p>
            <w:pPr>
              <w:pStyle w:val="Compact"/>
              <w:jc w:val="right"/>
            </w:pPr>
            <w:r>
              <w:t xml:space="preserve">8.8</w:t>
            </w:r>
          </w:p>
        </w:tc>
        <w:tc>
          <w:p>
            <w:pPr>
              <w:pStyle w:val="Compact"/>
              <w:jc w:val="right"/>
            </w:pPr>
            <w:r>
              <w:t xml:space="preserve">9.6</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(0.2, 5.1)</w:t>
            </w:r>
          </w:p>
        </w:tc>
        <w:tc>
          <w:p>
            <w:pPr>
              <w:pStyle w:val="Compact"/>
              <w:jc w:val="right"/>
            </w:pPr>
            <w:r>
              <w:t xml:space="preserve">173</w:t>
            </w:r>
          </w:p>
        </w:tc>
        <w:tc>
          <w:p>
            <w:pPr>
              <w:pStyle w:val="Compact"/>
              <w:jc w:val="right"/>
            </w:pPr>
            <w:r>
              <w:t xml:space="preserve">45.1</w:t>
            </w:r>
          </w:p>
        </w:tc>
        <w:tc>
          <w:p>
            <w:pPr>
              <w:pStyle w:val="Compact"/>
              <w:jc w:val="right"/>
            </w:pPr>
            <w:r>
              <w:t xml:space="preserve">17.9</w:t>
            </w:r>
          </w:p>
        </w:tc>
        <w:tc>
          <w:p>
            <w:pPr>
              <w:pStyle w:val="Compact"/>
              <w:jc w:val="right"/>
            </w:pPr>
            <w:r>
              <w:t xml:space="preserve">37.0</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25.7 (19.6, 32.1)</w:t>
            </w:r>
          </w:p>
        </w:tc>
        <w:tc>
          <w:p>
            <w:pPr>
              <w:pStyle w:val="Compact"/>
              <w:jc w:val="right"/>
            </w:pPr>
            <w:r>
              <w:t xml:space="preserve">251</w:t>
            </w:r>
          </w:p>
        </w:tc>
        <w:tc>
          <w:p>
            <w:pPr>
              <w:pStyle w:val="Compact"/>
              <w:jc w:val="right"/>
            </w:pPr>
            <w:r>
              <w:t xml:space="preserve">59.4</w:t>
            </w:r>
          </w:p>
        </w:tc>
        <w:tc>
          <w:p>
            <w:pPr>
              <w:pStyle w:val="Compact"/>
              <w:jc w:val="right"/>
            </w:pPr>
            <w:r>
              <w:t xml:space="preserve">14.7</w:t>
            </w:r>
          </w:p>
        </w:tc>
        <w:tc>
          <w:p>
            <w:pPr>
              <w:pStyle w:val="Compact"/>
              <w:jc w:val="right"/>
            </w:pPr>
            <w:r>
              <w:t xml:space="preserve">25.9</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0.33 (0.152, 1.78)</w:t>
            </w:r>
          </w:p>
        </w:tc>
        <w:tc>
          <w:p>
            <w:pPr>
              <w:pStyle w:val="Compact"/>
              <w:jc w:val="right"/>
            </w:pPr>
            <w:r>
              <w:t xml:space="preserve">224</w:t>
            </w:r>
          </w:p>
        </w:tc>
        <w:tc>
          <w:p>
            <w:pPr>
              <w:pStyle w:val="Compact"/>
              <w:jc w:val="right"/>
            </w:pPr>
            <w:r>
              <w:t xml:space="preserve">73.7</w:t>
            </w:r>
          </w:p>
        </w:tc>
        <w:tc>
          <w:p>
            <w:pPr>
              <w:pStyle w:val="Compact"/>
              <w:jc w:val="right"/>
            </w:pPr>
            <w:r>
              <w:t xml:space="preserve">23.2</w:t>
            </w:r>
          </w:p>
        </w:tc>
        <w:tc>
          <w:p>
            <w:pPr>
              <w:pStyle w:val="Compact"/>
              <w:jc w:val="right"/>
            </w:pPr>
            <w:r>
              <w:t xml:space="preserve">3.1</w:t>
            </w:r>
          </w:p>
        </w:tc>
        <w:tc>
          <w:p>
            <w:pPr>
              <w:pStyle w:val="Compact"/>
              <w:jc w:val="right"/>
            </w:pPr>
            <w:r>
              <w:t xml:space="preserve">8.9</w:t>
            </w:r>
          </w:p>
        </w:tc>
      </w:tr>
      <w:tr>
        <w:tc>
          <w:p/>
        </w:tc>
        <w:tc>
          <w:p>
            <w:pPr>
              <w:pStyle w:val="Compact"/>
              <w:jc w:val="left"/>
            </w:pPr>
            <w:r>
              <w:t xml:space="preserve">TP (mg/L)</w:t>
            </w:r>
          </w:p>
        </w:tc>
        <w:tc>
          <w:p>
            <w:pPr>
              <w:pStyle w:val="Compact"/>
              <w:jc w:val="left"/>
            </w:pPr>
            <w:r>
              <w:t xml:space="preserve">0.06 (0.019, 0.589)</w:t>
            </w:r>
          </w:p>
        </w:tc>
        <w:tc>
          <w:p>
            <w:pPr>
              <w:pStyle w:val="Compact"/>
              <w:jc w:val="right"/>
            </w:pPr>
            <w:r>
              <w:t xml:space="preserve">230</w:t>
            </w:r>
          </w:p>
        </w:tc>
        <w:tc>
          <w:p>
            <w:pPr>
              <w:pStyle w:val="Compact"/>
              <w:jc w:val="right"/>
            </w:pPr>
            <w:r>
              <w:t xml:space="preserve">78.3</w:t>
            </w:r>
          </w:p>
        </w:tc>
        <w:tc>
          <w:p>
            <w:pPr>
              <w:pStyle w:val="Compact"/>
              <w:jc w:val="right"/>
            </w:pPr>
            <w:r>
              <w:t xml:space="preserve">9.6</w:t>
            </w:r>
          </w:p>
        </w:tc>
        <w:tc>
          <w:p>
            <w:pPr>
              <w:pStyle w:val="Compact"/>
              <w:jc w:val="right"/>
            </w:pPr>
            <w:r>
              <w:t xml:space="preserve">12.2</w:t>
            </w:r>
          </w:p>
        </w:tc>
        <w:tc>
          <w:p>
            <w:pPr>
              <w:pStyle w:val="Compact"/>
              <w:jc w:val="right"/>
            </w:pPr>
            <w:r>
              <w:t xml:space="preserve">15.2</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23.75**</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0.52 (0.35, 1.4)</w:t>
            </w:r>
          </w:p>
        </w:tc>
      </w:tr>
      <w:tr>
        <w:tc>
          <w:p/>
        </w:tc>
        <w:tc>
          <w:p>
            <w:pPr>
              <w:pStyle w:val="Compact"/>
              <w:jc w:val="left"/>
            </w:pPr>
            <w:r>
              <w:t xml:space="preserve">Chl-a (ug/L)</w:t>
            </w:r>
          </w:p>
        </w:tc>
        <w:tc>
          <w:p>
            <w:pPr>
              <w:pStyle w:val="Compact"/>
              <w:jc w:val="left"/>
            </w:pPr>
            <w:r>
              <w:t xml:space="preserve">42.21**</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5.6 (3, 120)</w:t>
            </w:r>
          </w:p>
        </w:tc>
      </w:tr>
      <w:tr>
        <w:tc>
          <w:p/>
        </w:tc>
        <w:tc>
          <w:p>
            <w:pPr>
              <w:pStyle w:val="Compact"/>
              <w:jc w:val="left"/>
            </w:pPr>
            <w:r>
              <w:t xml:space="preserve">Secchi (m)</w:t>
            </w:r>
          </w:p>
        </w:tc>
        <w:tc>
          <w:p>
            <w:pPr>
              <w:pStyle w:val="Compact"/>
              <w:jc w:val="left"/>
            </w:pPr>
            <w:r>
              <w:t xml:space="preserve">35.92**</w:t>
            </w:r>
          </w:p>
        </w:tc>
        <w:tc>
          <w:p>
            <w:pPr>
              <w:pStyle w:val="Compact"/>
              <w:jc w:val="left"/>
            </w:pPr>
            <w:r>
              <w:t xml:space="preserve">a</w:t>
            </w:r>
          </w:p>
        </w:tc>
        <w:tc>
          <w:p>
            <w:pPr>
              <w:pStyle w:val="Compact"/>
              <w:jc w:val="left"/>
            </w:pPr>
            <w:r>
              <w:t xml:space="preserve">Apr</w:t>
            </w:r>
          </w:p>
        </w:tc>
        <w:tc>
          <w:p>
            <w:pPr>
              <w:pStyle w:val="Compact"/>
              <w:jc w:val="right"/>
            </w:pPr>
            <w:r>
              <w:t xml:space="preserve">118</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18</w:t>
            </w:r>
          </w:p>
        </w:tc>
        <w:tc>
          <w:p>
            <w:pPr>
              <w:pStyle w:val="Compact"/>
              <w:jc w:val="left"/>
            </w:pPr>
            <w:r>
              <w:t xml:space="preserve">2 (0.8, 3.5)</w:t>
            </w:r>
          </w:p>
        </w:tc>
      </w:tr>
      <w:tr>
        <w:tc>
          <w:p>
            <w:pPr>
              <w:pStyle w:val="Compact"/>
              <w:jc w:val="left"/>
            </w:pPr>
            <w:r>
              <w:t xml:space="preserve">2</w:t>
            </w:r>
          </w:p>
        </w:tc>
        <w:tc>
          <w:p>
            <w:pPr>
              <w:pStyle w:val="Compact"/>
              <w:jc w:val="left"/>
            </w:pPr>
            <w:r>
              <w:t xml:space="preserve">TN (mg/L)</w:t>
            </w:r>
          </w:p>
        </w:tc>
        <w:tc>
          <w:p>
            <w:pPr>
              <w:pStyle w:val="Compact"/>
              <w:jc w:val="left"/>
            </w:pPr>
            <w:r>
              <w:t xml:space="preserve">12.18*</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0.51 (0.49,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2.38</w:t>
            </w:r>
          </w:p>
        </w:tc>
        <w:tc>
          <w:p>
            <w:pPr>
              <w:pStyle w:val="Compact"/>
              <w:jc w:val="left"/>
            </w:pPr>
            <w:r>
              <w:t xml:space="preserve">a</w:t>
            </w:r>
          </w:p>
        </w:tc>
        <w:tc>
          <w:p>
            <w:pPr>
              <w:pStyle w:val="Compact"/>
              <w:jc w:val="left"/>
            </w:pPr>
            <w:r>
              <w:t xml:space="preserve">Apr</w:t>
            </w:r>
          </w:p>
        </w:tc>
        <w:tc>
          <w:p>
            <w:pPr>
              <w:pStyle w:val="Compact"/>
              <w:jc w:val="right"/>
            </w:pPr>
            <w:r>
              <w:t xml:space="preserve">17</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w:t>
            </w:r>
          </w:p>
        </w:tc>
        <w:tc>
          <w:p>
            <w:pPr>
              <w:pStyle w:val="Compact"/>
              <w:jc w:val="left"/>
            </w:pPr>
            <w:r>
              <w:t xml:space="preserve">1.4 (1.4, 1.4)</w:t>
            </w:r>
          </w:p>
        </w:tc>
      </w:tr>
      <w:tr>
        <w:tc>
          <w:p>
            <w:pPr>
              <w:pStyle w:val="Compact"/>
              <w:jc w:val="left"/>
            </w:pPr>
            <w:r>
              <w:t xml:space="preserve">3</w:t>
            </w:r>
          </w:p>
        </w:tc>
        <w:tc>
          <w:p>
            <w:pPr>
              <w:pStyle w:val="Compact"/>
              <w:jc w:val="left"/>
            </w:pPr>
            <w:r>
              <w:t xml:space="preserve">TN (mg/L)</w:t>
            </w:r>
          </w:p>
        </w:tc>
        <w:tc>
          <w:p>
            <w:pPr>
              <w:pStyle w:val="Compact"/>
              <w:jc w:val="left"/>
            </w:pPr>
            <w:r>
              <w:t xml:space="preserve">9.41*</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12</w:t>
            </w:r>
          </w:p>
        </w:tc>
        <w:tc>
          <w:p>
            <w:pPr>
              <w:pStyle w:val="Compact"/>
              <w:jc w:val="left"/>
            </w:pPr>
            <w:r>
              <w:t xml:space="preserve">0.365 (0.31, 0.63)</w:t>
            </w:r>
          </w:p>
        </w:tc>
      </w:tr>
      <w:tr>
        <w:tc>
          <w:p/>
        </w:tc>
        <w:tc>
          <w:p>
            <w:pPr>
              <w:pStyle w:val="Compact"/>
              <w:jc w:val="left"/>
            </w:pPr>
            <w:r>
              <w:t xml:space="preserve">Chl-a (ug/L)</w:t>
            </w:r>
          </w:p>
        </w:tc>
        <w:tc>
          <w:p>
            <w:pPr>
              <w:pStyle w:val="Compact"/>
              <w:jc w:val="left"/>
            </w:pPr>
            <w:r>
              <w:t xml:space="preserve">28.52**</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18.81**</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bc</w:t>
            </w:r>
          </w:p>
        </w:tc>
        <w:tc>
          <w:p>
            <w:pPr>
              <w:pStyle w:val="Compact"/>
              <w:jc w:val="left"/>
            </w:pPr>
            <w:r>
              <w:t xml:space="preserve">Jun</w:t>
            </w:r>
          </w:p>
        </w:tc>
        <w:tc>
          <w:p>
            <w:pPr>
              <w:pStyle w:val="Compact"/>
              <w:jc w:val="right"/>
            </w:pPr>
            <w:r>
              <w:t xml:space="preserve">23</w:t>
            </w:r>
          </w:p>
        </w:tc>
        <w:tc>
          <w:p>
            <w:pPr>
              <w:pStyle w:val="Compact"/>
              <w:jc w:val="left"/>
            </w:pPr>
            <w:r>
              <w:t xml:space="preserve">0.389 (0, 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pPr>
              <w:pStyle w:val="Compact"/>
              <w:jc w:val="left"/>
            </w:pPr>
            <w:r>
              <w:t xml:space="preserve">Green</w:t>
            </w:r>
          </w:p>
        </w:tc>
        <w:tc>
          <w:p>
            <w:pPr>
              <w:pStyle w:val="Compact"/>
              <w:jc w:val="left"/>
            </w:pPr>
            <w:r>
              <w:t xml:space="preserve">0.71</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pPr>
              <w:pStyle w:val="Compact"/>
              <w:jc w:val="left"/>
            </w:pPr>
            <w:r>
              <w:t xml:space="preserve">Cyanobacteria</w:t>
            </w:r>
          </w:p>
        </w:tc>
        <w:tc>
          <w:p>
            <w:pPr>
              <w:pStyle w:val="Compact"/>
              <w:jc w:val="left"/>
            </w:pPr>
            <w:r>
              <w:t xml:space="preserve">32.13**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23</w:t>
            </w:r>
          </w:p>
        </w:tc>
        <w:tc>
          <w:p>
            <w:pPr>
              <w:pStyle w:val="Compact"/>
              <w:jc w:val="left"/>
            </w:pPr>
            <w:r>
              <w:t xml:space="preserve">0.333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pPr>
              <w:pStyle w:val="Compact"/>
              <w:jc w:val="left"/>
            </w:pPr>
            <w:r>
              <w:t xml:space="preserve">3</w:t>
            </w:r>
          </w:p>
        </w:tc>
        <w:tc>
          <w:p>
            <w:pPr>
              <w:pStyle w:val="Compact"/>
              <w:jc w:val="left"/>
            </w:pPr>
            <w:r>
              <w:t xml:space="preserve">Red</w:t>
            </w:r>
          </w:p>
        </w:tc>
        <w:tc>
          <w:p>
            <w:pPr>
              <w:pStyle w:val="Compact"/>
              <w:jc w:val="left"/>
            </w:pPr>
            <w:r>
              <w:t xml:space="preserve">21.13**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0.167 (0, 0.75)</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2.37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7.82*</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0.333)</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0.54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pPr>
              <w:pStyle w:val="Compact"/>
              <w:jc w:val="left"/>
            </w:pPr>
            <w:r>
              <w:t xml:space="preserve">Halodule wrightii</w:t>
            </w:r>
          </w:p>
        </w:tc>
        <w:tc>
          <w:p>
            <w:pPr>
              <w:pStyle w:val="Compact"/>
              <w:jc w:val="left"/>
            </w:pPr>
            <w:r>
              <w:t xml:space="preserve">0.86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pPr>
              <w:pStyle w:val="Compact"/>
              <w:jc w:val="left"/>
            </w:pPr>
            <w:r>
              <w:t xml:space="preserve">Syringodium filiforme</w:t>
            </w:r>
          </w:p>
        </w:tc>
        <w:tc>
          <w:p>
            <w:pPr>
              <w:pStyle w:val="Compact"/>
              <w:jc w:val="left"/>
            </w:pPr>
            <w:r>
              <w:t xml:space="preserve">0.16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0.583 (0.333, 1)</w:t>
            </w:r>
          </w:p>
        </w:tc>
      </w:tr>
      <w:tr>
        <w:tc>
          <w:p/>
        </w:tc>
        <w:tc>
          <w:p>
            <w:pPr>
              <w:pStyle w:val="Compact"/>
              <w:jc w:val="left"/>
            </w:pPr>
            <w:r>
              <w:t xml:space="preserve">Halodule wrightii</w:t>
            </w:r>
          </w:p>
        </w:tc>
        <w:tc>
          <w:p>
            <w:pPr>
              <w:pStyle w:val="Compact"/>
              <w:jc w:val="left"/>
            </w:pPr>
            <w:r>
              <w:t xml:space="preserve">2.16</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0.333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0.97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0.227 (0, 0.75)</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80"/>
    <w:bookmarkStart w:id="170" w:name="references"/>
    <w:p>
      <w:pPr>
        <w:pStyle w:val="Heading1"/>
      </w:pPr>
      <w:r>
        <w:t xml:space="preserve">References</w:t>
      </w:r>
    </w:p>
    <w:bookmarkStart w:id="169" w:name="refs"/>
    <w:bookmarkStart w:id="82" w:name="ref-Bates76"/>
    <w:p>
      <w:pPr>
        <w:pStyle w:val="Bibliography"/>
      </w:pPr>
      <w:r>
        <w:t xml:space="preserve">Bates, S.S., 1976. Effects of light and ammonium on nitrate uptake by two species of estuarine phytoplankton. Limnology and oceanography 21, 212–218. https://doi.org/</w:t>
      </w:r>
      <w:hyperlink r:id="rId81">
        <w:r>
          <w:rPr>
            <w:rStyle w:val="Hyperlink"/>
          </w:rPr>
          <w:t xml:space="preserve">https://doi.org/10.4319/lo.1976.21.2.0212</w:t>
        </w:r>
      </w:hyperlink>
    </w:p>
    <w:bookmarkEnd w:id="82"/>
    <w:bookmarkStart w:id="83" w:name="ref-Beck21b"/>
    <w:p>
      <w:pPr>
        <w:pStyle w:val="Bibliography"/>
      </w:pPr>
      <w:r>
        <w:t xml:space="preserve">Beck, M.W., 2021. Ggord: Ordination plots with ggplot2.</w:t>
      </w:r>
    </w:p>
    <w:bookmarkEnd w:id="83"/>
    <w:bookmarkStart w:id="85" w:name="ref-Beck18b"/>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84">
        <w:r>
          <w:rPr>
            <w:rStyle w:val="Hyperlink"/>
          </w:rPr>
          <w:t xml:space="preserve">https://doi.org/10.18785/gcr.2901.02</w:t>
        </w:r>
      </w:hyperlink>
    </w:p>
    <w:bookmarkEnd w:id="85"/>
    <w:bookmarkStart w:id="87" w:name="ref-Beck18a"/>
    <w:p>
      <w:pPr>
        <w:pStyle w:val="Bibliography"/>
      </w:pPr>
      <w:r>
        <w:t xml:space="preserve">Beck, M.W., Hagy, J.D., III, Le, C., 2018b. Quantifying seagrass light requirements using an algorithm to spatially resolve depth of colonization. Estuaries and Coasts 41, 592–610.</w:t>
      </w:r>
      <w:r>
        <w:t xml:space="preserve"> </w:t>
      </w:r>
      <w:hyperlink r:id="rId86">
        <w:r>
          <w:rPr>
            <w:rStyle w:val="Hyperlink"/>
          </w:rPr>
          <w:t xml:space="preserve">https://doi.org/10.1007/s12237-017-0287-1</w:t>
        </w:r>
      </w:hyperlink>
    </w:p>
    <w:bookmarkEnd w:id="87"/>
    <w:bookmarkStart w:id="88" w:name="ref-Beck21"/>
    <w:p>
      <w:pPr>
        <w:pStyle w:val="Bibliography"/>
      </w:pPr>
      <w:r>
        <w:t xml:space="preserve">Beck, M.W., Schrandt, M., Wessel, M., Sherwood, E., Raulerson, G., Best, B., 2021. Tbeptools: Data and indicators for the tampa bay estuary program.</w:t>
      </w:r>
    </w:p>
    <w:bookmarkEnd w:id="88"/>
    <w:bookmarkStart w:id="89" w:name="ref-Bryan20"/>
    <w:p>
      <w:pPr>
        <w:pStyle w:val="Bibliography"/>
      </w:pPr>
      <w:r>
        <w:t xml:space="preserve">Bryan, J., 2020. googlesheets4: Access google sheets using the sheets API V4.</w:t>
      </w:r>
    </w:p>
    <w:bookmarkEnd w:id="89"/>
    <w:bookmarkStart w:id="90"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90"/>
    <w:bookmarkStart w:id="92"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91">
        <w:r>
          <w:rPr>
            <w:rStyle w:val="Hyperlink"/>
          </w:rPr>
          <w:t xml:space="preserve">https://doi.org/10.1016/S0265-931X(00)00164-8</w:t>
        </w:r>
      </w:hyperlink>
    </w:p>
    <w:bookmarkEnd w:id="92"/>
    <w:bookmarkStart w:id="94" w:name="ref-Caffrey14"/>
    <w:p>
      <w:pPr>
        <w:pStyle w:val="Bibliography"/>
      </w:pPr>
      <w:r>
        <w:t xml:space="preserve">Caffrey, J.M., Murrell, M.C., Amacker, K.S., Harper, J., Phipps, S., Woodrey, M., 2013. Seasonal and inter-annual patterns in primary production, respiration and net ecosystem metabolism in 3 estuaries in the northeast</w:t>
      </w:r>
      <w:r>
        <w:t xml:space="preserve"> </w:t>
      </w:r>
      <w:r>
        <w:t xml:space="preserve">G</w:t>
      </w:r>
      <w:r>
        <w:t xml:space="preserve">ulf of</w:t>
      </w:r>
      <w:r>
        <w:t xml:space="preserve"> </w:t>
      </w:r>
      <w:r>
        <w:t xml:space="preserve">M</w:t>
      </w:r>
      <w:r>
        <w:t xml:space="preserve">exico. Estuaries and Coasts 37, 222–241. https://doi.org/</w:t>
      </w:r>
      <w:hyperlink r:id="rId93">
        <w:r>
          <w:rPr>
            <w:rStyle w:val="Hyperlink"/>
          </w:rPr>
          <w:t xml:space="preserve">https://doi.org/10.1007/s12237-013-9701-5</w:t>
        </w:r>
      </w:hyperlink>
    </w:p>
    <w:bookmarkEnd w:id="94"/>
    <w:bookmarkStart w:id="96" w:name="ref-Chen19"/>
    <w:p>
      <w:pPr>
        <w:pStyle w:val="Bibliography"/>
      </w:pPr>
      <w:r>
        <w:t xml:space="preserve">Chen, J., Weisberg, R.H., Liu, Y., Zheng, L., Zhu, J., 2019. On the momentum balance of tampa bay. Journal of Geophysical Research: Oceans 124, 4492–4510. https://doi.org/</w:t>
      </w:r>
      <w:hyperlink r:id="rId95">
        <w:r>
          <w:rPr>
            <w:rStyle w:val="Hyperlink"/>
          </w:rPr>
          <w:t xml:space="preserve">https://doi.org/10.1029/2018JC014890</w:t>
        </w:r>
      </w:hyperlink>
    </w:p>
    <w:bookmarkEnd w:id="96"/>
    <w:bookmarkStart w:id="98" w:name="ref-Cohen06"/>
    <w:p>
      <w:pPr>
        <w:pStyle w:val="Bibliography"/>
      </w:pPr>
      <w:r>
        <w:t xml:space="preserve">Cohen, R.A., Fong, P., 2006. Using opportunistic green macroalgae as indicators of nitrogen supply and sources to estuaries. Ecological Applications 16, 1405–1420. https://doi.org/</w:t>
      </w:r>
      <w:hyperlink r:id="rId97">
        <w:r>
          <w:rPr>
            <w:rStyle w:val="Hyperlink"/>
          </w:rPr>
          <w:t xml:space="preserve">https://doi.org/10.1890/1051-0761(2006)016[1405:UOGMAI]2.0.CO;2</w:t>
        </w:r>
      </w:hyperlink>
    </w:p>
    <w:bookmarkEnd w:id="98"/>
    <w:bookmarkStart w:id="99" w:name="ref-DAgostino20"/>
    <w:p>
      <w:pPr>
        <w:pStyle w:val="Bibliography"/>
      </w:pPr>
      <w:r>
        <w:t xml:space="preserve">D’Agostino McGowan, L., Bryan, J., 2020. Googledrive: An interface to google drive.</w:t>
      </w:r>
    </w:p>
    <w:bookmarkEnd w:id="99"/>
    <w:bookmarkStart w:id="100" w:name="ref-Dillon15"/>
    <w:p>
      <w:pPr>
        <w:pStyle w:val="Bibliography"/>
      </w:pPr>
      <w:r>
        <w:t xml:space="preserve">Dillon, K., Caffrey, J., Carmichael, R.H., Cressman, K., Woodrey, M., 2015. Water quality in</w:t>
      </w:r>
      <w:r>
        <w:t xml:space="preserve"> </w:t>
      </w:r>
      <w:r>
        <w:t xml:space="preserve">B</w:t>
      </w:r>
      <w:r>
        <w:t xml:space="preserve">angs</w:t>
      </w:r>
      <w:r>
        <w:t xml:space="preserve"> </w:t>
      </w:r>
      <w:r>
        <w:t xml:space="preserve">L</w:t>
      </w:r>
      <w:r>
        <w:t xml:space="preserve">ake: Effects of recurrent phosphate spills to a coastal estuary. Mississippi Water Resources Research Institute, Mississippi State, US Geological Survey, Starkville, Mississippi.</w:t>
      </w:r>
    </w:p>
    <w:bookmarkEnd w:id="100"/>
    <w:bookmarkStart w:id="101"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101"/>
    <w:bookmarkStart w:id="103" w:name="ref-Doering06"/>
    <w:p>
      <w:pPr>
        <w:pStyle w:val="Bibliography"/>
      </w:pPr>
      <w:r>
        <w:t xml:space="preserve">Doering, P.H., Chamberlain, R.H., Haunert, K.M., 2006. Chlorophyll a and its use as an indicator of eutrophication in the</w:t>
      </w:r>
      <w:r>
        <w:t xml:space="preserve"> </w:t>
      </w:r>
      <w:r>
        <w:t xml:space="preserve">C</w:t>
      </w:r>
      <w:r>
        <w:t xml:space="preserve">aloosahatchee</w:t>
      </w:r>
      <w:r>
        <w:t xml:space="preserve"> </w:t>
      </w:r>
      <w:r>
        <w:t xml:space="preserve">E</w:t>
      </w:r>
      <w:r>
        <w:t xml:space="preserve">stuary,</w:t>
      </w:r>
      <w:r>
        <w:t xml:space="preserve"> </w:t>
      </w:r>
      <w:r>
        <w:t xml:space="preserve">F</w:t>
      </w:r>
      <w:r>
        <w:t xml:space="preserve">lorida. Florida Scientist 51–72. https://doi.org/</w:t>
      </w:r>
      <w:hyperlink r:id="rId102">
        <w:r>
          <w:rPr>
            <w:rStyle w:val="Hyperlink"/>
          </w:rPr>
          <w:t xml:space="preserve">https://www.jstor.org/stable/24322132</w:t>
        </w:r>
      </w:hyperlink>
    </w:p>
    <w:bookmarkEnd w:id="103"/>
    <w:bookmarkStart w:id="105" w:name="ref-Domingues11"/>
    <w:p>
      <w:pPr>
        <w:pStyle w:val="Bibliography"/>
      </w:pPr>
      <w:r>
        <w:t xml:space="preserve">Domingues, R.B., Barbosa, A.B., Sommer, U., Galvão, H.M., 2011. Ammonium, nitrate and phytoplankton interactions in a freshwater tidal estuarine zone: Potential effects of cultural eutrophication. Aquatic sciences 73, 331–343. https://doi.org/</w:t>
      </w:r>
      <w:hyperlink r:id="rId104">
        <w:r>
          <w:rPr>
            <w:rStyle w:val="Hyperlink"/>
          </w:rPr>
          <w:t xml:space="preserve">https://doi.org/10.1007/s00027-011-0180-0</w:t>
        </w:r>
      </w:hyperlink>
    </w:p>
    <w:bookmarkEnd w:id="105"/>
    <w:bookmarkStart w:id="107"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106">
        <w:r>
          <w:rPr>
            <w:rStyle w:val="Hyperlink"/>
          </w:rPr>
          <w:t xml:space="preserve">https://doi.org/10.1016/j.marpolbul.2015.10.047</w:t>
        </w:r>
      </w:hyperlink>
    </w:p>
    <w:bookmarkEnd w:id="107"/>
    <w:bookmarkStart w:id="109" w:name="ref-Flaherty11"/>
    <w:p>
      <w:pPr>
        <w:pStyle w:val="Bibliography"/>
      </w:pPr>
      <w:r>
        <w:t xml:space="preserve">Flaherty, K.E., Landsberg, J.H., 2011. Effects of a persistent red tide</w:t>
      </w:r>
      <w:r>
        <w:t xml:space="preserve"> </w:t>
      </w:r>
      <w:r>
        <w:rPr>
          <w:iCs/>
          <w:i/>
        </w:rPr>
        <w:t xml:space="preserve">karenia brevis</w:t>
      </w:r>
      <w:r>
        <w:t xml:space="preserve"> </w:t>
      </w:r>
      <w:r>
        <w:t xml:space="preserve">bloom on community structure and species-specific relative abundance of nekton in a</w:t>
      </w:r>
      <w:r>
        <w:t xml:space="preserve"> </w:t>
      </w:r>
      <w:r>
        <w:t xml:space="preserve">G</w:t>
      </w:r>
      <w:r>
        <w:t xml:space="preserve">ulf of</w:t>
      </w:r>
      <w:r>
        <w:t xml:space="preserve"> </w:t>
      </w:r>
      <w:r>
        <w:t xml:space="preserve">M</w:t>
      </w:r>
      <w:r>
        <w:t xml:space="preserve">exico estuary. Estuaries and Coasts 34, 417–439.</w:t>
      </w:r>
      <w:r>
        <w:t xml:space="preserve"> </w:t>
      </w:r>
      <w:hyperlink r:id="rId108">
        <w:r>
          <w:rPr>
            <w:rStyle w:val="Hyperlink"/>
          </w:rPr>
          <w:t xml:space="preserve">https://doi.org/10.1007/s12237-010-9350-x</w:t>
        </w:r>
      </w:hyperlink>
    </w:p>
    <w:bookmarkEnd w:id="109"/>
    <w:bookmarkStart w:id="111"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110">
        <w:r>
          <w:rPr>
            <w:rStyle w:val="Hyperlink"/>
          </w:rPr>
          <w:t xml:space="preserve">https://doi.org/10.1016/j.marpolbul.2010.11.017</w:t>
        </w:r>
      </w:hyperlink>
    </w:p>
    <w:bookmarkEnd w:id="111"/>
    <w:bookmarkStart w:id="113" w:name="ref-Gillett21"/>
    <w:p>
      <w:pPr>
        <w:pStyle w:val="Bibliography"/>
      </w:pPr>
      <w:r>
        <w:t xml:space="preserve">Gillett, D.J., Gilbane, L., Schiff, K.C., 2021. Characterizing community structure of benthic infauna from the continental slope of the</w:t>
      </w:r>
      <w:r>
        <w:t xml:space="preserve"> </w:t>
      </w:r>
      <w:r>
        <w:t xml:space="preserve">S</w:t>
      </w:r>
      <w:r>
        <w:t xml:space="preserve">outhern</w:t>
      </w:r>
      <w:r>
        <w:t xml:space="preserve"> </w:t>
      </w:r>
      <w:r>
        <w:t xml:space="preserve">C</w:t>
      </w:r>
      <w:r>
        <w:t xml:space="preserve">alifornia</w:t>
      </w:r>
      <w:r>
        <w:t xml:space="preserve"> </w:t>
      </w:r>
      <w:r>
        <w:t xml:space="preserve">B</w:t>
      </w:r>
      <w:r>
        <w:t xml:space="preserve">ight. Frontiers in Marine Science 8, 61. https://doi.org/</w:t>
      </w:r>
      <w:hyperlink r:id="rId112">
        <w:r>
          <w:rPr>
            <w:rStyle w:val="Hyperlink"/>
          </w:rPr>
          <w:t xml:space="preserve">https://doi.org/10.3389/fmars.2021.605858</w:t>
        </w:r>
      </w:hyperlink>
    </w:p>
    <w:bookmarkEnd w:id="113"/>
    <w:bookmarkStart w:id="115"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114">
        <w:r>
          <w:rPr>
            <w:rStyle w:val="Hyperlink"/>
          </w:rPr>
          <w:t xml:space="preserve">https://doi.org/10.1007/s00267-005-0079-4</w:t>
        </w:r>
      </w:hyperlink>
    </w:p>
    <w:bookmarkEnd w:id="115"/>
    <w:bookmarkStart w:id="116"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116"/>
    <w:bookmarkStart w:id="118"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117">
        <w:r>
          <w:rPr>
            <w:rStyle w:val="Hyperlink"/>
          </w:rPr>
          <w:t xml:space="preserve">https://doi.org/10.1016/j.ecss.2014.10.003</w:t>
        </w:r>
      </w:hyperlink>
    </w:p>
    <w:bookmarkEnd w:id="118"/>
    <w:bookmarkStart w:id="119"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119"/>
    <w:bookmarkStart w:id="120" w:name="ref-Hollander13"/>
    <w:p>
      <w:pPr>
        <w:pStyle w:val="Bibliography"/>
      </w:pPr>
      <w:r>
        <w:t xml:space="preserve">Hollander, M., Wolfe, D.A., Chicken, E., 2013. Nonparametric statistical methods. John Wiley &amp; Sons.</w:t>
      </w:r>
    </w:p>
    <w:bookmarkEnd w:id="120"/>
    <w:bookmarkStart w:id="121" w:name="ref-Holm79"/>
    <w:p>
      <w:pPr>
        <w:pStyle w:val="Bibliography"/>
      </w:pPr>
      <w:r>
        <w:t xml:space="preserve">Holm, S., 1979. A simple sequentially rejective multiple test procedure. Scandinavian journal of statistics 65–70.</w:t>
      </w:r>
    </w:p>
    <w:bookmarkEnd w:id="121"/>
    <w:bookmarkStart w:id="123"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122">
        <w:r>
          <w:rPr>
            <w:rStyle w:val="Hyperlink"/>
          </w:rPr>
          <w:t xml:space="preserve">https://doi.org/10.4319/lo.2006.51.1_part_2.0364</w:t>
        </w:r>
      </w:hyperlink>
    </w:p>
    <w:bookmarkEnd w:id="123"/>
    <w:bookmarkStart w:id="124"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124"/>
    <w:bookmarkStart w:id="126" w:name="ref-Hudson11"/>
    <w:p>
      <w:pPr>
        <w:pStyle w:val="Bibliography"/>
      </w:pPr>
      <w:r>
        <w:t xml:space="preserve">Hudson-Edwards, K.A., Jamieson, H.E., Lottermoser, B.G., 2011. Mine wastes: Past, present, future. Elements 7, 375–380.</w:t>
      </w:r>
      <w:r>
        <w:t xml:space="preserve"> </w:t>
      </w:r>
      <w:hyperlink r:id="rId125">
        <w:r>
          <w:rPr>
            <w:rStyle w:val="Hyperlink"/>
          </w:rPr>
          <w:t xml:space="preserve">https://doi.org/10.2113/gselements.7.6.375</w:t>
        </w:r>
      </w:hyperlink>
    </w:p>
    <w:bookmarkEnd w:id="126"/>
    <w:bookmarkStart w:id="127"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127"/>
    <w:bookmarkStart w:id="128" w:name="ref-Janicki17"/>
    <w:p>
      <w:pPr>
        <w:pStyle w:val="Bibliography"/>
      </w:pPr>
      <w:r>
        <w:t xml:space="preserve">Janicki Environmental, Inc., 2017a.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28"/>
    <w:bookmarkStart w:id="129" w:name="ref-tbep0417"/>
    <w:p>
      <w:pPr>
        <w:pStyle w:val="Bibliography"/>
      </w:pPr>
      <w:r>
        <w:t xml:space="preserve">Janicki Environmental, Inc., 2017b.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29"/>
    <w:bookmarkStart w:id="130" w:name="ref-Janicki08"/>
    <w:p>
      <w:pPr>
        <w:pStyle w:val="Bibliography"/>
      </w:pPr>
      <w:r>
        <w:t xml:space="preserve">Janicki Environmental, Inc., 2008. Estimation of nitrogen loading from residential irrigation. Tampa Bay Estuary Program, St. Petersburg, Florida.</w:t>
      </w:r>
    </w:p>
    <w:bookmarkEnd w:id="130"/>
    <w:bookmarkStart w:id="131" w:name="ref-tbep0620"/>
    <w:p>
      <w:pPr>
        <w:pStyle w:val="Bibliography"/>
      </w:pPr>
      <w:r>
        <w:t xml:space="preserve">Karlen, D.J., Dix, T., Goetting, B.K., Markham, S.E., K.Campbell, Jernigan, J., J.Christian, Martinez, K., Chacour, A., 2020. Twenty-five-year trends in the benthic community and sediment quality of</w:t>
      </w:r>
      <w:r>
        <w:t xml:space="preserve"> </w:t>
      </w:r>
      <w:r>
        <w:t xml:space="preserve">T</w:t>
      </w:r>
      <w:r>
        <w:t xml:space="preserve">ampa</w:t>
      </w:r>
      <w:r>
        <w:t xml:space="preserve"> </w:t>
      </w:r>
      <w:r>
        <w:t xml:space="preserve">B</w:t>
      </w:r>
      <w:r>
        <w:t xml:space="preserve">ay 1993-2017 (No. 06-20). Tampa Bay Estuary Program, St. Petersburg, Florida.</w:t>
      </w:r>
    </w:p>
    <w:bookmarkEnd w:id="131"/>
    <w:bookmarkStart w:id="132"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132"/>
    <w:bookmarkStart w:id="133" w:name="ref-Lee20"/>
    <w:p>
      <w:pPr>
        <w:pStyle w:val="Bibliography"/>
      </w:pPr>
      <w:r>
        <w:t xml:space="preserve">Lee, L., 2020. NADA: Nondetects and data analysis for environmental data.</w:t>
      </w:r>
    </w:p>
    <w:bookmarkEnd w:id="133"/>
    <w:bookmarkStart w:id="135" w:name="ref-Le08"/>
    <w:p>
      <w:pPr>
        <w:pStyle w:val="Bibliography"/>
      </w:pPr>
      <w:r>
        <w:t xml:space="preserve">Lê, S., Josse, J., Husson, F., 2008.</w:t>
      </w:r>
      <w:r>
        <w:t xml:space="preserve"> </w:t>
      </w:r>
      <w:r>
        <w:t xml:space="preserve">FactoMineR</w:t>
      </w:r>
      <w:r>
        <w:t xml:space="preserve">: A package for multivariate analysis. Journal of Statistical Software 25, 1–18.</w:t>
      </w:r>
      <w:r>
        <w:t xml:space="preserve"> </w:t>
      </w:r>
      <w:hyperlink r:id="rId134">
        <w:r>
          <w:rPr>
            <w:rStyle w:val="Hyperlink"/>
          </w:rPr>
          <w:t xml:space="preserve">https://doi.org/10.18637/jss.v025.i01</w:t>
        </w:r>
      </w:hyperlink>
    </w:p>
    <w:bookmarkEnd w:id="135"/>
    <w:bookmarkStart w:id="137" w:name="ref-Lloret05"/>
    <w:p>
      <w:pPr>
        <w:pStyle w:val="Bibliography"/>
      </w:pPr>
      <w:r>
        <w:t xml:space="preserve">Lloret, J., Marin, A., Marin-Guirao, L., Velasco, J., 2005. Changes in macrophytes distribution in a hypersaline coastal lagoon associated with the development of intensively irrigated agriculture. Ocean &amp; Coastal Management 48, 828–842. https://doi.org/</w:t>
      </w:r>
      <w:hyperlink r:id="rId136">
        <w:r>
          <w:rPr>
            <w:rStyle w:val="Hyperlink"/>
          </w:rPr>
          <w:t xml:space="preserve">https://doi.org/10.1016/j.ocecoaman.2005.07.002</w:t>
        </w:r>
      </w:hyperlink>
    </w:p>
    <w:bookmarkEnd w:id="137"/>
    <w:bookmarkStart w:id="139" w:name="ref-Nixon95"/>
    <w:p>
      <w:pPr>
        <w:pStyle w:val="Bibliography"/>
      </w:pPr>
      <w:r>
        <w:t xml:space="preserve">Nixon, S.W., 1995. Coastal marine eutrophication: A definition, social causes, and future concerns. Ophelia 41, 199–219.</w:t>
      </w:r>
      <w:r>
        <w:t xml:space="preserve"> </w:t>
      </w:r>
      <w:hyperlink r:id="rId138">
        <w:r>
          <w:rPr>
            <w:rStyle w:val="Hyperlink"/>
          </w:rPr>
          <w:t xml:space="preserve">https://doi.org/10.1080/00785236.1995.10422044</w:t>
        </w:r>
      </w:hyperlink>
    </w:p>
    <w:bookmarkEnd w:id="139"/>
    <w:bookmarkStart w:id="140"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140"/>
    <w:bookmarkStart w:id="142" w:name="ref-Pebesma18"/>
    <w:p>
      <w:pPr>
        <w:pStyle w:val="Bibliography"/>
      </w:pPr>
      <w:r>
        <w:t xml:space="preserve">Pebesma, E., 2018. Simple features for</w:t>
      </w:r>
      <w:r>
        <w:t xml:space="preserve"> </w:t>
      </w:r>
      <w:r>
        <w:t xml:space="preserve">R</w:t>
      </w:r>
      <w:r>
        <w:t xml:space="preserve">: Standardized support for spatial vector data.</w:t>
      </w:r>
      <w:r>
        <w:t xml:space="preserve"> </w:t>
      </w:r>
      <w:r>
        <w:t xml:space="preserve">The R Journal</w:t>
      </w:r>
      <w:r>
        <w:t xml:space="preserve"> </w:t>
      </w:r>
      <w:r>
        <w:t xml:space="preserve">10, 439–446.</w:t>
      </w:r>
      <w:r>
        <w:t xml:space="preserve"> </w:t>
      </w:r>
      <w:hyperlink r:id="rId141">
        <w:r>
          <w:rPr>
            <w:rStyle w:val="Hyperlink"/>
          </w:rPr>
          <w:t xml:space="preserve">https://doi.org/10.32614/RJ-2018-009</w:t>
        </w:r>
      </w:hyperlink>
    </w:p>
    <w:bookmarkEnd w:id="142"/>
    <w:bookmarkStart w:id="144"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143">
        <w:r>
          <w:rPr>
            <w:rStyle w:val="Hyperlink"/>
          </w:rPr>
          <w:t xml:space="preserve">https://doi.org/10.1016/j.scitotenv.2016.02.070</w:t>
        </w:r>
      </w:hyperlink>
    </w:p>
    <w:bookmarkEnd w:id="144"/>
    <w:bookmarkStart w:id="146"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145">
        <w:r>
          <w:rPr>
            <w:rStyle w:val="Hyperlink"/>
          </w:rPr>
          <w:t xml:space="preserve">https://doi.org/10.1016/j.apgeochem.2010.02.003</w:t>
        </w:r>
      </w:hyperlink>
    </w:p>
    <w:bookmarkEnd w:id="146"/>
    <w:bookmarkStart w:id="148"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147">
        <w:r>
          <w:rPr>
            <w:rStyle w:val="Hyperlink"/>
          </w:rPr>
          <w:t xml:space="preserve">https://doi.org/10.1016/j.atmosenv.2012.12.030</w:t>
        </w:r>
      </w:hyperlink>
    </w:p>
    <w:bookmarkEnd w:id="148"/>
    <w:bookmarkStart w:id="149" w:name="ref-RCT20"/>
    <w:p>
      <w:pPr>
        <w:pStyle w:val="Bibliography"/>
      </w:pPr>
      <w:r>
        <w:t xml:space="preserve">R Core Team, 2020. R: A language and environment for statistical computing, v4.0.3. R Foundation for Statistical Computing, Vienna, Austria.</w:t>
      </w:r>
    </w:p>
    <w:bookmarkEnd w:id="149"/>
    <w:bookmarkStart w:id="151"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150">
        <w:r>
          <w:rPr>
            <w:rStyle w:val="Hyperlink"/>
          </w:rPr>
          <w:t xml:space="preserve">https://doi.org/10.1007/s11270-013-1742-7</w:t>
        </w:r>
      </w:hyperlink>
    </w:p>
    <w:bookmarkEnd w:id="151"/>
    <w:bookmarkStart w:id="153" w:name="ref-Schrandt21"/>
    <w:p>
      <w:pPr>
        <w:pStyle w:val="Bibliography"/>
      </w:pPr>
      <w:r>
        <w:t xml:space="preserve">Schrandt, M.N., MacDonald, T.C., Sherwood, E.T., Beck, M.W., 2021. A multimetric nekton index for monitoring, managing and communicating ecosystem health status in an urbanized</w:t>
      </w:r>
      <w:r>
        <w:t xml:space="preserve"> </w:t>
      </w:r>
      <w:r>
        <w:t xml:space="preserve">G</w:t>
      </w:r>
      <w:r>
        <w:t xml:space="preserve">ulf of</w:t>
      </w:r>
      <w:r>
        <w:t xml:space="preserve"> </w:t>
      </w:r>
      <w:r>
        <w:t xml:space="preserve">M</w:t>
      </w:r>
      <w:r>
        <w:t xml:space="preserve">exico estuary. Ecological Indicators 123, 107310. https://doi.org/</w:t>
      </w:r>
      <w:hyperlink r:id="rId152">
        <w:r>
          <w:rPr>
            <w:rStyle w:val="Hyperlink"/>
          </w:rPr>
          <w:t xml:space="preserve">https://doi.org/10.1016/j.ecolind.2020.107310</w:t>
        </w:r>
      </w:hyperlink>
    </w:p>
    <w:bookmarkEnd w:id="153"/>
    <w:bookmarkStart w:id="155"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154">
        <w:r>
          <w:rPr>
            <w:rStyle w:val="Hyperlink"/>
          </w:rPr>
          <w:t xml:space="preserve">https://doi.org/10.1007/s00267-013-0179-5</w:t>
        </w:r>
      </w:hyperlink>
    </w:p>
    <w:bookmarkEnd w:id="155"/>
    <w:bookmarkStart w:id="157"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156">
        <w:r>
          <w:rPr>
            <w:rStyle w:val="Hyperlink"/>
          </w:rPr>
          <w:t xml:space="preserve">https://doi.org/10.1353/sgo.2017.0026</w:t>
        </w:r>
      </w:hyperlink>
    </w:p>
    <w:bookmarkEnd w:id="157"/>
    <w:bookmarkStart w:id="158"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158"/>
    <w:bookmarkStart w:id="160" w:name="ref-Stafford06"/>
    <w:p>
      <w:pPr>
        <w:pStyle w:val="Bibliography"/>
      </w:pPr>
      <w:r>
        <w:t xml:space="preserve">Stafford, N.B., Bell, S.S., 2006. Space competition between seagrass and</w:t>
      </w:r>
      <w:r>
        <w:t xml:space="preserve"> </w:t>
      </w:r>
      <w:r>
        <w:t xml:space="preserve">C</w:t>
      </w:r>
      <w:r>
        <w:t xml:space="preserve">aulerpa prolifera (</w:t>
      </w:r>
      <w:r>
        <w:t xml:space="preserve">F</w:t>
      </w:r>
      <w:r>
        <w:t xml:space="preserve">orsskaal)</w:t>
      </w:r>
      <w:r>
        <w:t xml:space="preserve"> </w:t>
      </w:r>
      <w:r>
        <w:t xml:space="preserve">L</w:t>
      </w:r>
      <w:r>
        <w:t xml:space="preserve">amouroux following simulated disturbances in</w:t>
      </w:r>
      <w:r>
        <w:t xml:space="preserve"> </w:t>
      </w:r>
      <w:r>
        <w:t xml:space="preserve">L</w:t>
      </w:r>
      <w:r>
        <w:t xml:space="preserve">assing</w:t>
      </w:r>
      <w:r>
        <w:t xml:space="preserve"> </w:t>
      </w:r>
      <w:r>
        <w:t xml:space="preserve">P</w:t>
      </w:r>
      <w:r>
        <w:t xml:space="preserve">ark,</w:t>
      </w:r>
      <w:r>
        <w:t xml:space="preserve"> </w:t>
      </w:r>
      <w:r>
        <w:t xml:space="preserve">FL</w:t>
      </w:r>
      <w:r>
        <w:t xml:space="preserve">. Journal of Experimental Marine Biology and Ecology 333, 49–57. https://doi.org/</w:t>
      </w:r>
      <w:hyperlink r:id="rId159">
        <w:r>
          <w:rPr>
            <w:rStyle w:val="Hyperlink"/>
          </w:rPr>
          <w:t xml:space="preserve">https://doi.org/10.1016/j.jembe.2005.11.025</w:t>
        </w:r>
      </w:hyperlink>
    </w:p>
    <w:bookmarkEnd w:id="160"/>
    <w:bookmarkStart w:id="161"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61"/>
    <w:bookmarkStart w:id="163"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62">
        <w:r>
          <w:rPr>
            <w:rStyle w:val="Hyperlink"/>
          </w:rPr>
          <w:t xml:space="preserve">https://doi.org/10.1016/j.jenvman.2009.03.007</w:t>
        </w:r>
      </w:hyperlink>
    </w:p>
    <w:bookmarkEnd w:id="163"/>
    <w:bookmarkStart w:id="165" w:name="ref-Valiela97"/>
    <w:p>
      <w:pPr>
        <w:pStyle w:val="Bibliography"/>
      </w:pPr>
      <w:r>
        <w:t xml:space="preserve">Valiela, I., McClelland, J., Hauxwell, J., Behr, P.J., Hersh, D., Foreman, K., 1997. Macroalgal blooms in shallow estuaries: Controls and ecophysiological and ecosystem consequences. Limnology and oceanography 42, 1105–1118. https://doi.org/</w:t>
      </w:r>
      <w:hyperlink r:id="rId164">
        <w:r>
          <w:rPr>
            <w:rStyle w:val="Hyperlink"/>
          </w:rPr>
          <w:t xml:space="preserve">https://doi.org/10.4319/lo.1997.42.5_part_2.1105</w:t>
        </w:r>
      </w:hyperlink>
    </w:p>
    <w:bookmarkEnd w:id="165"/>
    <w:bookmarkStart w:id="166" w:name="ref-tbep0106"/>
    <w:p>
      <w:pPr>
        <w:pStyle w:val="Bibliography"/>
      </w:pPr>
      <w:r>
        <w:t xml:space="preserve">Wade, D., Malloy, K., Janicki, A., Nijbroek, R., Grabe, S., 2006. Development of a benthic index to establish sediment quality targets for the</w:t>
      </w:r>
      <w:r>
        <w:t xml:space="preserve"> </w:t>
      </w:r>
      <w:r>
        <w:t xml:space="preserve">T</w:t>
      </w:r>
      <w:r>
        <w:t xml:space="preserve">ampa</w:t>
      </w:r>
      <w:r>
        <w:t xml:space="preserve"> </w:t>
      </w:r>
      <w:r>
        <w:t xml:space="preserve">B</w:t>
      </w:r>
      <w:r>
        <w:t xml:space="preserve">ay estuary (No. 01-06). Tampa Bay Estuary Program, St. Petersburg, Florida.</w:t>
      </w:r>
    </w:p>
    <w:bookmarkEnd w:id="166"/>
    <w:bookmarkStart w:id="168"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 Welcome to the</w:t>
      </w:r>
      <w:r>
        <w:t xml:space="preserve"> </w:t>
      </w:r>
      <w:r>
        <w:t xml:space="preserve">tidyverse</w:t>
      </w:r>
      <w:r>
        <w:t xml:space="preserve">. Journal of Open Source Software 4, 1686.</w:t>
      </w:r>
      <w:r>
        <w:t xml:space="preserve"> </w:t>
      </w:r>
      <w:hyperlink r:id="rId167">
        <w:r>
          <w:rPr>
            <w:rStyle w:val="Hyperlink"/>
          </w:rPr>
          <w:t xml:space="preserve">https://doi.org/10.21105/joss.01686</w:t>
        </w:r>
      </w:hyperlink>
    </w:p>
    <w:bookmarkEnd w:id="168"/>
    <w:bookmarkEnd w:id="169"/>
    <w:bookmarkEnd w:id="170"/>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75" Target="media/rId75.jpg" /><Relationship Type="http://schemas.openxmlformats.org/officeDocument/2006/relationships/image" Id="rId74" Target="media/rId74.jpg" /><Relationship Type="http://schemas.openxmlformats.org/officeDocument/2006/relationships/image" Id="rId68" Target="media/rId68.jpg" /><Relationship Type="http://schemas.openxmlformats.org/officeDocument/2006/relationships/image" Id="rId69" Target="media/rId69.jpg" /><Relationship Type="http://schemas.openxmlformats.org/officeDocument/2006/relationships/image" Id="rId72" Target="media/rId72.jpg" /><Relationship Type="http://schemas.openxmlformats.org/officeDocument/2006/relationships/image" Id="rId73" Target="media/rId73.jpg" /><Relationship Type="http://schemas.openxmlformats.org/officeDocument/2006/relationships/image" Id="rId70" Target="media/rId70.jpg" /><Relationship Type="http://schemas.openxmlformats.org/officeDocument/2006/relationships/image" Id="rId71" Target="media/rId71.jpg" /><Relationship Type="http://schemas.openxmlformats.org/officeDocument/2006/relationships/image" Id="rId76" Target="media/rId76.jpg" /><Relationship Type="http://schemas.openxmlformats.org/officeDocument/2006/relationships/hyperlink" Id="rId104" Target="https://doi.org/10.1007/s00027-011-0180-0" TargetMode="External" /><Relationship Type="http://schemas.openxmlformats.org/officeDocument/2006/relationships/hyperlink" Id="rId114" Target="https://doi.org/10.1007/s00267-005-0079-4" TargetMode="External" /><Relationship Type="http://schemas.openxmlformats.org/officeDocument/2006/relationships/hyperlink" Id="rId154" Target="https://doi.org/10.1007/s00267-013-0179-5" TargetMode="External" /><Relationship Type="http://schemas.openxmlformats.org/officeDocument/2006/relationships/hyperlink" Id="rId150" Target="https://doi.org/10.1007/s11270-013-1742-7" TargetMode="External" /><Relationship Type="http://schemas.openxmlformats.org/officeDocument/2006/relationships/hyperlink" Id="rId108" Target="https://doi.org/10.1007/s12237-010-9350-x" TargetMode="External" /><Relationship Type="http://schemas.openxmlformats.org/officeDocument/2006/relationships/hyperlink" Id="rId93" Target="https://doi.org/10.1007/s12237-013-9701-5" TargetMode="External" /><Relationship Type="http://schemas.openxmlformats.org/officeDocument/2006/relationships/hyperlink" Id="rId86" Target="https://doi.org/10.1007/s12237-017-0287-1" TargetMode="External" /><Relationship Type="http://schemas.openxmlformats.org/officeDocument/2006/relationships/hyperlink" Id="rId91" Target="https://doi.org/10.1016/S0265-931X(00)00164-8" TargetMode="External" /><Relationship Type="http://schemas.openxmlformats.org/officeDocument/2006/relationships/hyperlink" Id="rId145" Target="https://doi.org/10.1016/j.apgeochem.2010.02.003" TargetMode="External" /><Relationship Type="http://schemas.openxmlformats.org/officeDocument/2006/relationships/hyperlink" Id="rId147" Target="https://doi.org/10.1016/j.atmosenv.2012.12.030" TargetMode="External" /><Relationship Type="http://schemas.openxmlformats.org/officeDocument/2006/relationships/hyperlink" Id="rId152" Target="https://doi.org/10.1016/j.ecolind.2020.107310" TargetMode="External" /><Relationship Type="http://schemas.openxmlformats.org/officeDocument/2006/relationships/hyperlink" Id="rId117" Target="https://doi.org/10.1016/j.ecss.2014.10.003" TargetMode="External" /><Relationship Type="http://schemas.openxmlformats.org/officeDocument/2006/relationships/hyperlink" Id="rId159" Target="https://doi.org/10.1016/j.jembe.2005.11.025" TargetMode="External" /><Relationship Type="http://schemas.openxmlformats.org/officeDocument/2006/relationships/hyperlink" Id="rId162" Target="https://doi.org/10.1016/j.jenvman.2009.03.007" TargetMode="External" /><Relationship Type="http://schemas.openxmlformats.org/officeDocument/2006/relationships/hyperlink" Id="rId110" Target="https://doi.org/10.1016/j.marpolbul.2010.11.017" TargetMode="External" /><Relationship Type="http://schemas.openxmlformats.org/officeDocument/2006/relationships/hyperlink" Id="rId106" Target="https://doi.org/10.1016/j.marpolbul.2015.10.047" TargetMode="External" /><Relationship Type="http://schemas.openxmlformats.org/officeDocument/2006/relationships/hyperlink" Id="rId136" Target="https://doi.org/10.1016/j.ocecoaman.2005.07.002" TargetMode="External" /><Relationship Type="http://schemas.openxmlformats.org/officeDocument/2006/relationships/hyperlink" Id="rId143" Target="https://doi.org/10.1016/j.scitotenv.2016.02.070" TargetMode="External" /><Relationship Type="http://schemas.openxmlformats.org/officeDocument/2006/relationships/hyperlink" Id="rId95" Target="https://doi.org/10.1029/2018JC014890" TargetMode="External" /><Relationship Type="http://schemas.openxmlformats.org/officeDocument/2006/relationships/hyperlink" Id="rId138" Target="https://doi.org/10.1080/00785236.1995.10422044" TargetMode="External" /><Relationship Type="http://schemas.openxmlformats.org/officeDocument/2006/relationships/hyperlink" Id="rId156" Target="https://doi.org/10.1353/sgo.2017.0026" TargetMode="External" /><Relationship Type="http://schemas.openxmlformats.org/officeDocument/2006/relationships/hyperlink" Id="rId134" Target="https://doi.org/10.18637/jss.v025.i01" TargetMode="External" /><Relationship Type="http://schemas.openxmlformats.org/officeDocument/2006/relationships/hyperlink" Id="rId84" Target="https://doi.org/10.18785/gcr.2901.02" TargetMode="External" /><Relationship Type="http://schemas.openxmlformats.org/officeDocument/2006/relationships/hyperlink" Id="rId97" Target="https://doi.org/10.1890/1051-0761(2006)016[1405:UOGMAI]2.0.CO;2" TargetMode="External" /><Relationship Type="http://schemas.openxmlformats.org/officeDocument/2006/relationships/hyperlink" Id="rId167" Target="https://doi.org/10.21105/joss.01686" TargetMode="External" /><Relationship Type="http://schemas.openxmlformats.org/officeDocument/2006/relationships/hyperlink" Id="rId125" Target="https://doi.org/10.2113/gselements.7.6.375" TargetMode="External" /><Relationship Type="http://schemas.openxmlformats.org/officeDocument/2006/relationships/hyperlink" Id="rId141" Target="https://doi.org/10.32614/RJ-2018-009" TargetMode="External" /><Relationship Type="http://schemas.openxmlformats.org/officeDocument/2006/relationships/hyperlink" Id="rId112" Target="https://doi.org/10.3389/fmars.2021.605858" TargetMode="External" /><Relationship Type="http://schemas.openxmlformats.org/officeDocument/2006/relationships/hyperlink" Id="rId81" Target="https://doi.org/10.4319/lo.1976.21.2.0212" TargetMode="External" /><Relationship Type="http://schemas.openxmlformats.org/officeDocument/2006/relationships/hyperlink" Id="rId164" Target="https://doi.org/10.4319/lo.1997.42.5_part_2.1105" TargetMode="External" /><Relationship Type="http://schemas.openxmlformats.org/officeDocument/2006/relationships/hyperlink" Id="rId122" Target="https://doi.org/10.4319/lo.2006.51.1_part_2.0364" TargetMode="External" /><Relationship Type="http://schemas.openxmlformats.org/officeDocument/2006/relationships/hyperlink" Id="rId46" Target="https://drive.google.com/drive/u/0/folders/1oBGvjdve-Gpo4Kn3Ovn8a8-yVoP25eec" TargetMode="External" /><Relationship Type="http://schemas.openxmlformats.org/officeDocument/2006/relationships/hyperlink" Id="rId43" Target="https://floridadep.gov/sites/default/files/21-0323.pdf" TargetMode="External" /><Relationship Type="http://schemas.openxmlformats.org/officeDocument/2006/relationships/hyperlink" Id="rId42" Target="https://geodata.dep.state.fl.us/datasets/6277c3b1eeae4a818f8683fc29e6b35b_0/about" TargetMode="External" /><Relationship Type="http://schemas.openxmlformats.org/officeDocument/2006/relationships/hyperlink" Id="rId48" Target="https://habsos.noaa.gov/" TargetMode="External" /><Relationship Type="http://schemas.openxmlformats.org/officeDocument/2006/relationships/hyperlink" Id="rId64" Target="https://myfwc.com/media/25649/2021preliminaryredtide.pdf" TargetMode="External" /><Relationship Type="http://schemas.openxmlformats.org/officeDocument/2006/relationships/hyperlink" Id="rId65" Target="https://myfwc.com/research/manatee/rescue-mortality-response/ume/" TargetMode="External" /><Relationship Type="http://schemas.openxmlformats.org/officeDocument/2006/relationships/hyperlink" Id="rId61" Target="https://prodenv.dep.state.fl.us/DepPNP/reports/viewIncidentDetails" TargetMode="External" /><Relationship Type="http://schemas.openxmlformats.org/officeDocument/2006/relationships/hyperlink" Id="rId78" Target="https://public.myfwc.com/FWRI/FishKillReport/" TargetMode="External" /><Relationship Type="http://schemas.openxmlformats.org/officeDocument/2006/relationships/hyperlink" Id="rId49" Target="https://public.myfwc.com/fwri/FishKillReport/searchresults.aspx" TargetMode="External" /><Relationship Type="http://schemas.openxmlformats.org/officeDocument/2006/relationships/hyperlink" Id="rId63" Target="https://tbep-tech.github.io/piney-point-analysis/benthic" TargetMode="External" /><Relationship Type="http://schemas.openxmlformats.org/officeDocument/2006/relationships/hyperlink" Id="rId62" Target="https://tbep-tech.github.io/piney-point-analysis/spills" TargetMode="External" /><Relationship Type="http://schemas.openxmlformats.org/officeDocument/2006/relationships/hyperlink" Id="rId47" Target="https://tbep.org/our-work/boards-committees/technical-advisory-committee/#ramp" TargetMode="External" /><Relationship Type="http://schemas.openxmlformats.org/officeDocument/2006/relationships/hyperlink" Id="rId51" Target="https://wateratlas.usf.edu/" TargetMode="External" /><Relationship Type="http://schemas.openxmlformats.org/officeDocument/2006/relationships/hyperlink" Id="rId102" Target="https://www.jstor.org/stable/24322132" TargetMode="External" /><Relationship Type="http://schemas.openxmlformats.org/officeDocument/2006/relationships/hyperlink" Id="rId77" Target="https://www.ncei.noaa.gov/maps/habsos" TargetMode="External" /><Relationship Type="http://schemas.openxmlformats.org/officeDocument/2006/relationships/hyperlink" Id="rId33"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29"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7"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1" Target="mailto:elise.morrison@essie.ufl.edu" TargetMode="External" /><Relationship Type="http://schemas.openxmlformats.org/officeDocument/2006/relationships/hyperlink" Id="rId36" Target="mailto:esherwood@tbep.org" TargetMode="External" /><Relationship Type="http://schemas.openxmlformats.org/officeDocument/2006/relationships/hyperlink" Id="rId34"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lewis@tbep.org" TargetMode="External" /><Relationship Type="http://schemas.openxmlformats.org/officeDocument/2006/relationships/hyperlink" Id="rId40"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0" Target="mailto:miles.medina@ufl.edu" TargetMode="External" /><Relationship Type="http://schemas.openxmlformats.org/officeDocument/2006/relationships/hyperlink" Id="rId39" Target="mailto:nijole.wellendorf@floridadep.org" TargetMode="External" /><Relationship Type="http://schemas.openxmlformats.org/officeDocument/2006/relationships/hyperlink" Id="rId32" Target="mailto:phlips@ufl.edu" TargetMode="External" /><Relationship Type="http://schemas.openxmlformats.org/officeDocument/2006/relationships/hyperlink" Id="rId35" Target="mailto:sscolar@tbep.org" TargetMode="External" /><Relationship Type="http://schemas.openxmlformats.org/officeDocument/2006/relationships/hyperlink" Id="rId38" Target="mailto:weisberg@usf.edu" TargetMode="External" /><Relationship Type="http://schemas.openxmlformats.org/officeDocument/2006/relationships/hyperlink" Id="rId28" Target="mailto:yliu@usf.edu" TargetMode="External" /></Relationships>
</file>

<file path=word/_rels/footnotes.xml.rels><?xml version="1.0" encoding="UTF-8"?>
<Relationships xmlns="http://schemas.openxmlformats.org/package/2006/relationships"><Relationship Type="http://schemas.openxmlformats.org/officeDocument/2006/relationships/hyperlink" Id="rId104" Target="https://doi.org/10.1007/s00027-011-0180-0" TargetMode="External" /><Relationship Type="http://schemas.openxmlformats.org/officeDocument/2006/relationships/hyperlink" Id="rId114" Target="https://doi.org/10.1007/s00267-005-0079-4" TargetMode="External" /><Relationship Type="http://schemas.openxmlformats.org/officeDocument/2006/relationships/hyperlink" Id="rId154" Target="https://doi.org/10.1007/s00267-013-0179-5" TargetMode="External" /><Relationship Type="http://schemas.openxmlformats.org/officeDocument/2006/relationships/hyperlink" Id="rId150" Target="https://doi.org/10.1007/s11270-013-1742-7" TargetMode="External" /><Relationship Type="http://schemas.openxmlformats.org/officeDocument/2006/relationships/hyperlink" Id="rId108" Target="https://doi.org/10.1007/s12237-010-9350-x" TargetMode="External" /><Relationship Type="http://schemas.openxmlformats.org/officeDocument/2006/relationships/hyperlink" Id="rId93" Target="https://doi.org/10.1007/s12237-013-9701-5" TargetMode="External" /><Relationship Type="http://schemas.openxmlformats.org/officeDocument/2006/relationships/hyperlink" Id="rId86" Target="https://doi.org/10.1007/s12237-017-0287-1" TargetMode="External" /><Relationship Type="http://schemas.openxmlformats.org/officeDocument/2006/relationships/hyperlink" Id="rId91" Target="https://doi.org/10.1016/S0265-931X(00)00164-8" TargetMode="External" /><Relationship Type="http://schemas.openxmlformats.org/officeDocument/2006/relationships/hyperlink" Id="rId145" Target="https://doi.org/10.1016/j.apgeochem.2010.02.003" TargetMode="External" /><Relationship Type="http://schemas.openxmlformats.org/officeDocument/2006/relationships/hyperlink" Id="rId147" Target="https://doi.org/10.1016/j.atmosenv.2012.12.030" TargetMode="External" /><Relationship Type="http://schemas.openxmlformats.org/officeDocument/2006/relationships/hyperlink" Id="rId152" Target="https://doi.org/10.1016/j.ecolind.2020.107310" TargetMode="External" /><Relationship Type="http://schemas.openxmlformats.org/officeDocument/2006/relationships/hyperlink" Id="rId117" Target="https://doi.org/10.1016/j.ecss.2014.10.003" TargetMode="External" /><Relationship Type="http://schemas.openxmlformats.org/officeDocument/2006/relationships/hyperlink" Id="rId159" Target="https://doi.org/10.1016/j.jembe.2005.11.025" TargetMode="External" /><Relationship Type="http://schemas.openxmlformats.org/officeDocument/2006/relationships/hyperlink" Id="rId162" Target="https://doi.org/10.1016/j.jenvman.2009.03.007" TargetMode="External" /><Relationship Type="http://schemas.openxmlformats.org/officeDocument/2006/relationships/hyperlink" Id="rId110" Target="https://doi.org/10.1016/j.marpolbul.2010.11.017" TargetMode="External" /><Relationship Type="http://schemas.openxmlformats.org/officeDocument/2006/relationships/hyperlink" Id="rId106" Target="https://doi.org/10.1016/j.marpolbul.2015.10.047" TargetMode="External" /><Relationship Type="http://schemas.openxmlformats.org/officeDocument/2006/relationships/hyperlink" Id="rId136" Target="https://doi.org/10.1016/j.ocecoaman.2005.07.002" TargetMode="External" /><Relationship Type="http://schemas.openxmlformats.org/officeDocument/2006/relationships/hyperlink" Id="rId143" Target="https://doi.org/10.1016/j.scitotenv.2016.02.070" TargetMode="External" /><Relationship Type="http://schemas.openxmlformats.org/officeDocument/2006/relationships/hyperlink" Id="rId95" Target="https://doi.org/10.1029/2018JC014890" TargetMode="External" /><Relationship Type="http://schemas.openxmlformats.org/officeDocument/2006/relationships/hyperlink" Id="rId138" Target="https://doi.org/10.1080/00785236.1995.10422044" TargetMode="External" /><Relationship Type="http://schemas.openxmlformats.org/officeDocument/2006/relationships/hyperlink" Id="rId156" Target="https://doi.org/10.1353/sgo.2017.0026" TargetMode="External" /><Relationship Type="http://schemas.openxmlformats.org/officeDocument/2006/relationships/hyperlink" Id="rId134" Target="https://doi.org/10.18637/jss.v025.i01" TargetMode="External" /><Relationship Type="http://schemas.openxmlformats.org/officeDocument/2006/relationships/hyperlink" Id="rId84" Target="https://doi.org/10.18785/gcr.2901.02" TargetMode="External" /><Relationship Type="http://schemas.openxmlformats.org/officeDocument/2006/relationships/hyperlink" Id="rId97" Target="https://doi.org/10.1890/1051-0761(2006)016[1405:UOGMAI]2.0.CO;2" TargetMode="External" /><Relationship Type="http://schemas.openxmlformats.org/officeDocument/2006/relationships/hyperlink" Id="rId167" Target="https://doi.org/10.21105/joss.01686" TargetMode="External" /><Relationship Type="http://schemas.openxmlformats.org/officeDocument/2006/relationships/hyperlink" Id="rId125" Target="https://doi.org/10.2113/gselements.7.6.375" TargetMode="External" /><Relationship Type="http://schemas.openxmlformats.org/officeDocument/2006/relationships/hyperlink" Id="rId141" Target="https://doi.org/10.32614/RJ-2018-009" TargetMode="External" /><Relationship Type="http://schemas.openxmlformats.org/officeDocument/2006/relationships/hyperlink" Id="rId112" Target="https://doi.org/10.3389/fmars.2021.605858" TargetMode="External" /><Relationship Type="http://schemas.openxmlformats.org/officeDocument/2006/relationships/hyperlink" Id="rId81" Target="https://doi.org/10.4319/lo.1976.21.2.0212" TargetMode="External" /><Relationship Type="http://schemas.openxmlformats.org/officeDocument/2006/relationships/hyperlink" Id="rId164" Target="https://doi.org/10.4319/lo.1997.42.5_part_2.1105" TargetMode="External" /><Relationship Type="http://schemas.openxmlformats.org/officeDocument/2006/relationships/hyperlink" Id="rId122" Target="https://doi.org/10.4319/lo.2006.51.1_part_2.0364" TargetMode="External" /><Relationship Type="http://schemas.openxmlformats.org/officeDocument/2006/relationships/hyperlink" Id="rId46" Target="https://drive.google.com/drive/u/0/folders/1oBGvjdve-Gpo4Kn3Ovn8a8-yVoP25eec" TargetMode="External" /><Relationship Type="http://schemas.openxmlformats.org/officeDocument/2006/relationships/hyperlink" Id="rId43" Target="https://floridadep.gov/sites/default/files/21-0323.pdf" TargetMode="External" /><Relationship Type="http://schemas.openxmlformats.org/officeDocument/2006/relationships/hyperlink" Id="rId42" Target="https://geodata.dep.state.fl.us/datasets/6277c3b1eeae4a818f8683fc29e6b35b_0/about" TargetMode="External" /><Relationship Type="http://schemas.openxmlformats.org/officeDocument/2006/relationships/hyperlink" Id="rId48" Target="https://habsos.noaa.gov/" TargetMode="External" /><Relationship Type="http://schemas.openxmlformats.org/officeDocument/2006/relationships/hyperlink" Id="rId64" Target="https://myfwc.com/media/25649/2021preliminaryredtide.pdf" TargetMode="External" /><Relationship Type="http://schemas.openxmlformats.org/officeDocument/2006/relationships/hyperlink" Id="rId65" Target="https://myfwc.com/research/manatee/rescue-mortality-response/ume/" TargetMode="External" /><Relationship Type="http://schemas.openxmlformats.org/officeDocument/2006/relationships/hyperlink" Id="rId61" Target="https://prodenv.dep.state.fl.us/DepPNP/reports/viewIncidentDetails" TargetMode="External" /><Relationship Type="http://schemas.openxmlformats.org/officeDocument/2006/relationships/hyperlink" Id="rId78" Target="https://public.myfwc.com/FWRI/FishKillReport/" TargetMode="External" /><Relationship Type="http://schemas.openxmlformats.org/officeDocument/2006/relationships/hyperlink" Id="rId49" Target="https://public.myfwc.com/fwri/FishKillReport/searchresults.aspx" TargetMode="External" /><Relationship Type="http://schemas.openxmlformats.org/officeDocument/2006/relationships/hyperlink" Id="rId63" Target="https://tbep-tech.github.io/piney-point-analysis/benthic" TargetMode="External" /><Relationship Type="http://schemas.openxmlformats.org/officeDocument/2006/relationships/hyperlink" Id="rId62" Target="https://tbep-tech.github.io/piney-point-analysis/spills" TargetMode="External" /><Relationship Type="http://schemas.openxmlformats.org/officeDocument/2006/relationships/hyperlink" Id="rId47" Target="https://tbep.org/our-work/boards-committees/technical-advisory-committee/#ramp" TargetMode="External" /><Relationship Type="http://schemas.openxmlformats.org/officeDocument/2006/relationships/hyperlink" Id="rId51" Target="https://wateratlas.usf.edu/" TargetMode="External" /><Relationship Type="http://schemas.openxmlformats.org/officeDocument/2006/relationships/hyperlink" Id="rId102" Target="https://www.jstor.org/stable/24322132" TargetMode="External" /><Relationship Type="http://schemas.openxmlformats.org/officeDocument/2006/relationships/hyperlink" Id="rId77" Target="https://www.ncei.noaa.gov/maps/habsos" TargetMode="External" /><Relationship Type="http://schemas.openxmlformats.org/officeDocument/2006/relationships/hyperlink" Id="rId33"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29"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7" Target="mailto:dave@sarasotabay.org" TargetMode="External" /><Relationship Type="http://schemas.openxmlformats.org/officeDocument/2006/relationships/hyperlink" Id="rId25" Target="mailto:diwchin@gmail.com" TargetMode="External" /><Relationship Type="http://schemas.openxmlformats.org/officeDocument/2006/relationships/hyperlink" Id="rId26" Target="mailto:edontis@co.pinellas.fl.us" TargetMode="External" /><Relationship Type="http://schemas.openxmlformats.org/officeDocument/2006/relationships/hyperlink" Id="rId31" Target="mailto:elise.morrison@essie.ufl.edu" TargetMode="External" /><Relationship Type="http://schemas.openxmlformats.org/officeDocument/2006/relationships/hyperlink" Id="rId36" Target="mailto:esherwood@tbep.org" TargetMode="External" /><Relationship Type="http://schemas.openxmlformats.org/officeDocument/2006/relationships/hyperlink" Id="rId34" Target="mailto:graulerson@tbep.org" TargetMode="External" /><Relationship Type="http://schemas.openxmlformats.org/officeDocument/2006/relationships/hyperlink" Id="rId24" Target="mailto:jchen15@usf.edu" TargetMode="External" /><Relationship Type="http://schemas.openxmlformats.org/officeDocument/2006/relationships/hyperlink" Id="rId27" Target="mailto:jlewis@tbep.org" TargetMode="External" /><Relationship Type="http://schemas.openxmlformats.org/officeDocument/2006/relationships/hyperlink" Id="rId40"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30" Target="mailto:miles.medina@ufl.edu" TargetMode="External" /><Relationship Type="http://schemas.openxmlformats.org/officeDocument/2006/relationships/hyperlink" Id="rId39" Target="mailto:nijole.wellendorf@floridadep.org" TargetMode="External" /><Relationship Type="http://schemas.openxmlformats.org/officeDocument/2006/relationships/hyperlink" Id="rId32" Target="mailto:phlips@ufl.edu" TargetMode="External" /><Relationship Type="http://schemas.openxmlformats.org/officeDocument/2006/relationships/hyperlink" Id="rId35" Target="mailto:sscolar@tbep.org" TargetMode="External" /><Relationship Type="http://schemas.openxmlformats.org/officeDocument/2006/relationships/hyperlink" Id="rId38" Target="mailto:weisberg@usf.edu" TargetMode="External" /><Relationship Type="http://schemas.openxmlformats.org/officeDocument/2006/relationships/hyperlink" Id="rId28"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estuarine response to the nutrient dense Piney Point wastewater discharge into Tampa Bay, Florida</dc:title>
  <dc:creator>Marcus W. Beck (mbeck@tbep.org), Andrew Altieri (andrew.altieri@essie.ufl.edu), Christine Angelini (christine.angelini@essie.ufl.edu), Maya C. Burke (mburke@tbep.org), Jing Chen (jchen15@usf.edu), Diana W. Chin (diwchin@gmail.com), Emma E. Dontis (edontis@co.pinellas.fl.us), Jessica Lewis (jlewis@tbep.org), Yonggang Liu (yliu@usf.edu), Cary Lopez (cary.lopez@myfwc.com), Miles Medina (miles.medina@ufl.edu), Elise Morrison (elise.morrison@essie.ufl.edu), Edward J. Phlips (phlips@ufl.edu), Mark Rains (Mark.Rains@floridadep.gov), Gary E. Raulerson (graulerson@tbep.org), Sheila Scolaro (sscolar@tbep.org), Edward T. Sherwood (esherwood@tbep.org), David Tomasko (dave@sarasotabay.org), Bob Weisberg (weisberg@usf.edu), Nijole Wellendorf (nijole.wellendorf@floridadep.org), Joe Whalen (jwhalen@tbep.org)</dc:creator>
  <cp:keywords/>
  <dcterms:created xsi:type="dcterms:W3CDTF">2021-10-11T16:54:21Z</dcterms:created>
  <dcterms:modified xsi:type="dcterms:W3CDTF">2021-10-11T16:54:21Z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