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9.jpg" ContentType="image/jpeg"/>
  <Override PartName="/word/media/rId68.jpg" ContentType="image/jpeg"/>
  <Override PartName="/word/media/rId62.jpg" ContentType="image/jpeg"/>
  <Override PartName="/word/media/rId63.jpg" ContentType="image/jpeg"/>
  <Override PartName="/word/media/rId66.jpg" ContentType="image/jpeg"/>
  <Override PartName="/word/media/rId67.jpg" ContentType="image/jpeg"/>
  <Override PartName="/word/media/rId64.jpg" ContentType="image/jpeg"/>
  <Override PartName="/word/media/rId65.jpg" ContentType="image/jpeg"/>
  <Override PartName="/word/media/rId70.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2">
        <w:r>
          <w:rPr>
            <w:rStyle w:val="Hyperlink"/>
          </w:rPr>
          <w:t xml:space="preserve">mburke@tbep.org</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3">
        <w:r>
          <w:rPr>
            <w:rStyle w:val="Hyperlink"/>
          </w:rPr>
          <w:t xml:space="preserve">diwchin@gmail.com</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4">
        <w:r>
          <w:rPr>
            <w:rStyle w:val="Hyperlink"/>
          </w:rPr>
          <w:t xml:space="preserve">edontis@co.pinellas.fl.us</w:t>
        </w:r>
      </w:hyperlink>
      <w:r>
        <w:t xml:space="preserve">),</w:t>
      </w:r>
      <w:r>
        <w:t xml:space="preserve"> </w:t>
      </w:r>
      <w:r>
        <w:t xml:space="preserve">Jessica</w:t>
      </w:r>
      <w:r>
        <w:t xml:space="preserve"> </w:t>
      </w:r>
      <w:r>
        <w:t xml:space="preserve">Lewis</w:t>
      </w:r>
      <w:r>
        <w:t xml:space="preserve"> </w:t>
      </w:r>
      <w:r>
        <w:t xml:space="preserve">(</w:t>
      </w:r>
      <w:hyperlink r:id="rId25">
        <w:r>
          <w:rPr>
            <w:rStyle w:val="Hyperlink"/>
          </w:rPr>
          <w:t xml:space="preserve">jlewis@tbep.org</w:t>
        </w:r>
      </w:hyperlink>
      <w:r>
        <w:t xml:space="preserve">),</w:t>
      </w:r>
      <w:r>
        <w:t xml:space="preserve"> </w:t>
      </w:r>
      <w:r>
        <w:t xml:space="preserve">Miles</w:t>
      </w:r>
      <w:r>
        <w:t xml:space="preserve"> </w:t>
      </w:r>
      <w:r>
        <w:t xml:space="preserve">Medina</w:t>
      </w:r>
      <w:r>
        <w:t xml:space="preserve"> </w:t>
      </w:r>
      <w:r>
        <w:t xml:space="preserve">(</w:t>
      </w:r>
      <w:hyperlink r:id="rId26">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27">
        <w:r>
          <w:rPr>
            <w:rStyle w:val="Hyperlink"/>
          </w:rPr>
          <w:t xml:space="preserve">elise.morrison@essie.ufl.edu</w:t>
        </w:r>
      </w:hyperlink>
      <w:r>
        <w:t xml:space="preserve">),</w:t>
      </w:r>
      <w:r>
        <w:t xml:space="preserve"> </w:t>
      </w:r>
      <w:r>
        <w:t xml:space="preserve">Mark</w:t>
      </w:r>
      <w:r>
        <w:t xml:space="preserve"> </w:t>
      </w:r>
      <w:r>
        <w:t xml:space="preserve">Rains</w:t>
      </w:r>
      <w:r>
        <w:t xml:space="preserve"> </w:t>
      </w:r>
      <w:r>
        <w:t xml:space="preserve">(</w:t>
      </w:r>
      <w:hyperlink r:id="rId28">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29">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0">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31">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2">
        <w:r>
          <w:rPr>
            <w:rStyle w:val="Hyperlink"/>
          </w:rPr>
          <w:t xml:space="preserve">dave@sarasotabay.org</w:t>
        </w:r>
      </w:hyperlink>
      <w:r>
        <w:t xml:space="preserve">),</w:t>
      </w:r>
      <w:r>
        <w:t xml:space="preserve"> </w:t>
      </w:r>
      <w:r>
        <w:t xml:space="preserve">Nijole</w:t>
      </w:r>
      <w:r>
        <w:t xml:space="preserve"> </w:t>
      </w:r>
      <w:r>
        <w:t xml:space="preserve">Wellendorf</w:t>
      </w:r>
      <w:r>
        <w:t xml:space="preserve"> </w:t>
      </w:r>
      <w:r>
        <w:t xml:space="preserve">(</w:t>
      </w:r>
      <w:hyperlink r:id="rId33">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34">
        <w:r>
          <w:rPr>
            <w:rStyle w:val="Hyperlink"/>
          </w:rPr>
          <w:t xml:space="preserve">jwhalen@tbep.org</w:t>
        </w:r>
      </w:hyperlink>
      <w:r>
        <w:t xml:space="preserve">)</w:t>
      </w:r>
    </w:p>
    <w:p>
      <w:pPr>
        <w:pStyle w:val="FirstParagraph"/>
      </w:pPr>
      <w:r>
        <w:t xml:space="preserve">Last manuscript build 2021-09-19 10:59:24</w:t>
      </w:r>
    </w:p>
    <w:bookmarkStart w:id="35"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external nitrogen load estimates in a matter of days. An immediate phytoplankton response was observed in samples closest to the discharge site, with chlorophyll concentrations exceeding 50 ug/L. Macroalgae blooms of cyanobacteria (</w:t>
      </w:r>
      <w:r>
        <w:rPr>
          <w:iCs/>
          <w:i/>
        </w:rPr>
        <w:t xml:space="preserve">Lyngbya</w:t>
      </w:r>
      <w:r>
        <w:t xml:space="preserve"> </w:t>
      </w:r>
      <w:r>
        <w:t xml:space="preserve">spp.) were observed beginning in May, with biomass peaking in June at 48% frequency occurrence for some locations. Though present south of Tampa Bay prior to the event, blooms of</w:t>
      </w:r>
      <w:r>
        <w:t xml:space="preserve"> </w:t>
      </w:r>
      <w:r>
        <w:rPr>
          <w:iCs/>
          <w:i/>
        </w:rPr>
        <w:t xml:space="preserve">Karenia brevis</w:t>
      </w:r>
      <w:r>
        <w:t xml:space="preserve"> </w:t>
      </w:r>
      <w:r>
        <w:t xml:space="preserve">were first observed in May and continued through July within Tampa Bay proper. Reported fish kills tracked bloom concentrations, prompting local cleanup efforts to remove over 1800 tons of dead fish. Combined, these observations indicate abnormal conditions in Tampa Bay following release of wastewater from Piney Point, which is supported by comparison to the decades of baseline environmental monitoring data for the region and typical seasonal conditions experienced in recent years.</w:t>
      </w:r>
    </w:p>
    <w:p>
      <w:pPr>
        <w:pStyle w:val="BodyText"/>
      </w:pPr>
      <w:r>
        <w:rPr>
          <w:iCs/>
          <w:i/>
        </w:rPr>
        <w:t xml:space="preserve">Key words</w:t>
      </w:r>
      <w:r>
        <w:t xml:space="preserve">: nitrogen, phosphate mining, seagrass, Tampa Bay, wastewater, water quality</w:t>
      </w:r>
    </w:p>
    <w:bookmarkEnd w:id="35"/>
    <w:bookmarkStart w:id="38"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atmospheric, stormwater and wastewater sources. The effects of nitrogen from dominant external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a">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estuary in Florida located in a heavily urbanized watershed of nearly 3 million individuals. Historical gains in seagrass coverage in Tampa Bay have been achieved through public-private partnerships and consensus-based approaches to science applications that seek to limit the total nutrient loads delivered 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external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historical gains in environmental recovery. While point-source inputs of nutrient loads from wastewater treatment plants and industrial sources into Tampa Bay have been much reduced, non-point source loads from wastewater sources and stormwater runoff are estimated to dominate external nutrient loads to the bay, particularly during the rainy season from June to September</w:t>
      </w:r>
      <w:r>
        <w:t xml:space="preserve"> </w:t>
      </w:r>
      <w:r>
        <w:t xml:space="preserve">(</w:t>
      </w:r>
      <w:hyperlink w:anchor="ref-Janicki17">
        <w:r>
          <w:rPr>
            <w:rStyle w:val="Hyperlink"/>
          </w:rPr>
          <w:t xml:space="preserve">Janicki Environmental, Inc., 2017a</w:t>
        </w:r>
      </w:hyperlink>
      <w:r>
        <w:t xml:space="preserve">,</w:t>
      </w:r>
      <w:r>
        <w:t xml:space="preserve"> </w:t>
      </w:r>
      <w:hyperlink w:anchor="ref-Janicki08">
        <w:r>
          <w:rPr>
            <w:rStyle w:val="Hyperlink"/>
          </w:rPr>
          <w:t xml:space="preserve">2008</w:t>
        </w:r>
      </w:hyperlink>
      <w:r>
        <w:t xml:space="preserve">)</w:t>
      </w:r>
      <w:r>
        <w:t xml:space="preserve">. Atmospheric deposition of nutrients from fossil fuel-based power production and automobile traffic further contribute about one-quarter of the total nitrogen inputs directly to the bay’s surface</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Many of these challenges are addressed by ongoing efforts of the US EPA National Estuary Program through implementation of a science-based resource management plan for the Bay</w:t>
      </w:r>
      <w:r>
        <w:t xml:space="preserve"> </w:t>
      </w:r>
      <w:r>
        <w:t xml:space="preserve">(</w:t>
      </w:r>
      <w:hyperlink w:anchor="ref-Ohara17">
        <w:r>
          <w:rPr>
            <w:rStyle w:val="Hyperlink"/>
          </w:rPr>
          <w:t xml:space="preserve">N. O’Hara, Shafer Consulting, Inc., 2017</w:t>
        </w:r>
      </w:hyperlink>
      <w:r>
        <w:t xml:space="preserve">)</w:t>
      </w:r>
      <w:r>
        <w:t xml:space="preserve">. The Tampa Bay Estuary Program and its partners have been instrumental in coordinating efforts among local and regional stakeholders to address legacy pollutants and current threats to the long-term protection of bay resources</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 worldwide</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Phosphate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b">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b">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36">
        <w:r>
          <w:rPr>
            <w:rStyle w:val="Hyperlink"/>
          </w:rPr>
          <w:t xml:space="preserve">Florida Department of Environmental Protection</w:t>
        </w:r>
      </w:hyperlink>
      <w:r>
        <w:t xml:space="preserve">) exist in the Tampa Bay watershed with no comprehensive, long-term plan for closure or disposal of waste. The Piney Point facility located in Palmetto, Florida is a large, remnant phosphogypsum stack located less than two miles from the shore of Tampa Bay and near two Florida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with oversight by the Florida Departmental of Environmental Protection (FDEP). Decreasing holding capacity of the ponds with seasonal rain events, tropical storms, and storage of dredging material from nearby Port Manatee have contributed to degradation of the facility. Discharges of wastewater from the stacks occurred in the early 2000s and 2011 to nearby Bishop Harbor connected to Tampa Bay. Those discharges resulted in spatially-restricted, ecosystem responses</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Recently, FDEP authorized an</w:t>
      </w:r>
      <w:r>
        <w:t xml:space="preserve"> </w:t>
      </w:r>
      <w:hyperlink r:id="rId37">
        <w:r>
          <w:rPr>
            <w:rStyle w:val="Hyperlink"/>
          </w:rPr>
          <w:t xml:space="preserve">emergency order</w:t>
        </w:r>
      </w:hyperlink>
      <w:r>
        <w:t xml:space="preserve"> </w:t>
      </w:r>
      <w:r>
        <w:t xml:space="preserve">on March 30th, 2021 to release wastewater from the southern gypstack directly into lower Tampa Bay to prevent catastrophic failure of the berms supporting the holding ponds. At that time, approximately 480 million gallons of legacy phosphate mining wastewater was being held in the failing gypstack.</w:t>
      </w:r>
    </w:p>
    <w:p>
      <w:pPr>
        <w:pStyle w:val="BodyText"/>
      </w:pPr>
      <w:r>
        <w:t xml:space="preserve">This paper provides an initial assessment of environmental conditions in Tampa Bay over four months following the recent release of 215 million gallons of legacy phosphate mining wastewater in April, 2021. The goal is to describe the results of monitoring data of surface waters collected in response to the discharge event to assess relative deviation of current conditions from long-term, seasonal records of water quality, phytoplankton, and seagrass/macroalgae datasets available for the region. We provide a brief overview of the history of the Piney Point facility, including past wastewater releases and impacts observed in Tampa Bay. A timeline of events in 2021 is also provided, which is supported by the quantitative results from 2021 response-based monitoring of conditions in and around Port Manatee, FL – the focal point of emergency discharges from the Piney Point facility. The results of this study provide an initial documentation of impacts to the natural resources of Tampa Bay that can be used to inform long-term assessments of acute wastewater discharge events on the environmental quality of the region. We focus primarily on the perspective of the Tampa Bay Estuary Program in its role in coordinating monitoring and evaluating short-term impacts, particularly in the context of seagrass resources and long-term management goals that leverage existing partnerships among local resource management institutions.</w:t>
      </w:r>
    </w:p>
    <w:bookmarkEnd w:id="38"/>
    <w:bookmarkStart w:id="48" w:name="methods"/>
    <w:p>
      <w:pPr>
        <w:pStyle w:val="Heading1"/>
      </w:pPr>
      <w:r>
        <w:t xml:space="preserve">Methods</w:t>
      </w:r>
    </w:p>
    <w:bookmarkStart w:id="39" w:name="history-of-piney-point"/>
    <w:p>
      <w:pPr>
        <w:pStyle w:val="Heading2"/>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54 million gallons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13 inches of rain, causing over 10 million gallons of wastewater to be released into Bishop Harbor, with an estimated 15.4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an increase in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was observed as a potential indication of nutrient eutrophication. Around the same time, 248 million gallons of wastewater from Piney Point were barged 120 miles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Holdings, LLC (hereafter, 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1.5 million cubic yards of dredged material and seawater from Port Manatee to improve shipping capacity at the port (i.e., Berth 12 construction). This material was added to an existing gypstack at Piney Point. Placement of the dredged material was suspected in compromising the liner integrity which led to an emergency discharge that released 169 million gallons of dredged saltwater slurry and 3.5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p>
      <w:pPr>
        <w:pStyle w:val="BodyText"/>
      </w:pPr>
      <w:r>
        <w:t xml:space="preserve">Legacy wastewater discharges from Piney Point did not occur again until 2021, although onsite stormwater management and discharges have occurred throughout its history. Leakages from a tear in the plastic liner of the southern holding pond (NGS-S) were suspected when water quality samples with a similar conductivity as the wastewater were detected at onsite seepage interceptor drains. The NGS-S holding pond held 480 million gallons of wastewater, as a mixture of remnant process water from phosphate production and seawater from port dredging operations. Water quality parameters of NGS-S measured in 2019 were well above baseline conditions typical of surface waters in Tampa Bay (Table</w:t>
      </w:r>
      <w:r>
        <w:t xml:space="preserve"> </w:t>
      </w:r>
      <w:r>
        <w:t xml:space="preserve">1</w:t>
      </w:r>
      <w:r>
        <w:t xml:space="preserve">), particularly for total phosphorus (160 mg/L) and total nitrogen (230 mg/L). Due to public safety and property concerns over catastrophic failure of the holding walls, an</w:t>
      </w:r>
      <w:r>
        <w:t xml:space="preserve"> </w:t>
      </w:r>
      <w:hyperlink r:id="rId37">
        <w:r>
          <w:rPr>
            <w:rStyle w:val="Hyperlink"/>
          </w:rPr>
          <w:t xml:space="preserve">emergency order</w:t>
        </w:r>
      </w:hyperlink>
      <w:r>
        <w:t xml:space="preserve"> </w:t>
      </w:r>
      <w:r>
        <w:t xml:space="preserve">was issued by FDEP on March 29th for HRK to begin release of wastewater from the stack into Tampa Bay to reduce physical strain on the stacks. Unlike past discharges from the site, HRK was authorized to release wastewater through siphon lines established during dredging operations in 2011 and that discharged through Berth 12 at Port Manatee. This was done under the assumption that backwater habitats (e.g., Bishop Harbor) may be spared the impacts of additional effluent discharges from the site, as was observed in prior events. From March 30th to April 9th, approximately 215 million gallons of wastewater were released to lower Tampa Bay. Over this ten day period, an estimated 205 tons of nitrogen were delivered to the bay, exceeding contemporary annual estimates of external nutrient loads to lower Tampa Bay in a matter of days</w:t>
      </w:r>
      <w:r>
        <w:t xml:space="preserve"> </w:t>
      </w:r>
      <w:r>
        <w:t xml:space="preserve">(</w:t>
      </w:r>
      <w:hyperlink w:anchor="ref-tbep0417">
        <w:r>
          <w:rPr>
            <w:rStyle w:val="Hyperlink"/>
          </w:rPr>
          <w:t xml:space="preserve">Janicki Environmental, Inc., 2017b</w:t>
        </w:r>
      </w:hyperlink>
      <w:r>
        <w:t xml:space="preserve">)</w:t>
      </w:r>
      <w:r>
        <w:t xml:space="preserve">.</w:t>
      </w:r>
    </w:p>
    <w:bookmarkEnd w:id="39"/>
    <w:bookmarkStart w:id="44" w:name="X0e822a22cb914ac65e3e00d4b9bef46c0574e5f"/>
    <w:p>
      <w:pPr>
        <w:pStyle w:val="Heading2"/>
      </w:pPr>
      <w:r>
        <w:t xml:space="preserve">Monitoring response to the emergency discharge</w:t>
      </w:r>
    </w:p>
    <w:p>
      <w:pPr>
        <w:pStyle w:val="FirstParagraph"/>
      </w:pPr>
      <w:r>
        <w:t xml:space="preserve">Monitoring of the natural resources of Tampa Bay in response to the wastewater release at Piney Point began in April, 2021 and continued over the following months. These data were collected through a coordinated effort, facilitated in part by the FDEP and TBEP. Monitoring agencies and local partners that collected data included FDEP, Environmental Protection Commission (EPC) of Hillsborough County, Parks and Natural Resources Department of Manatee County, Pinellas County Division of Environmental Management, Fish and Wildlife Research Institute of the Florida Fish and Wildlife Conservation Commission (FWC), City of St. Petersburg, TBEP, Sarasota Bay Estuary Program, Environmental Science Associates, University of South Florida, University of Florida, and New College of Florida. Monitoring efforts focused on a suite of parameters expected to respond to increased nutrient loads into the bay, including water quality sampling (laboratory processing of discrete samples and</w:t>
      </w:r>
      <w:r>
        <w:t xml:space="preserve"> </w:t>
      </w:r>
      <w:r>
        <w:rPr>
          <w:iCs/>
          <w:i/>
        </w:rPr>
        <w:t xml:space="preserve">in situ</w:t>
      </w:r>
      <w:r>
        <w:t xml:space="preserve"> </w:t>
      </w:r>
      <w:r>
        <w:t xml:space="preserve">measurements), phytoplankton cell counts, and seagrass and macroalgae transect surveys (Figure</w:t>
      </w:r>
      <w:r>
        <w:t xml:space="preserve"> </w:t>
      </w:r>
      <w:r>
        <w:t xml:space="preserve">1</w:t>
      </w:r>
      <w:r>
        <w:t xml:space="preserve">). Additional samples for contaminants (e.g., heavy metals), benthic sediment, and nekton surveys were also conducted, but they are not reported here in anticipation of future monitoring events.</w:t>
      </w:r>
    </w:p>
    <w:p>
      <w:pPr>
        <w:pStyle w:val="BodyText"/>
      </w:pPr>
      <w:r>
        <w:t xml:space="preserve">Established laboratory and field sample protocols for all survey methods were based on an</w:t>
      </w:r>
      <w:r>
        <w:t xml:space="preserve"> </w:t>
      </w:r>
      <w:hyperlink r:id="rId40">
        <w:r>
          <w:rPr>
            <w:rStyle w:val="Hyperlink"/>
          </w:rPr>
          <w:t xml:space="preserve">Interagency Monitoring Project Plan</w:t>
        </w:r>
      </w:hyperlink>
      <w:r>
        <w:t xml:space="preserve"> </w:t>
      </w:r>
      <w:r>
        <w:t xml:space="preserve">maintained by the TBEP in agreement with USEPA standards and those of the inter-agency partners. To the extent possible, data quality objectives followed guidelines outlined in the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41">
        <w:r>
          <w:rPr>
            <w:rStyle w:val="Hyperlink"/>
          </w:rPr>
          <w:t xml:space="preserve">Regional Ambient Monitoring Program</w:t>
        </w:r>
      </w:hyperlink>
      <w:r>
        <w:t xml:space="preserve"> </w:t>
      </w:r>
      <w:r>
        <w:t xml:space="preserve">that ensures similar standards and protocols are followed in the collection of monitoring data, including routine cross-reference of samples between laboratories to check precision of measured values. Discrete water quality samples were taken primarily from surface grabs by boat and processed by the respective laboratories of each participating agency. For this paper, we focus on parameters related to the nutrient management paradigm for the bay and the expected phytoplankton response from a dense, inorganic nitrogen plume entering the bay. This included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orthophosphate (PO</w:t>
      </w:r>
      <m:oMath>
        <m:sSubSup>
          <m:e>
            <m:r>
              <m:t>​</m:t>
            </m:r>
          </m:e>
          <m:sub>
            <m:r>
              <m:t>4</m:t>
            </m:r>
          </m:sub>
          <m:sup>
            <m:r>
              <m:t>3</m:t>
            </m:r>
            <m:r>
              <m:rPr>
                <m:sty m:val="p"/>
              </m:rPr>
              <m:t>−</m:t>
            </m:r>
          </m:sup>
        </m:sSubSup>
      </m:oMath>
      <w:r>
        <w:t xml:space="preserve">, mg/L), and chlorophyll-a (ug/L) concentrations. Samples for pH, salinity (psu), temperature (C), and dissolved oxygen saturation (%) were also evaluated given the role these parameters can have as indicators of wastewater contamination (pH), physical drivers of primary production (salinity, temperature), and indicators of primary production and respiration (dissolved oxygen). Overall, sample effort was variable given agency resources at the time of the discharge event and over the next few months. As appropriate, water quality data were aggregated at the weekly scale and by major areas of interest (Figure</w:t>
      </w:r>
      <w:r>
        <w:t xml:space="preserve"> </w:t>
      </w:r>
      <w:r>
        <w:t xml:space="preserve">1</w:t>
      </w:r>
      <w:r>
        <w:t xml:space="preserve">a) given the hypothesized impacts of the discharge relative to Piney Point. These areas of interest were delineated based on proximity to Piney Point, the main shipping channel in the bay, inflow boundaries (e.g., little Manatee River), location of the Skyway Bridge at the mouth of Tampa Bay, and major segments of Tampa Bay used by TBEP for assessing programmatic goals.</w:t>
      </w:r>
    </w:p>
    <w:p>
      <w:pPr>
        <w:pStyle w:val="BodyText"/>
      </w:pPr>
      <w:r>
        <w:t xml:space="preserve">Phytoplankton samples were also collected by multiple partners and included a mix of quantitative samples enumerating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of HABs data included specific focus on the red tide organism</w:t>
      </w:r>
      <w:r>
        <w:t xml:space="preserve"> </w:t>
      </w:r>
      <w:r>
        <w:rPr>
          <w:iCs/>
          <w:i/>
        </w:rPr>
        <w:t xml:space="preserve">Karenia brevis</w:t>
      </w:r>
      <w:r>
        <w:t xml:space="preserve"> </w:t>
      </w:r>
      <w:r>
        <w:t xml:space="preserve">that can occur in the bay depending on salinity and temperature conditions during the growing season. Occurrence of this species has historically been spatially distinct, with blooms originating in the Gulf of Mexico and occasionally occurring at bloom concentrations in lower Tampa Bay. Data for</w:t>
      </w:r>
      <w:r>
        <w:t xml:space="preserve"> </w:t>
      </w:r>
      <w:r>
        <w:rPr>
          <w:iCs/>
          <w:i/>
        </w:rPr>
        <w:t xml:space="preserve">K. brevis</w:t>
      </w:r>
      <w:r>
        <w:t xml:space="preserve"> </w:t>
      </w:r>
      <w:r>
        <w:t xml:space="preserve">were also obtained from event-based monitoring samples collected by FWC and available from the Harmful Algal BloomS Observing System (</w:t>
      </w:r>
      <w:hyperlink r:id="rId42">
        <w:r>
          <w:rPr>
            <w:rStyle w:val="Hyperlink"/>
          </w:rPr>
          <w:t xml:space="preserve">HABSOS</w:t>
        </w:r>
      </w:hyperlink>
      <w:r>
        <w:t xml:space="preserve">). Because of the increased occurrence of red tide samples in July following the emergency discharge, fish kill reports from FWC were also evaluated in relation to key municipalities (Tampa, St. Petersberg) impacted by the event. Fish kill reports were obtained from the FWC</w:t>
      </w:r>
      <w:r>
        <w:t xml:space="preserve"> </w:t>
      </w:r>
      <w:hyperlink r:id="rId43">
        <w:r>
          <w:rPr>
            <w:rStyle w:val="Hyperlink"/>
          </w:rPr>
          <w:t xml:space="preserve">online database</w:t>
        </w:r>
      </w:hyperlink>
      <w:r>
        <w:t xml:space="preserve">.</w:t>
      </w:r>
    </w:p>
    <w:p>
      <w:pPr>
        <w:pStyle w:val="BodyText"/>
      </w:pPr>
      <w:r>
        <w:t xml:space="preserve">Seagrass and macroalgae transect samples were collected approximately biweekly at locations around Piney Point starting in April. Each year, the TBEP coordinates inter-agency sampling among regional partners at over sixty fixed locations throughout the bay. Because of the time-sensitive nature of the potential impacts of wastewater on seagrasses near Piney Point, the sampling protocol used at the routine monitoring locations was modified as a</w:t>
      </w:r>
      <w:r>
        <w:t xml:space="preserve"> </w:t>
      </w:r>
      <w:r>
        <w:t xml:space="preserve">“</w:t>
      </w:r>
      <w:r>
        <w:t xml:space="preserve">rapid survey</w:t>
      </w:r>
      <w:r>
        <w:t xml:space="preserve">”</w:t>
      </w:r>
      <w:r>
        <w:t xml:space="preserve"> </w:t>
      </w:r>
      <w:r>
        <w:t xml:space="preserve">design to sample seagrasses and macroalgae along a fifty meter transect at several of the long-term monitoring sites, as well as new locations selected along the shore and small subembayments (e.g., Bishop Harbor) to provide a more comprehensive coverage of the seagrass community near Piney Point. Seagrasses and macroalgae were identified and abundances were estimated using Braun-Blanquet cover-abundance estimates within a 50 cm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based on expected responses to nutrient pollution. Seagrasses and macroalgae abundances were converted to frequency of occurrence estimates (i.e., number of locations present divided by total locations sampled) at the transect scale or within major areas (Figure</w:t>
      </w:r>
      <w:r>
        <w:t xml:space="preserve"> </w:t>
      </w:r>
      <w:r>
        <w:t xml:space="preserve">1</w:t>
      </w:r>
      <w:r>
        <w:t xml:space="preserve">a) depending on the analysis described below.</w:t>
      </w:r>
    </w:p>
    <w:bookmarkEnd w:id="44"/>
    <w:bookmarkStart w:id="46" w:name="long-term-monitoring-data"/>
    <w:p>
      <w:pPr>
        <w:pStyle w:val="Heading2"/>
      </w:pPr>
      <w:r>
        <w:t xml:space="preserve">Long-term monitoring data</w:t>
      </w:r>
    </w:p>
    <w:p>
      <w:pPr>
        <w:pStyle w:val="FirstParagraph"/>
      </w:pPr>
      <w:r>
        <w:t xml:space="preserve">Water quality data in Tampa Bay have been collected at fixed sampling sites since 1974 by the Environmental Protection Commission of Hillsborough County. These data include samples at 45 stations used by the TBEP to assess annual progress towards programmatic goals and regulatory thresholds applicable for each of the major segments in Tampa Bay. Discrete water samples are collected monthly at mid-depth and processed in the laboratory immediately after collection. Similarly, the Parks and Natural Resources Department of Manatee County have been collecting data in Tampa Bay at locations south of Piney Point and south of the main dredged channel of Tampa Bay (approximate longitudinal axis of the bay). The sampling design is similar to the EPC data, with the exception that sites are sampled approximately every three months but at a higher spatial density per unit area. Additionally, the period of record for monitoring data from Manatee County began in 1996. Long-term monitoring stations for Hillsborough and Manatee Counties are shown in Figure</w:t>
      </w:r>
      <w:r>
        <w:t xml:space="preserve"> </w:t>
      </w:r>
      <w:r>
        <w:t xml:space="preserve">1</w:t>
      </w:r>
      <w:r>
        <w:t xml:space="preserve">a.</w:t>
      </w:r>
    </w:p>
    <w:p>
      <w:pPr>
        <w:pStyle w:val="BodyText"/>
      </w:pPr>
      <w:r>
        <w:t xml:space="preserve">Long-term water quality monitoring data from Hillsborough and Manatee counties were used to establish baseline conditions for the major areas of interest in Figure</w:t>
      </w:r>
      <w:r>
        <w:t xml:space="preserve"> </w:t>
      </w:r>
      <w:r>
        <w:t xml:space="preserve">1</w:t>
      </w:r>
      <w:r>
        <w:t xml:space="preserve">a to compare with the response monitoring data described above. Station data from Hillsborough County were obtained for the middle and lower segments of Tampa Bay. Station data from Manatee County were obtained for areas in lower Tampa Bay, Terra Ceia Bay, Anna Maria Sound, and northern Sarasota Bay. For the same water quality parameters noted above (i.e., nitrogen, phosphorus, pH, temperature, salinity), observations at each monitoring station were averaged for each month across years from 2006 to 2020. This period represents a</w:t>
      </w:r>
      <w:r>
        <w:t xml:space="preserve"> </w:t>
      </w:r>
      <w:r>
        <w:t xml:space="preserve">“</w:t>
      </w:r>
      <w:r>
        <w:t xml:space="preserve">recovery</w:t>
      </w:r>
      <w:r>
        <w:t xml:space="preserve">”</w:t>
      </w:r>
      <w:r>
        <w:t xml:space="preserve"> </w:t>
      </w:r>
      <w:r>
        <w:t xml:space="preserve">stage for Tampa Bay where water quality conditions were much improved from historical conditions during a more eutrophic period and when seagrass areal coverage was trending towards and above a 1950s benchmark target of 38,000 acres</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For each month, the mean values +/- 1 standard deviation for each parameter at each station were quantified and used as reference values relative to results at the closest monitoring station that was sampled in response to Piney Point. This comparison was made to ensure that the response data were evaluated relative to stations that were spatially relevant (e.g., long-term conditions in Terra Ceia Bay are not the same as those in middle Tampa Bay) and seasonally-specific (e.g., historical conditions in April are not the same as historical conditions in July). Spatial matching of each response monitoring station relative to the long-term monitoring stations was accomplished using the</w:t>
      </w:r>
      <w:r>
        <w:t xml:space="preserve"> </w:t>
      </w:r>
      <w:r>
        <w:t xml:space="preserve">“</w:t>
      </w:r>
      <w:r>
        <w:t xml:space="preserve">st_nearest_feature()</w:t>
      </w:r>
      <w:r>
        <w:t xml:space="preserve">”</w:t>
      </w:r>
      <w:r>
        <w:t xml:space="preserve"> </w:t>
      </w:r>
      <w:r>
        <w:t xml:space="preserve">function from the sf R package</w:t>
      </w:r>
      <w:r>
        <w:t xml:space="preserve"> </w:t>
      </w:r>
      <w:r>
        <w:t xml:space="preserve">(</w:t>
      </w:r>
      <w:hyperlink w:anchor="ref-Pebesma18">
        <w:r>
          <w:rPr>
            <w:rStyle w:val="Hyperlink"/>
          </w:rPr>
          <w:t xml:space="preserve">Pebesma, 2018</w:t>
        </w:r>
      </w:hyperlink>
      <w:r>
        <w:t xml:space="preserve">)</w:t>
      </w:r>
      <w:r>
        <w:t xml:space="preserve">. In some cases, the nearest long-term station did not include data for every monitoring parameter at a response location and the next closest station was used as a reference. Long-term water quality data are available from the University of South Florida Water Atlas (</w:t>
      </w:r>
      <w:hyperlink r:id="rId45">
        <w:r>
          <w:rPr>
            <w:rStyle w:val="Hyperlink"/>
          </w:rPr>
          <w:t xml:space="preserve">https://wateratlas.usf.edu/</w:t>
        </w:r>
      </w:hyperlink>
      <w:r>
        <w:t xml:space="preserve">).</w:t>
      </w:r>
    </w:p>
    <w:bookmarkEnd w:id="46"/>
    <w:bookmarkStart w:id="47" w:name="data-analysis"/>
    <w:p>
      <w:pPr>
        <w:pStyle w:val="Heading2"/>
      </w:pPr>
      <w:r>
        <w:t xml:space="preserve">Data Analysis</w:t>
      </w:r>
    </w:p>
    <w:p>
      <w:pPr>
        <w:pStyle w:val="FirstParagraph"/>
      </w:pPr>
      <w:r>
        <w:t xml:space="preserve">The R statistical programming language (v4.0.2) was used to import, synthesize, and analyze all datasets provided by multiple partners</w:t>
      </w:r>
      <w:r>
        <w:t xml:space="preserve"> </w:t>
      </w:r>
      <w:r>
        <w:t xml:space="preserve">(</w:t>
      </w:r>
      <w:hyperlink w:anchor="ref-RCT20">
        <w:r>
          <w:rPr>
            <w:rStyle w:val="Hyperlink"/>
          </w:rPr>
          <w:t xml:space="preserve">R Core Team, 2020</w:t>
        </w:r>
      </w:hyperlink>
      <w:r>
        <w:t xml:space="preserve">)</w:t>
      </w:r>
      <w:r>
        <w:t xml:space="preserve">. Partner data were uploaded or entered manually as Google spreadsheets, where they were imported into R using the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and Bryan, 2020</w:t>
        </w:r>
      </w:hyperlink>
      <w:r>
        <w:t xml:space="preserve">)</w:t>
      </w:r>
      <w:r>
        <w:t xml:space="preserve"> </w:t>
      </w:r>
      <w:r>
        <w:t xml:space="preserve">R packages. The suite of R packages available in the tidyverse</w:t>
      </w:r>
      <w:r>
        <w:t xml:space="preserve"> </w:t>
      </w:r>
      <w:r>
        <w:t xml:space="preserve">(</w:t>
      </w:r>
      <w:hyperlink w:anchor="ref-Wickham19">
        <w:r>
          <w:rPr>
            <w:rStyle w:val="Hyperlink"/>
          </w:rPr>
          <w:t xml:space="preserve">Wickham et al., 2019</w:t>
        </w:r>
      </w:hyperlink>
      <w:r>
        <w:t xml:space="preserve">)</w:t>
      </w:r>
      <w:r>
        <w:t xml:space="preserve"> </w:t>
      </w:r>
      <w:r>
        <w:t xml:space="preserve">were used to wrangle the data into an appropriate format for analysis. The tbeptools R package</w:t>
      </w:r>
      <w:r>
        <w:t xml:space="preserve"> </w:t>
      </w:r>
      <w:r>
        <w:t xml:space="preserve">(</w:t>
      </w:r>
      <w:hyperlink w:anchor="ref-Beck21">
        <w:r>
          <w:rPr>
            <w:rStyle w:val="Hyperlink"/>
          </w:rPr>
          <w:t xml:space="preserve">Beck et al., 2021</w:t>
        </w:r>
      </w:hyperlink>
      <w:r>
        <w:t xml:space="preserve">)</w:t>
      </w:r>
      <w:r>
        <w:t xml:space="preserve"> </w:t>
      </w:r>
      <w:r>
        <w:t xml:space="preserve">was used to import and summarize long-term monitoring data for Tampa Bay, specifically the EPC water quality data and seagrass transect database.</w:t>
      </w:r>
    </w:p>
    <w:p>
      <w:pPr>
        <w:pStyle w:val="BodyText"/>
      </w:pPr>
      <w:r>
        <w:t xml:space="preserve">Quantitative assessments of trends included boxplot summaries, principal components analysis (PCA), Spearman rank correlations between pairs of variables, and multiple comparison tests to assess trends between months. Assessments were first evaluated only on total nitrogen, chlorophyll-a, and secchi disk depth as a general analysis of potential patterns in eutrophication following wastewater release. Further analyses were conducted to compare all data types together using PCA and correlation analyses, to identify potential mechanisms of change using seagrasses as an endpoint for evaluating potential impacts. Data describing</w:t>
      </w:r>
      <w:r>
        <w:t xml:space="preserve"> </w:t>
      </w:r>
      <w:r>
        <w:rPr>
          <w:iCs/>
          <w:i/>
        </w:rPr>
        <w:t xml:space="preserve">K. brevis</w:t>
      </w:r>
      <w:r>
        <w:t xml:space="preserve"> </w:t>
      </w:r>
      <w:r>
        <w:t xml:space="preserve">cell concentrations were only evaluated qualitatively because the data are from event-based sampling and generally do not represent a random sample appropriate for statistical testing. Observations for each data type were typically aggregated to the weekly or monthly scale given that sampling occurred at different days over the five month period. Spatial comparisons were based primarily on the areas identified in Figure</w:t>
      </w:r>
      <w:r>
        <w:t xml:space="preserve"> </w:t>
      </w:r>
      <w:r>
        <w:t xml:space="preserve">1</w:t>
      </w:r>
      <w:r>
        <w:t xml:space="preserve">a. For PCA, all variables were standardized to zero mean and unit variance so that the central tendencies and ranges of all variables were similar. Variables with log-normal distribution were log</w:t>
      </w:r>
      <m:oMath>
        <m:sSub>
          <m:e>
            <m:r>
              <m:t>​</m:t>
            </m:r>
          </m:e>
          <m:sub>
            <m:r>
              <m:t>10</m:t>
            </m:r>
          </m:sub>
        </m:sSub>
      </m:oMath>
      <w:r>
        <w:t xml:space="preserve">-transformed (i.e., nutrients, chlorophyll) prior to analysis.</w:t>
      </w:r>
    </w:p>
    <w:p>
      <w:pPr>
        <w:pStyle w:val="BodyText"/>
      </w:pPr>
      <w:r>
        <w:t xml:space="preserve">The</w:t>
      </w:r>
      <w:r>
        <w:t xml:space="preserve"> </w:t>
      </w:r>
      <w:r>
        <w:t xml:space="preserve">“</w:t>
      </w:r>
      <w:r>
        <w:t xml:space="preserve">PCA</w:t>
      </w:r>
      <w:r>
        <w:t xml:space="preserve">”</w:t>
      </w:r>
      <w:r>
        <w:t xml:space="preserve"> </w:t>
      </w:r>
      <w:r>
        <w:t xml:space="preserve">function from the FactoMineR R package</w:t>
      </w:r>
      <w:r>
        <w:t xml:space="preserve"> </w:t>
      </w:r>
      <w:r>
        <w:t xml:space="preserve">(</w:t>
      </w:r>
      <w:hyperlink w:anchor="ref-Le08">
        <w:r>
          <w:rPr>
            <w:rStyle w:val="Hyperlink"/>
          </w:rPr>
          <w:t xml:space="preserve">Lê et al., 2008</w:t>
        </w:r>
      </w:hyperlink>
      <w:r>
        <w:t xml:space="preserve">)</w:t>
      </w:r>
      <w:r>
        <w:t xml:space="preserve"> </w:t>
      </w:r>
      <w:r>
        <w:t xml:space="preserve">was used for PCA and the</w:t>
      </w:r>
      <w:r>
        <w:t xml:space="preserve"> </w:t>
      </w:r>
      <w:r>
        <w:t xml:space="preserve">“</w:t>
      </w:r>
      <w:r>
        <w:t xml:space="preserve">ggord</w:t>
      </w:r>
      <w:r>
        <w:t xml:space="preserve">”</w:t>
      </w:r>
      <w:r>
        <w:t xml:space="preserve"> </w:t>
      </w:r>
      <w:r>
        <w:t xml:space="preserve">function from the ggord R package</w:t>
      </w:r>
      <w:r>
        <w:t xml:space="preserve"> </w:t>
      </w:r>
      <w:r>
        <w:t xml:space="preserve">(</w:t>
      </w:r>
      <w:hyperlink w:anchor="ref-Beck21b">
        <w:r>
          <w:rPr>
            <w:rStyle w:val="Hyperlink"/>
          </w:rPr>
          <w:t xml:space="preserve">Beck, 2021</w:t>
        </w:r>
      </w:hyperlink>
      <w:r>
        <w:t xml:space="preserve">)</w:t>
      </w:r>
      <w:r>
        <w:t xml:space="preserve"> </w:t>
      </w:r>
      <w:r>
        <w:t xml:space="preserve">was used to plot the results. For statistical tests using water quality data, only the monitoring results from FDEP were used for analysis given the consistency of sample location and collection date compared to the remainder of the data obtained from other partners. Secchi observations that were visually identified on the bottom (8 observations of 323 in the FDEP data) were removed from analysis because these are right-censored data, whereas all other non-detects were left-censored and evaluated with methods described below. Differences in observations between months for water quality, seagrass, and macroalgae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w:t>
      </w:r>
    </w:p>
    <w:p>
      <w:pPr>
        <w:pStyle w:val="BodyText"/>
      </w:pPr>
      <w:r>
        <w:t xml:space="preserve">When appropriate, methods were used from the NADA R package</w:t>
      </w:r>
      <w:r>
        <w:t xml:space="preserve"> </w:t>
      </w:r>
      <w:r>
        <w:t xml:space="preserve">(</w:t>
      </w:r>
      <w:hyperlink w:anchor="ref-Lee20">
        <w:r>
          <w:rPr>
            <w:rStyle w:val="Hyperlink"/>
          </w:rPr>
          <w:t xml:space="preserve">Lee, 2020</w:t>
        </w:r>
      </w:hyperlink>
      <w:r>
        <w:t xml:space="preserve">)</w:t>
      </w:r>
      <w:r>
        <w:t xml:space="preserve"> </w:t>
      </w:r>
      <w:r>
        <w:t xml:space="preserve">to accommodate measured concentrations in water quality variables that were below detection. These included estimates of median, mean, and standard deviation of parameters using the</w:t>
      </w:r>
      <w:r>
        <w:t xml:space="preserve"> </w:t>
      </w:r>
      <w:r>
        <w:t xml:space="preserve">“</w:t>
      </w:r>
      <w:r>
        <w:t xml:space="preserve">cenfit</w:t>
      </w:r>
      <w:r>
        <w:t xml:space="preserve">”</w:t>
      </w:r>
      <w:r>
        <w:t xml:space="preserve"> </w:t>
      </w:r>
      <w:r>
        <w:t xml:space="preserve">function from NADA. For the multiple comparison tests, only total nitrogen, secchi, and chl-a data were evaluated, none of which were below detection as noted in the FDEP data. Nitrate/nitrite concentrations were not evaluated quantitatively because over 80% of the observations were below detection. PCA and correlation analyses were based on weekly aggregations by area, using appropriate methods for median estimates with non-detects in the water quality data.</w:t>
      </w:r>
    </w:p>
    <w:bookmarkEnd w:id="47"/>
    <w:bookmarkEnd w:id="48"/>
    <w:bookmarkStart w:id="54" w:name="results"/>
    <w:p>
      <w:pPr>
        <w:pStyle w:val="Heading1"/>
      </w:pPr>
      <w:r>
        <w:t xml:space="preserve">Results</w:t>
      </w:r>
    </w:p>
    <w:bookmarkStart w:id="49" w:name="timeline-of-events-from-april-2021"/>
    <w:p>
      <w:pPr>
        <w:pStyle w:val="Heading2"/>
      </w:pPr>
      <w:r>
        <w:t xml:space="preserve">Timeline of events from April 2021</w:t>
      </w:r>
    </w:p>
    <w:p>
      <w:pPr>
        <w:pStyle w:val="FirstParagraph"/>
      </w:pPr>
      <w:r>
        <w:t xml:space="preserve">A general narrative of 2021 events in Tampa Bay following release of wastewater from Piney Point is shown in Figure</w:t>
      </w:r>
      <w:r>
        <w:t xml:space="preserve"> </w:t>
      </w:r>
      <w:r>
        <w:t xml:space="preserve">2</w:t>
      </w:r>
      <w:r>
        <w:t xml:space="preserve">. After the discharge stopped on April 9th, an initial phytoplankton response was observed near Piney Point with concentrations peaking around mid-April (Area 1, Figure</w:t>
      </w:r>
      <w:r>
        <w:t xml:space="preserve"> </w:t>
      </w:r>
      <w:r>
        <w:t xml:space="preserve">4</w:t>
      </w:r>
      <w:r>
        <w:t xml:space="preserve">b). Taxa from the Bacillariophyta phylum (diatoms) were dominant in April, with a maximum chlorophyll concentration of 265 ug/L, although median concentrations for each week in April were less than 10 ug/L. The initial diatom bloom did not persist past April. On April 20th,</w:t>
      </w:r>
      <w:r>
        <w:t xml:space="preserve"> </w:t>
      </w:r>
      <w:r>
        <w:rPr>
          <w:iCs/>
          <w:i/>
        </w:rPr>
        <w:t xml:space="preserve">K. brevis</w:t>
      </w:r>
      <w:r>
        <w:t xml:space="preserve"> </w:t>
      </w:r>
      <w:r>
        <w:t xml:space="preserve">was first observed near Anna Maria Sound at the southern edge of the mouth of Tampa Bay and reached bloom concentrations (&gt;10k cells/L) by May 23rd, although observations were limited to lower Tampa Bay. Also during May,</w:t>
      </w:r>
      <w:r>
        <w:t xml:space="preserve"> </w:t>
      </w:r>
      <w:r>
        <w:rPr>
          <w:iCs/>
          <w:i/>
        </w:rPr>
        <w:t xml:space="preserve">Lyngbya sp.</w:t>
      </w:r>
      <w:r>
        <w:t xml:space="preserve"> </w:t>
      </w:r>
      <w:r>
        <w:t xml:space="preserve">(cyanobacteria macroalgae) were observed at high abundances in Anna Maria Sound and near Port Manatee.</w:t>
      </w:r>
      <w:r>
        <w:t xml:space="preserve"> </w:t>
      </w:r>
      <w:r>
        <w:rPr>
          <w:iCs/>
          <w:i/>
        </w:rPr>
        <w:t xml:space="preserve">Lyngbya</w:t>
      </w:r>
      <w:r>
        <w:t xml:space="preserve"> </w:t>
      </w:r>
      <w:r>
        <w:t xml:space="preserve">were observed in large floating mats on the surface and covering benthic and seagrass habitats below the water column at these locations. By June 27th, fish kill reports attributed to red tide increased with</w:t>
      </w:r>
      <w:r>
        <w:t xml:space="preserve"> </w:t>
      </w:r>
      <w:r>
        <w:rPr>
          <w:iCs/>
          <w:i/>
        </w:rPr>
        <w:t xml:space="preserve">K. brevis</w:t>
      </w:r>
      <w:r>
        <w:t xml:space="preserve"> </w:t>
      </w:r>
      <w:r>
        <w:t xml:space="preserve">cell concentrations in lower and middle Tampa Bay. The center of tropical storm Elsa passed to the west of Tampa Bay on July 5th, causing a shift in prevailing winds from the southeast. This shift contributed to an increase in fish kill reports by moving dead fish closer to heavily populated areas of Tampa Bay, specifically near the cities of St. Petersburg and Tampa. Concentrations of</w:t>
      </w:r>
      <w:r>
        <w:t xml:space="preserve"> </w:t>
      </w:r>
      <w:r>
        <w:rPr>
          <w:iCs/>
          <w:i/>
        </w:rPr>
        <w:t xml:space="preserve">K. brevis</w:t>
      </w:r>
      <w:r>
        <w:t xml:space="preserve"> </w:t>
      </w:r>
      <w:r>
        <w:t xml:space="preserve">in middle and lower Tampa Bay peaked in mid-July, with bloom conditions not observed in the bay after July. The remainder of this section is quantitative description these events.</w:t>
      </w:r>
    </w:p>
    <w:bookmarkEnd w:id="49"/>
    <w:bookmarkStart w:id="50" w:name="water-quality-trends"/>
    <w:p>
      <w:pPr>
        <w:pStyle w:val="Heading2"/>
      </w:pPr>
      <w:r>
        <w:t xml:space="preserve">Water quality trends</w:t>
      </w:r>
    </w:p>
    <w:p>
      <w:pPr>
        <w:pStyle w:val="FirstParagraph"/>
      </w:pPr>
      <w:r>
        <w:t xml:space="preserve">From April through July 2021, 6762 samples were collected for chl-a, dissolved oxygen, total nitrogen, total phosphorus, total ammonia nitrogen, nitrate/nitrite, pH, salinity, secchi depth, and temperature (Table</w:t>
      </w:r>
      <w:r>
        <w:t xml:space="preserve"> </w:t>
      </w:r>
      <w:r>
        <w:t xml:space="preserve">2</w:t>
      </w:r>
      <w:r>
        <w:t xml:space="preserve">). Of these samples, 9.2% were outside of the normal range defined by the long-term monthly monitoring data for the baseline period from 2006 to 2020 (below for Secchi depth, above for all others). The percentage of observations outside of the normal range varied by location and parameter. For chl-a, 55% of the observations were above the normal range for area 1, whereas only 8% and 24% were above for areas 2 and 3, respectively. Total nitrogen concentrations were above the normal range for 39% of observations in area 1, whereas concentrations were above for 22% of observations in area 2 and 24% in area 3. Secchi observations were below the normal range for 37% of observations in area 1 and for 21% and 38% of observations in areas 2 and 3. Notable differences were also observed for dissolved oxygen (e.g., 56% were above in area 1, 47% in area 2). Physical parameters (salinity, temperature) were generally within range over the study period. Inorganic nitrogen (ammonia, nitrate/nitrite) was generally within range, although initial time series showed much higher concentrations for ammonia in April near area 1, similar to the effluent measurements in Table</w:t>
      </w:r>
      <w:r>
        <w:t xml:space="preserve"> </w:t>
      </w:r>
      <w:r>
        <w:t xml:space="preserve">1</w:t>
      </w:r>
      <w:r>
        <w:t xml:space="preserve">. Spatial variation among the parameters showed that values were generally above the normal range (or below for Secchi depth) for many locations near Piney Point, Anna Maria Sound, and the northern mouth of Tampa Bay (Figure</w:t>
      </w:r>
      <w:r>
        <w:t xml:space="preserve"> </w:t>
      </w:r>
      <w:r>
        <w:t xml:space="preserve">3</w:t>
      </w:r>
      <w:r>
        <w:t xml:space="preserve">).</w:t>
      </w:r>
    </w:p>
    <w:p>
      <w:pPr>
        <w:pStyle w:val="BodyText"/>
      </w:pPr>
      <w:r>
        <w:t xml:space="preserve">Boxplots of total nitrogen, chl-a, and secchi depth show the temporal progression of observations by week and area relative to the normal ranges from long-term monitoring data (Figure</w:t>
      </w:r>
      <w:r>
        <w:t xml:space="preserve"> </w:t>
      </w:r>
      <w:r>
        <w:t xml:space="preserve">4</w:t>
      </w:r>
      <w:r>
        <w:t xml:space="preserve">). For area 1, total nitrogen and chlorophyll concentrations were frequently above normal ranges beginning the week of April 4th and lasting through the month. Concentrations remained similar to baseline conditions until June and July when median values were often above the baseline range. Secchi observations in area 1 were below baseline ranges in April and July. Observations in areas 2 and 3 were more often within the normal range, with some exceptions for total nitrogen and chl-a in area 3 during weeks of May, June, and July. Statistical comparisons between months for total nitrogen, chl-a, and secchi depth (Table</w:t>
      </w:r>
      <w:r>
        <w:t xml:space="preserve"> </w:t>
      </w:r>
      <w:r>
        <w:t xml:space="preserve">3</w:t>
      </w:r>
      <w:r>
        <w:t xml:space="preserve">) supported the results in Figure</w:t>
      </w:r>
      <w:r>
        <w:t xml:space="preserve"> </w:t>
      </w:r>
      <w:r>
        <w:t xml:space="preserve">4</w:t>
      </w:r>
      <w:r>
        <w:t xml:space="preserve">. Kruskal-Wallis tests that assessed if at least one of the months had significantly different observations for each parameter were significant for total nitrogen, chl-a, and secchi depth for areas 1 and 3 and total nitrogen and chl-a for area 2 (Table</w:t>
      </w:r>
      <w:r>
        <w:t xml:space="preserve"> </w:t>
      </w:r>
      <w:r>
        <w:t xml:space="preserve">3</w:t>
      </w:r>
      <w:r>
        <w:t xml:space="preserve">). Results of multiple comparison tests that evaluated differences between pairs of months generally showed that April/May were different from June/July depending on area and parameter. Observations in the later months were generally higher (or lower for Secchi) corresponding to increasing</w:t>
      </w:r>
      <w:r>
        <w:t xml:space="preserve"> </w:t>
      </w:r>
      <w:r>
        <w:rPr>
          <w:iCs/>
          <w:i/>
        </w:rPr>
        <w:t xml:space="preserve">K. brevis</w:t>
      </w:r>
      <w:r>
        <w:t xml:space="preserve"> </w:t>
      </w:r>
      <w:r>
        <w:t xml:space="preserve">abundances.</w:t>
      </w:r>
    </w:p>
    <w:bookmarkEnd w:id="50"/>
    <w:bookmarkStart w:id="51" w:name="seagrass-and-macroalgae-trends"/>
    <w:p>
      <w:pPr>
        <w:pStyle w:val="Heading2"/>
      </w:pPr>
      <w:r>
        <w:t xml:space="preserve">Seagrass and macroalgae trends</w:t>
      </w:r>
    </w:p>
    <w:p>
      <w:pPr>
        <w:pStyle w:val="FirstParagraph"/>
      </w:pPr>
      <w:r>
        <w:t xml:space="preserve">A total of 38 transects were sampled for seagrasses and macroalgae from April through July, each visited on average 1.8 times per month. Turtle grass (</w:t>
      </w:r>
      <w:r>
        <w:rPr>
          <w:iCs/>
          <w:i/>
        </w:rPr>
        <w:t xml:space="preserve">T. testudinum</w:t>
      </w:r>
      <w:r>
        <w:t xml:space="preserve">) was the dominant seagrass species with frequency occurrence of 52% across all locations and sample dates. Manatee grass (</w:t>
      </w:r>
      <w:r>
        <w:rPr>
          <w:iCs/>
          <w:i/>
        </w:rPr>
        <w:t xml:space="preserve">S. filiforme</w:t>
      </w:r>
      <w:r>
        <w:t xml:space="preserve">) and shoal grass (</w:t>
      </w:r>
      <w:r>
        <w:rPr>
          <w:iCs/>
          <w:i/>
        </w:rPr>
        <w:t xml:space="preserve">H. wrightii</w:t>
      </w:r>
      <w:r>
        <w:t xml:space="preserve">) had similar coverage across all transects, with frequency occurrences of 31.7% and 32.2%, respectively. The frequency occurrences of seagrasses near Piney Point were similar to the long-term record of seagrass transect data available for Tampa Bay</w:t>
      </w:r>
      <w:r>
        <w:t xml:space="preserve"> </w:t>
      </w:r>
      <w:r>
        <w:t xml:space="preserve">(</w:t>
      </w:r>
      <w:hyperlink w:anchor="ref-Sherwood17">
        <w:r>
          <w:rPr>
            <w:rStyle w:val="Hyperlink"/>
          </w:rPr>
          <w:t xml:space="preserve">Sherwood et al., 2017</w:t>
        </w:r>
      </w:hyperlink>
      <w:r>
        <w:t xml:space="preserve">)</w:t>
      </w:r>
      <w:r>
        <w:t xml:space="preserve">. At the baywide scale, shoal grass is the dominant species, whereas turtle grass is more common in euhaline waters closer to the Gulf. Macroalgae observed along the transects also varied in coverage, with red macroalgae groups having the highest frequency occurrence of 58.6%. Common taxa in the red group included</w:t>
      </w:r>
      <w:r>
        <w:t xml:space="preserve"> </w:t>
      </w:r>
      <w:r>
        <w:rPr>
          <w:iCs/>
          <w:i/>
        </w:rPr>
        <w:t xml:space="preserve">Gracilaria sp.</w:t>
      </w:r>
      <w:r>
        <w:t xml:space="preserve"> </w:t>
      </w:r>
      <w:r>
        <w:t xml:space="preserve">and</w:t>
      </w:r>
      <w:r>
        <w:t xml:space="preserve"> </w:t>
      </w:r>
      <w:r>
        <w:rPr>
          <w:iCs/>
          <w:i/>
        </w:rPr>
        <w:t xml:space="preserve">Acanthophora sp.</w:t>
      </w:r>
      <w:r>
        <w:t xml:space="preserve">. Green and cyanobacteria macroalgae were less common, with frequency occurrences of 5.4% and 17.8%. Common taxa in the green group included</w:t>
      </w:r>
      <w:r>
        <w:t xml:space="preserve"> </w:t>
      </w:r>
      <w:r>
        <w:rPr>
          <w:iCs/>
          <w:i/>
        </w:rPr>
        <w:t xml:space="preserve">Ulva sp.</w:t>
      </w:r>
      <w:r>
        <w:t xml:space="preserve"> </w:t>
      </w:r>
      <w:r>
        <w:t xml:space="preserve">and</w:t>
      </w:r>
      <w:r>
        <w:t xml:space="preserve"> </w:t>
      </w:r>
      <w:r>
        <w:rPr>
          <w:iCs/>
          <w:i/>
        </w:rPr>
        <w:t xml:space="preserve">Caulerpa sp.</w:t>
      </w:r>
      <w:r>
        <w:t xml:space="preserve">, whereas</w:t>
      </w:r>
      <w:r>
        <w:t xml:space="preserve"> </w:t>
      </w:r>
      <w:r>
        <w:rPr>
          <w:iCs/>
          <w:i/>
        </w:rPr>
        <w:t xml:space="preserve">Lyngbya sp.</w:t>
      </w:r>
      <w:r>
        <w:t xml:space="preserve"> </w:t>
      </w:r>
      <w:r>
        <w:t xml:space="preserve">was the only cyanobacteria macroalgae observed. Brown macroalgae in the genus</w:t>
      </w:r>
      <w:r>
        <w:t xml:space="preserve"> </w:t>
      </w:r>
      <w:r>
        <w:rPr>
          <w:iCs/>
          <w:i/>
        </w:rPr>
        <w:t xml:space="preserve">Feldmannia</w:t>
      </w:r>
      <w:r>
        <w:t xml:space="preserve"> </w:t>
      </w:r>
      <w:r>
        <w:t xml:space="preserve">were only observed at 0.2% frequency occurrence.</w:t>
      </w:r>
    </w:p>
    <w:p>
      <w:pPr>
        <w:pStyle w:val="BodyText"/>
      </w:pPr>
      <w:r>
        <w:t xml:space="preserve">Temporal progression of seagrasses and macroalgae varied across the months, although a typical pattern observed at many of the transects is shown in Figure</w:t>
      </w:r>
      <w:r>
        <w:t xml:space="preserve"> </w:t>
      </w:r>
      <w:r>
        <w:t xml:space="preserve">5</w:t>
      </w:r>
      <w:r>
        <w:t xml:space="preserve">. Transect S3T6 is located less than one kilometer to the north of Port Manatee. The site is dominated by manatee grass that was observed at nearly all of the sample points along the transect at varying coverages. Overall abundance of seagrass did not change dramatically from April 22nd through July. However, macroalgal abundances changed over the course of sampling similar to many of the other transects sampled during the study. Red macroalgae were present in high abundances from April to May.</w:t>
      </w:r>
      <w:r>
        <w:t xml:space="preserve"> </w:t>
      </w:r>
      <w:r>
        <w:rPr>
          <w:iCs/>
          <w:i/>
        </w:rPr>
        <w:t xml:space="preserve">Lyngbya sp.</w:t>
      </w:r>
      <w:r>
        <w:t xml:space="preserve"> </w:t>
      </w:r>
      <w:r>
        <w:t xml:space="preserve">was first observed on May 24th and was present at all of the sample locations on June 4th and 15th.</w:t>
      </w:r>
      <w:r>
        <w:t xml:space="preserve"> </w:t>
      </w:r>
      <w:r>
        <w:rPr>
          <w:iCs/>
          <w:i/>
        </w:rPr>
        <w:t xml:space="preserve">Lyngbya sp.</w:t>
      </w:r>
      <w:r>
        <w:t xml:space="preserve"> </w:t>
      </w:r>
      <w:r>
        <w:t xml:space="preserve">persisted through June and July, but not was observed after July 20th. Green macroalgae taxa were first observed in July, although at generally low abundances. Trends in macroalgae somewhat followed seasonal patterns observed baywide with red macroalgae transitioning to green macroalgae by mid-summer.</w:t>
      </w:r>
    </w:p>
    <w:p>
      <w:pPr>
        <w:pStyle w:val="BodyText"/>
      </w:pPr>
      <w:r>
        <w:t xml:space="preserve">Monthly summaries in frequency occurrence by area (Figure</w:t>
      </w:r>
      <w:r>
        <w:t xml:space="preserve"> </w:t>
      </w:r>
      <w:r>
        <w:t xml:space="preserve">6</w:t>
      </w:r>
      <w:r>
        <w:t xml:space="preserve">) provided an indication of seagrass and macroalgae trends across all transects. No transects were sampled in area 2 to the north of Piney Point. Area 1 had generally balanced frequency occurrence of the three primary seagrass species observed in the bay, although a slight decrease over time in shoal grass (</w:t>
      </w:r>
      <w:r>
        <w:rPr>
          <w:iCs/>
          <w:i/>
        </w:rPr>
        <w:t xml:space="preserve">H. wrightii</w:t>
      </w:r>
      <w:r>
        <w:t xml:space="preserve">) was observed (April frequency occurrence of 35.4%, July frequency occurrence of 27.3%). A similar decline in coverage of shoal grass was also observed in area 3 (April frequency occurrence of 44%, July frequency occurrence of 17.4%). Frequency occurrence of manatee grass (</w:t>
      </w:r>
      <w:r>
        <w:rPr>
          <w:iCs/>
          <w:i/>
        </w:rPr>
        <w:t xml:space="preserve">S. syringodium</w:t>
      </w:r>
      <w:r>
        <w:t xml:space="preserve">) also declined slightly from April to July in area 3 (April frequency occurrence of 35.7%, July frequency occurrence of 13%). Changes in macroalgae frequency occurrence were much more pronounced than for seagrasses across months and by area. Red macroalgae was the dominant group across all months and areas, with the highest frequency occurrences observed in April (80.9% in area 1, 95.2% in area 3). Cyanobacteria frequency occurrence peaked in June, with greater coverage in area 3 (47.5%) compared to area 1 (29.7%). Green macroalgae had the second lowest frequency occurrence, followed by Brown macroalgae that was only observed at one transect.</w:t>
      </w:r>
    </w:p>
    <w:p>
      <w:pPr>
        <w:pStyle w:val="BodyText"/>
      </w:pPr>
      <w:r>
        <w:t xml:space="preserve">Statistical comparisons of results in Figure</w:t>
      </w:r>
      <w:r>
        <w:t xml:space="preserve"> </w:t>
      </w:r>
      <w:r>
        <w:t xml:space="preserve">6</w:t>
      </w:r>
      <w:r>
        <w:t xml:space="preserve"> </w:t>
      </w:r>
      <w:r>
        <w:t xml:space="preserve">shown in Tables</w:t>
      </w:r>
      <w:r>
        <w:t xml:space="preserve"> </w:t>
      </w:r>
      <w:r>
        <w:t xml:space="preserve">4</w:t>
      </w:r>
      <w:r>
        <w:t xml:space="preserve"> </w:t>
      </w:r>
      <w:r>
        <w:t xml:space="preserve">and</w:t>
      </w:r>
      <w:r>
        <w:t xml:space="preserve"> </w:t>
      </w:r>
      <w:r>
        <w:t xml:space="preserve">5</w:t>
      </w:r>
      <w:r>
        <w:t xml:space="preserve"> </w:t>
      </w:r>
      <w:r>
        <w:t xml:space="preserve">further suggested that seagrass trends were minor compared to those of macroalgae. Results by month showed that seagrass frequency occurrence, by species and area, had insignificant changes (</w:t>
      </w:r>
      <m:oMath>
        <m:r>
          <m:t>p</m:t>
        </m:r>
        <m:r>
          <m:rPr>
            <m:sty m:val="p"/>
          </m:rPr>
          <m:t>&gt;</m:t>
        </m:r>
        <m:r>
          <m:t>0.05</m:t>
        </m:r>
      </m:oMath>
      <w:r>
        <w:t xml:space="preserve">) over the study period. Although trends were not significant, estimated medians in each month in Table</w:t>
      </w:r>
      <w:r>
        <w:t xml:space="preserve"> </w:t>
      </w:r>
      <w:r>
        <w:t xml:space="preserve">5</w:t>
      </w:r>
      <w:r>
        <w:t xml:space="preserve"> </w:t>
      </w:r>
      <w:r>
        <w:t xml:space="preserve">showed similar changes for seagrasses as in Figure</w:t>
      </w:r>
      <w:r>
        <w:t xml:space="preserve"> </w:t>
      </w:r>
      <w:r>
        <w:t xml:space="preserve">5</w:t>
      </w:r>
      <w:r>
        <w:t xml:space="preserve">, with generally higher coverage estimates in April. These changes were more pronounced in area 3 as compared to area 1. For macroalgae (Table</w:t>
      </w:r>
      <w:r>
        <w:t xml:space="preserve"> </w:t>
      </w:r>
      <w:r>
        <w:t xml:space="preserve">4</w:t>
      </w:r>
      <w:r>
        <w:t xml:space="preserve">), significant differences between months were observed for red and cyanobacteria macroalgae in both areas 1 and 3, although cyanobacteria differences for area 3 were only marginally significant (</w:t>
      </w:r>
      <m:oMath>
        <m:r>
          <m:t>p</m:t>
        </m:r>
        <m:r>
          <m:rPr>
            <m:sty m:val="p"/>
          </m:rPr>
          <m:t>=</m:t>
        </m:r>
        <m:r>
          <m:t>0.041</m:t>
        </m:r>
      </m:oMath>
      <w:r>
        <w:t xml:space="preserve">). Coverage of cyanobacteria in area 1 during June was significantly higher than coverage in April. No significant differences between months were observed for the green macroalgae group.</w:t>
      </w:r>
    </w:p>
    <w:bookmarkEnd w:id="51"/>
    <w:bookmarkStart w:id="52" w:name="X7c38f50fd4a7c7a3e46b2b63d974326ba80d8e4"/>
    <w:p>
      <w:pPr>
        <w:pStyle w:val="Heading2"/>
      </w:pPr>
      <w:r>
        <w:t xml:space="preserve">Water quality compared to seagrass and macroalgae</w:t>
      </w:r>
    </w:p>
    <w:p>
      <w:pPr>
        <w:pStyle w:val="FirstParagraph"/>
      </w:pPr>
      <w:r>
        <w:t xml:space="preserve">A PCA comparison of all water quality variables with seagrass and macroalgae frequency occurrence estimates showed significant associations between groups of variables (Figure</w:t>
      </w:r>
      <w:r>
        <w:t xml:space="preserve"> </w:t>
      </w:r>
      <w:r>
        <w:t xml:space="preserve">7</w:t>
      </w:r>
      <w:r>
        <w:t xml:space="preserve">). The first principal component axis explained 31% of the variation among all variables, whereas the second and third axes explained 23% and 14% of the remaining variation. For the water quality variables, the first principal component axis had strong, positive loadings for dissolved oxygen and secchi depth and strong negative loadings for total nitrogen, chl-a, and temperature. For macroalgae, the first axis had positive loadings with frequency occurrence of red and green macroalgae. For seagrasses, turtle grass (</w:t>
      </w:r>
      <w:r>
        <w:rPr>
          <w:iCs/>
          <w:i/>
        </w:rPr>
        <w:t xml:space="preserve">T. testudinum</w:t>
      </w:r>
      <w:r>
        <w:t xml:space="preserve">) had a strong positive loading with axis 1. The second principal component axis had strong positive loadings for secchi depth, total phosphorus, and ammonia and negative loadings for salinity and cyanobacteria macroalgae. The third axis showed a strong negative loading with shoal grass (</w:t>
      </w:r>
      <w:r>
        <w:rPr>
          <w:iCs/>
          <w:i/>
        </w:rPr>
        <w:t xml:space="preserve">H. wrightii</w:t>
      </w:r>
      <w:r>
        <w:t xml:space="preserve">) and positive loading with manatee grass (</w:t>
      </w:r>
      <w:r>
        <w:rPr>
          <w:iCs/>
          <w:i/>
        </w:rPr>
        <w:t xml:space="preserve">S. filiforme</w:t>
      </w:r>
      <w:r>
        <w:t xml:space="preserve">). Observations by area showed that samples in area 3 were distinct from points in area 1 and grouped by positive loadings on the first PCA axis and negative loadings on the second PCA axis.</w:t>
      </w:r>
    </w:p>
    <w:p>
      <w:pPr>
        <w:pStyle w:val="BodyText"/>
      </w:pPr>
      <w:r>
        <w:t xml:space="preserve">Pairwise Spearman rank correlations for the same variables used in the PCA showed significant associations among several of the water quality, seagrass, and macroalgae variables (Figure</w:t>
      </w:r>
      <w:r>
        <w:t xml:space="preserve"> </w:t>
      </w:r>
      <w:r>
        <w:t xml:space="preserve">8</w:t>
      </w:r>
      <w:r>
        <w:t xml:space="preserve">). Among the water quality variables, chlorophyll-a was positively correlated with total phosphorus, total nitrogen, temperature, and pH (</w:t>
      </w:r>
      <m:oMath>
        <m:r>
          <m:t>p</m:t>
        </m:r>
        <m:r>
          <m:rPr>
            <m:sty m:val="p"/>
          </m:rPr>
          <m:t>&lt;</m:t>
        </m:r>
        <m:r>
          <m:t>0.005</m:t>
        </m:r>
      </m:oMath>
      <w:r>
        <w:t xml:space="preserve"> </w:t>
      </w:r>
      <w:r>
        <w:t xml:space="preserve">for all) and negatively correlated with secchi depth (</w:t>
      </w:r>
      <m:oMath>
        <m:r>
          <m:t>p</m:t>
        </m:r>
        <m:r>
          <m:rPr>
            <m:sty m:val="p"/>
          </m:rPr>
          <m:t>&lt;</m:t>
        </m:r>
        <m:r>
          <m:t>0.05</m:t>
        </m:r>
      </m:oMath>
      <w:r>
        <w:t xml:space="preserve">). Total nitrogen was positively correlated with total phosphorus, temperature, and ammonia (</w:t>
      </w:r>
      <m:oMath>
        <m:r>
          <m:t>p</m:t>
        </m:r>
        <m:r>
          <m:rPr>
            <m:sty m:val="p"/>
          </m:rPr>
          <m:t>&lt;</m:t>
        </m:r>
        <m:r>
          <m:t>0.005</m:t>
        </m:r>
      </m:oMath>
      <w:r>
        <w:t xml:space="preserve">, except</w:t>
      </w:r>
      <w:r>
        <w:t xml:space="preserve"> </w:t>
      </w:r>
      <m:oMath>
        <m:r>
          <m:t>p</m:t>
        </m:r>
        <m:r>
          <m:rPr>
            <m:sty m:val="p"/>
          </m:rPr>
          <m:t>&lt;</m:t>
        </m:r>
        <m:r>
          <m:t>0.05</m:t>
        </m:r>
      </m:oMath>
      <w:r>
        <w:t xml:space="preserve"> </w:t>
      </w:r>
      <w:r>
        <w:t xml:space="preserve">for temperature) and negatively correlated with secchi (</w:t>
      </w:r>
      <m:oMath>
        <m:r>
          <m:t>p</m:t>
        </m:r>
        <m:r>
          <m:rPr>
            <m:sty m:val="p"/>
          </m:rPr>
          <m:t>&lt;</m:t>
        </m:r>
        <m:r>
          <m:t>0.005</m:t>
        </m:r>
      </m:oMath>
      <w:r>
        <w:t xml:space="preserve">). Among the macroalgae, green and red groups were positively correlated (</w:t>
      </w:r>
      <m:oMath>
        <m:r>
          <m:t>p</m:t>
        </m:r>
        <m:r>
          <m:rPr>
            <m:sty m:val="p"/>
          </m:rPr>
          <m:t>&lt;</m:t>
        </m:r>
        <m:r>
          <m:t>0.05</m:t>
        </m:r>
      </m:oMath>
      <w:r>
        <w:t xml:space="preserve">), whereas red macroalgae was negatively correlated with cyanobacteria (</w:t>
      </w:r>
      <m:oMath>
        <m:r>
          <m:t>p</m:t>
        </m:r>
        <m:r>
          <m:rPr>
            <m:sty m:val="p"/>
          </m:rPr>
          <m:t>&lt;</m:t>
        </m:r>
        <m:r>
          <m:t>0.005</m:t>
        </m:r>
      </m:oMath>
      <w:r>
        <w:t xml:space="preserve">). Among the seagrasses, manatee grass was negatively correlated with shoal grass and turtle grass (</w:t>
      </w:r>
      <m:oMath>
        <m:r>
          <m:t>p</m:t>
        </m:r>
        <m:r>
          <m:rPr>
            <m:sty m:val="p"/>
          </m:rPr>
          <m:t>&lt;</m:t>
        </m:r>
        <m:r>
          <m:t>0.005</m:t>
        </m:r>
      </m:oMath>
      <w:r>
        <w:t xml:space="preserve">). Several notable correlations were also observed between water quality, macroalgae, and seagrass. Chlorophyll-a was negatively correlated with red and green macroalgae (</w:t>
      </w:r>
      <m:oMath>
        <m:r>
          <m:t>p</m:t>
        </m:r>
        <m:r>
          <m:rPr>
            <m:sty m:val="p"/>
          </m:rPr>
          <m:t>&lt;</m:t>
        </m:r>
        <m:r>
          <m:t>0.05</m:t>
        </m:r>
      </m:oMath>
      <w:r>
        <w:t xml:space="preserve">), whereas secchi depth was positively correlated with both (</w:t>
      </w:r>
      <m:oMath>
        <m:r>
          <m:t>p</m:t>
        </m:r>
        <m:r>
          <m:rPr>
            <m:sty m:val="p"/>
          </m:rPr>
          <m:t>&lt;</m:t>
        </m:r>
        <m:r>
          <m:t>0.05</m:t>
        </m:r>
      </m:oMath>
      <w:r>
        <w:t xml:space="preserve">) and negatively correlated with cyanobacteria (</w:t>
      </w:r>
      <m:oMath>
        <m:r>
          <m:t>p</m:t>
        </m:r>
        <m:r>
          <m:rPr>
            <m:sty m:val="p"/>
          </m:rPr>
          <m:t>&lt;</m:t>
        </m:r>
        <m:r>
          <m:t>0.05</m:t>
        </m:r>
      </m:oMath>
      <w:r>
        <w:t xml:space="preserve">). For water quality and seagrass, chl-a, total nitrogen, and total phosphorus were negatively correlated with turtle grass (</w:t>
      </w:r>
      <m:oMath>
        <m:r>
          <m:t>p</m:t>
        </m:r>
        <m:r>
          <m:rPr>
            <m:sty m:val="p"/>
          </m:rPr>
          <m:t>&lt;</m:t>
        </m:r>
        <m:r>
          <m:t>0.005</m:t>
        </m:r>
      </m:oMath>
      <w:r>
        <w:t xml:space="preserve"> </w:t>
      </w:r>
      <w:r>
        <w:t xml:space="preserve">for all, except</w:t>
      </w:r>
      <w:r>
        <w:t xml:space="preserve"> </w:t>
      </w:r>
      <m:oMath>
        <m:r>
          <m:t>p</m:t>
        </m:r>
        <m:r>
          <m:rPr>
            <m:sty m:val="p"/>
          </m:rPr>
          <m:t>&lt;</m:t>
        </m:r>
        <m:r>
          <m:t>0.05</m:t>
        </m:r>
      </m:oMath>
      <w:r>
        <w:t xml:space="preserve"> </w:t>
      </w:r>
      <w:r>
        <w:t xml:space="preserve">for total nitrogen), whereas secchi was positively correlated with shoal grass (</w:t>
      </w:r>
      <m:oMath>
        <m:r>
          <m:t>p</m:t>
        </m:r>
        <m:r>
          <m:rPr>
            <m:sty m:val="p"/>
          </m:rPr>
          <m:t>&lt;</m:t>
        </m:r>
        <m:r>
          <m:t>0.05</m:t>
        </m:r>
      </m:oMath>
      <w:r>
        <w:t xml:space="preserve">). For macroalgae and seagrass, red and cyanobacteria macroalgae were positively correlated with manatee grass (</w:t>
      </w:r>
      <m:oMath>
        <m:r>
          <m:t>p</m:t>
        </m:r>
        <m:r>
          <m:rPr>
            <m:sty m:val="p"/>
          </m:rPr>
          <m:t>&lt;</m:t>
        </m:r>
        <m:r>
          <m:t>0.005</m:t>
        </m:r>
      </m:oMath>
      <w:r>
        <w:t xml:space="preserve">), whereas cyanobacteria was negatively correlated with shoal grass (</w:t>
      </w:r>
      <m:oMath>
        <m:r>
          <m:t>p</m:t>
        </m:r>
        <m:r>
          <m:rPr>
            <m:sty m:val="p"/>
          </m:rPr>
          <m:t>&lt;</m:t>
        </m:r>
        <m:r>
          <m:t>0.005</m:t>
        </m:r>
      </m:oMath>
      <w:r>
        <w:t xml:space="preserve">) and turtle grass (</w:t>
      </w:r>
      <m:oMath>
        <m:r>
          <m:t>p</m:t>
        </m:r>
        <m:r>
          <m:rPr>
            <m:sty m:val="p"/>
          </m:rPr>
          <m:t>&lt;</m:t>
        </m:r>
        <m:r>
          <m:t>0.05</m:t>
        </m:r>
      </m:oMath>
      <w:r>
        <w:t xml:space="preserve">).</w:t>
      </w:r>
    </w:p>
    <w:bookmarkEnd w:id="52"/>
    <w:bookmarkStart w:id="53" w:name="red-tide-and-fish-kill-reports"/>
    <w:p>
      <w:pPr>
        <w:pStyle w:val="Heading2"/>
      </w:pPr>
      <w:r>
        <w:t xml:space="preserve">Red tide and fish kill reports</w:t>
      </w:r>
    </w:p>
    <w:p>
      <w:pPr>
        <w:pStyle w:val="FirstParagraph"/>
      </w:pPr>
      <w:r>
        <w:t xml:space="preserve">The increase in</w:t>
      </w:r>
      <w:r>
        <w:t xml:space="preserve"> </w:t>
      </w:r>
      <w:r>
        <w:rPr>
          <w:iCs/>
          <w:i/>
        </w:rPr>
        <w:t xml:space="preserve">K. brevis</w:t>
      </w:r>
      <w:r>
        <w:t xml:space="preserve"> </w:t>
      </w:r>
      <w:r>
        <w:t xml:space="preserve">from April to July to bloom concentrations exceeding 10k cells/L was an anomaly in 2021 that is not regularly observed in Tampa Bay. The historical record from 1995 to present in Figure</w:t>
      </w:r>
      <w:r>
        <w:t xml:space="preserve"> </w:t>
      </w:r>
      <w:r>
        <w:t xml:space="preserve">9</w:t>
      </w:r>
      <w:r>
        <w:t xml:space="preserve">a shows the range of cell concentrations sampled in middle and lower Tampa Bay, with only a handful of years having median cell concentrations greater than 10k cells/L, notably 2001 and 2012, although several years had concentrations above the median that were at bloom levels. Median cell concentrations for most years were well below 1k cells/L. The highest concentration of 17.6 million cells/L was observed in 2021, whereas only 2006 had a maximum observed concentration above 10 million cells/L. Seasonally in 2021, bloom concentrations were not observed until the week of May 23, with concentrations peaking by the week of July 4th, after which concentrations declined (Figure</w:t>
      </w:r>
      <w:r>
        <w:t xml:space="preserve"> </w:t>
      </w:r>
      <w:r>
        <w:t xml:space="preserve">9</w:t>
      </w:r>
      <w:r>
        <w:t xml:space="preserve">b).</w:t>
      </w:r>
    </w:p>
    <w:p>
      <w:pPr>
        <w:pStyle w:val="BodyText"/>
      </w:pPr>
      <w:r>
        <w:t xml:space="preserve">Fish kill reports attributed to red tide at the cities of Tampa and Saint Petersburg, FL somewhat tracked the annual</w:t>
      </w:r>
      <w:r>
        <w:t xml:space="preserve"> </w:t>
      </w:r>
      <w:r>
        <w:rPr>
          <w:iCs/>
          <w:i/>
        </w:rPr>
        <w:t xml:space="preserve">K. brevis</w:t>
      </w:r>
      <w:r>
        <w:t xml:space="preserve"> </w:t>
      </w:r>
      <w:r>
        <w:t xml:space="preserve">cell concentrations, with a notable exception in 2021 which had the most reports among all years (Figure</w:t>
      </w:r>
      <w:r>
        <w:t xml:space="preserve"> </w:t>
      </w:r>
      <w:r>
        <w:t xml:space="preserve">9</w:t>
      </w:r>
      <w:r>
        <w:t xml:space="preserve">c). Historically, more fish kills were reported in Saint Petersburg (85.6%) as compared to Tampa (14.4%), where the former is closer to the mouth of Tampa Bay. In 2021, 329 reports were made in Saint Petersburg and 65 in Tampa (Figure</w:t>
      </w:r>
      <w:r>
        <w:t xml:space="preserve"> </w:t>
      </w:r>
      <w:r>
        <w:t xml:space="preserve">9</w:t>
      </w:r>
      <w:r>
        <w:t xml:space="preserve">d). The combined weekly reports in 2021 for Tampa and Saint Petersburg peaked the week of July 4th, the same week as the peak of</w:t>
      </w:r>
      <w:r>
        <w:t xml:space="preserve"> </w:t>
      </w:r>
      <w:r>
        <w:rPr>
          <w:iCs/>
          <w:i/>
        </w:rPr>
        <w:t xml:space="preserve">K. brevis</w:t>
      </w:r>
      <w:r>
        <w:t xml:space="preserve"> </w:t>
      </w:r>
      <w:r>
        <w:t xml:space="preserve">cell concentrations (Figure</w:t>
      </w:r>
      <w:r>
        <w:t xml:space="preserve"> </w:t>
      </w:r>
      <w:r>
        <w:t xml:space="preserve">9</w:t>
      </w:r>
      <w:r>
        <w:t xml:space="preserve">b). Notably, the first to last week of fish kill reports covered only one and half months, whereas red tide in the bay was observed for nearly four months. Increased reports in early July coincided with a shift in winds from Tropical Storm Elsa which moved dead fish closer to populated nearshore areas, as noted earlier. As a result, the city of St. Petersburg removed over 1800 tons of dead fish near public and private shoreline areas (K. Hammer Levy, City of St. Petersburg, pers. comm. Aug. 2021).</w:t>
      </w:r>
    </w:p>
    <w:bookmarkEnd w:id="53"/>
    <w:bookmarkEnd w:id="54"/>
    <w:bookmarkStart w:id="60" w:name="discussion"/>
    <w:p>
      <w:pPr>
        <w:pStyle w:val="Heading1"/>
      </w:pPr>
      <w:r>
        <w:t xml:space="preserve">Discussion</w:t>
      </w:r>
    </w:p>
    <w:p>
      <w:pPr>
        <w:pStyle w:val="FirstParagraph"/>
      </w:pPr>
      <w:r>
        <w:t xml:space="preserve">The observed conditions in Tampa Bay from April to July, 2021 following effluent release from Piney Point provide a weight of evidence that demonstrates an adverse environmental response to a large pulse of inorganic nitrogen into the system. Collectively, these observations show that conditions in 2021 were anomalous when compared to the long-term record of water quality and habitat data for Tampa Bay. These anomalous events included 1) a large diatom bloom in April in the vicinity of the discharge at Port Manatee, 2) high abundance of the macroalgae</w:t>
      </w:r>
      <w:r>
        <w:t xml:space="preserve"> </w:t>
      </w:r>
      <w:r>
        <w:rPr>
          <w:iCs/>
          <w:i/>
        </w:rPr>
        <w:t xml:space="preserve">Lyngbya sp.</w:t>
      </w:r>
      <w:r>
        <w:t xml:space="preserve"> </w:t>
      </w:r>
      <w:r>
        <w:t xml:space="preserve">in Anna Maria Sound and near Port Manatee, 3) bloom concentrations of red tide in lower and middle Tampa Bay in June and July, and 4) high incidence of fish kill reports prompting local governments to remove over 1800 tons of dead fish from shoreline areas. The observed water quality conditions throughout this period, particularly for total nitrogen, chlorophyll-a, and secchi depth, were outside of normal ranges for many observations supported by the decades of long-term monitoring data for the region (Figures</w:t>
      </w:r>
      <w:r>
        <w:t xml:space="preserve"> </w:t>
      </w:r>
      <w:r>
        <w:t xml:space="preserve">3</w:t>
      </w:r>
      <w:r>
        <w:t xml:space="preserve"> </w:t>
      </w:r>
      <w:r>
        <w:t xml:space="preserve">and</w:t>
      </w:r>
      <w:r>
        <w:t xml:space="preserve"> </w:t>
      </w:r>
      <w:r>
        <w:t xml:space="preserve">4</w:t>
      </w:r>
      <w:r>
        <w:t xml:space="preserve">, Table</w:t>
      </w:r>
      <w:r>
        <w:t xml:space="preserve"> </w:t>
      </w:r>
      <w:r>
        <w:t xml:space="preserve">2</w:t>
      </w:r>
      <w:r>
        <w:t xml:space="preserve">). Although these out-of-range results had specific temporal and spatial patterns, they were widespread in lower and middle Tampa Bay.</w:t>
      </w:r>
    </w:p>
    <w:p>
      <w:pPr>
        <w:pStyle w:val="BodyText"/>
      </w:pPr>
      <w:r>
        <w:t xml:space="preserve">In addition to the changing environmental conditions observed during the summer, the Piney Point event is also anomalous in the volume of effluent entering the system and estimated nutrient load to lower Tampa Bay. Spill events</w:t>
      </w:r>
      <w:r>
        <w:t xml:space="preserve"> </w:t>
      </w:r>
      <w:hyperlink r:id="rId55">
        <w:r>
          <w:rPr>
            <w:rStyle w:val="Hyperlink"/>
          </w:rPr>
          <w:t xml:space="preserve">reported to FDEP</w:t>
        </w:r>
      </w:hyperlink>
      <w:r>
        <w:t xml:space="preserve"> </w:t>
      </w:r>
      <w:r>
        <w:t xml:space="preserve">(e.g., industrial spills, service line failures, sanitary sewer overflows) provide additional context for Piney Point relative to other potential anomalous discharges to Tampa Bay. An assessment of over 800 reports to FDEP for the Tampa Bay watershed over the last five years showed spill volumes for these events are small (median volume 3630 gallons,</w:t>
      </w:r>
      <w:r>
        <w:t xml:space="preserve"> </w:t>
      </w:r>
      <w:hyperlink r:id="rId56">
        <w:r>
          <w:rPr>
            <w:rStyle w:val="Hyperlink"/>
          </w:rPr>
          <w:t xml:space="preserve">unpublished analysis</w:t>
        </w:r>
      </w:hyperlink>
      <w:r>
        <w:t xml:space="preserve">) compared to the 285 million gallons discharged from Piney Point. Moreover, the estimated nutrient load of 205 tons of nitrogen to Tampa Bay from Piney Point over the ten day period, exceeded current annual estimates of the external load into lower Tampa Bay</w:t>
      </w:r>
      <w:r>
        <w:t xml:space="preserve"> </w:t>
      </w:r>
      <w:r>
        <w:t xml:space="preserve">(</w:t>
      </w:r>
      <w:hyperlink w:anchor="ref-tbep0417">
        <w:r>
          <w:rPr>
            <w:rStyle w:val="Hyperlink"/>
          </w:rPr>
          <w:t xml:space="preserve">Janicki Environmental, Inc., 2017b</w:t>
        </w:r>
      </w:hyperlink>
      <w:r>
        <w:t xml:space="preserve">)</w:t>
      </w:r>
      <w:r>
        <w:t xml:space="preserve">. From both a monitoring perspective and the nature of the effluent into Tampa Bay, the observed response of conditions in 2021 is an outlier compared to past years. These events were interpreted in the context of broad goals of the Tampa Bay Estuary Program and its partners to collectively manage ecosystem health following a nutrient management paradigm with seagrasses as both an indicator of environmental quality and an asset for biological resources in Tampa Bay.</w:t>
      </w:r>
    </w:p>
    <w:p>
      <w:pPr>
        <w:pStyle w:val="BodyText"/>
      </w:pPr>
      <w:r>
        <w:t xml:space="preserve">Several of the results support known responses of water quality to nutrient loads for shallow Gulf Coast estuaries</w:t>
      </w:r>
      <w:r>
        <w:t xml:space="preserve"> </w:t>
      </w:r>
      <w:r>
        <w:t xml:space="preserve">(</w:t>
      </w:r>
      <w:hyperlink w:anchor="ref-Caffrey14">
        <w:r>
          <w:rPr>
            <w:rStyle w:val="Hyperlink"/>
          </w:rPr>
          <w:t xml:space="preserve">Caffrey et al., 2013</w:t>
        </w:r>
      </w:hyperlink>
      <w:r>
        <w:t xml:space="preserve">;</w:t>
      </w:r>
      <w:r>
        <w:t xml:space="preserve"> </w:t>
      </w:r>
      <w:hyperlink w:anchor="ref-Doering06">
        <w:r>
          <w:rPr>
            <w:rStyle w:val="Hyperlink"/>
          </w:rPr>
          <w:t xml:space="preserve">Doering et al., 2006</w:t>
        </w:r>
      </w:hyperlink>
      <w:r>
        <w:t xml:space="preserve">;</w:t>
      </w:r>
      <w:r>
        <w:t xml:space="preserve"> </w:t>
      </w:r>
      <w:hyperlink w:anchor="ref-Greening14">
        <w:r>
          <w:rPr>
            <w:rStyle w:val="Hyperlink"/>
          </w:rPr>
          <w:t xml:space="preserve">Greening et al., 2014</w:t>
        </w:r>
      </w:hyperlink>
      <w:r>
        <w:t xml:space="preserve">)</w:t>
      </w:r>
      <w:r>
        <w:t xml:space="preserve">. Regarding the nutrient management paradigm for Tampa Bay, the relationship between nutrients, chlorophyll-a, and water transparency is supported by the significant correlations (Figure</w:t>
      </w:r>
      <w:r>
        <w:t xml:space="preserve"> </w:t>
      </w:r>
      <w:r>
        <w:t xml:space="preserve">8</w:t>
      </w:r>
      <w:r>
        <w:t xml:space="preserve">) and loadings from the PCA results (Figure</w:t>
      </w:r>
      <w:r>
        <w:t xml:space="preserve"> </w:t>
      </w:r>
      <w:r>
        <w:t xml:space="preserve">7</w:t>
      </w:r>
      <w:r>
        <w:t xml:space="preserve">). Temporally, these changes were observed at different times and for different species of phytoplankton. The initial increase in chlorophyll-a was first associated with a diatom bloom in April and then by</w:t>
      </w:r>
      <w:r>
        <w:t xml:space="preserve"> </w:t>
      </w:r>
      <w:r>
        <w:rPr>
          <w:iCs/>
          <w:i/>
        </w:rPr>
        <w:t xml:space="preserve">K. brevis</w:t>
      </w:r>
      <w:r>
        <w:t xml:space="preserve"> </w:t>
      </w:r>
      <w:r>
        <w:t xml:space="preserve">in June and July. Of note is that inorganic species of nitrogen, mainly ammonia, were only present at high concentrations in early April. Concerns of the negative impacts of nutrients from the wastewater release focused primarily on the high concentrations of ammonia in the effluent (Table</w:t>
      </w:r>
      <w:r>
        <w:t xml:space="preserve"> </w:t>
      </w:r>
      <w:r>
        <w:t xml:space="preserve">1</w:t>
      </w:r>
      <w:r>
        <w:t xml:space="preserve">), which can be utilized rapidly by many phytoplankton taxa</w:t>
      </w:r>
      <w:r>
        <w:t xml:space="preserve"> </w:t>
      </w:r>
      <w:r>
        <w:t xml:space="preserve">(</w:t>
      </w:r>
      <w:hyperlink w:anchor="ref-Bates76">
        <w:r>
          <w:rPr>
            <w:rStyle w:val="Hyperlink"/>
          </w:rPr>
          <w:t xml:space="preserve">Bates, 1976</w:t>
        </w:r>
      </w:hyperlink>
      <w:r>
        <w:t xml:space="preserve">;</w:t>
      </w:r>
      <w:r>
        <w:t xml:space="preserve"> </w:t>
      </w:r>
      <w:hyperlink w:anchor="ref-Domingues11">
        <w:r>
          <w:rPr>
            <w:rStyle w:val="Hyperlink"/>
          </w:rPr>
          <w:t xml:space="preserve">Domingues et al., 2011</w:t>
        </w:r>
      </w:hyperlink>
      <w:r>
        <w:t xml:space="preserve">)</w:t>
      </w:r>
      <w:r>
        <w:t xml:space="preserve">. Low concentrations of ammonia after April may be explained by quick uptake by the initial diatom bloom, where total nitrogen that included organic sources were at high concentrations through April and again peaking in July. Variation in observed concentrations of nutrients is complex given that high concentrations may suggest availability to support phytoplankton growth, whereas low concentrations may imply cycling of available nitrogen in organic forms already utilized by different taxa, including macroalgae</w:t>
      </w:r>
      <w:r>
        <w:t xml:space="preserve"> </w:t>
      </w:r>
      <w:r>
        <w:t xml:space="preserve">(</w:t>
      </w:r>
      <w:hyperlink w:anchor="ref-Cohen06">
        <w:r>
          <w:rPr>
            <w:rStyle w:val="Hyperlink"/>
          </w:rPr>
          <w:t xml:space="preserve">Cohen and Fong, 2006</w:t>
        </w:r>
      </w:hyperlink>
      <w:r>
        <w:t xml:space="preserve">;</w:t>
      </w:r>
      <w:r>
        <w:t xml:space="preserve"> </w:t>
      </w:r>
      <w:hyperlink w:anchor="ref-Valiela97">
        <w:r>
          <w:rPr>
            <w:rStyle w:val="Hyperlink"/>
          </w:rPr>
          <w:t xml:space="preserve">Valiela et al., 1997</w:t>
        </w:r>
      </w:hyperlink>
      <w:r>
        <w:t xml:space="preserve">)</w:t>
      </w:r>
      <w:r>
        <w:t xml:space="preserve">.</w:t>
      </w:r>
    </w:p>
    <w:p>
      <w:pPr>
        <w:pStyle w:val="BodyText"/>
      </w:pPr>
      <w:r>
        <w:t xml:space="preserve">From a seagrass perspective, both major bloom events contributed to a reduction in water clarity and less light availability that may negatively affect seagrass growth. However, changes in frequency occurrence of seagrasses and associations with water quality and macroalgae were ambiguous. Evaluations of frequency occurrence across months showed no changes, although correlations with water quality and macroalgae can be explained with some certainty. Spatially, transects closer to the mouth of Tampa Bay and extending to the northern portion of Sarasota Bay (area 3) had higher frequency occurrence of turtle grass and lower frequency of shoal grass. This reflects a natural partitioning of the species along a salinity gradient</w:t>
      </w:r>
      <w:r>
        <w:t xml:space="preserve"> </w:t>
      </w:r>
      <w:r>
        <w:t xml:space="preserve">(Figure</w:t>
      </w:r>
      <w:r>
        <w:t xml:space="preserve"> </w:t>
      </w:r>
      <w:r>
        <w:t xml:space="preserve">7</w:t>
      </w:r>
      <w:r>
        <w:t xml:space="preserve">,</w:t>
      </w:r>
      <w:r>
        <w:t xml:space="preserve"> </w:t>
      </w:r>
      <w:hyperlink w:anchor="ref-Sherwood17">
        <w:r>
          <w:rPr>
            <w:rStyle w:val="Hyperlink"/>
          </w:rPr>
          <w:t xml:space="preserve">Sherwood et al., 2017</w:t>
        </w:r>
      </w:hyperlink>
      <w:r>
        <w:t xml:space="preserve">)</w:t>
      </w:r>
      <w:r>
        <w:t xml:space="preserve">. Correlations between macroalgae and seagrasses can also be explained by spatial differences along a depth gradient. Frequency occurrences of both shoal grass and turtle grass were negatively associated with manatee grass. Shoal grass and turtle grass generally grow at more shallow depths than manatee grass and are often exposed during low tides. As an adaptive mechanism to varying water levels at shallower depths, blades of shoal grass and turtle grass can</w:t>
      </w:r>
      <w:r>
        <w:t xml:space="preserve"> </w:t>
      </w:r>
      <w:r>
        <w:t xml:space="preserve">“</w:t>
      </w:r>
      <w:r>
        <w:t xml:space="preserve">lay down</w:t>
      </w:r>
      <w:r>
        <w:t xml:space="preserve">”</w:t>
      </w:r>
      <w:r>
        <w:t xml:space="preserve"> </w:t>
      </w:r>
      <w:r>
        <w:t xml:space="preserve">during low tide to minimize desiccation stress. Manatee grass has thicker, cylindrical blades that are more rigid and, as a result, the species grows deeper. In addition to species depth partitioning, these associations may also reflect natural variation in seagrass response to water clarity gradients along the main axis of Tampa Bay. Shoal grass can occur in more turbid waters of oligohaline areas.</w:t>
      </w:r>
    </w:p>
    <w:p>
      <w:pPr>
        <w:pStyle w:val="BodyText"/>
      </w:pPr>
      <w:r>
        <w:t xml:space="preserve">Macroalgae trends across the study period were much more dramatic than the subtle differences observed in the seagrass community. This was expected given both the documented changes from past releases from Piney Point and the more rapid response of macroalgae to changing water quality conditions relative to seagrasses</w:t>
      </w:r>
      <w:r>
        <w:t xml:space="preserve"> </w:t>
      </w:r>
      <w:r>
        <w:t xml:space="preserve">(</w:t>
      </w:r>
      <w:hyperlink w:anchor="ref-Valiela97">
        <w:r>
          <w:rPr>
            <w:rStyle w:val="Hyperlink"/>
          </w:rPr>
          <w:t xml:space="preserve">Valiela et al., 1997</w:t>
        </w:r>
      </w:hyperlink>
      <w:r>
        <w:t xml:space="preserve">)</w:t>
      </w:r>
      <w:r>
        <w:t xml:space="preserve">. In Tampa Bay, red macroalgae groups (e.g.,</w:t>
      </w:r>
      <w:r>
        <w:t xml:space="preserve"> </w:t>
      </w:r>
      <w:r>
        <w:rPr>
          <w:iCs/>
          <w:i/>
        </w:rPr>
        <w:t xml:space="preserve">Gracilaria sp.</w:t>
      </w:r>
      <w:r>
        <w:t xml:space="preserve">,</w:t>
      </w:r>
      <w:r>
        <w:t xml:space="preserve"> </w:t>
      </w:r>
      <w:r>
        <w:rPr>
          <w:iCs/>
          <w:i/>
        </w:rPr>
        <w:t xml:space="preserve">Acanthophora sp.</w:t>
      </w:r>
      <w:r>
        <w:t xml:space="preserve">) are more common than green macroalgae (e.g.,</w:t>
      </w:r>
      <w:r>
        <w:t xml:space="preserve"> </w:t>
      </w:r>
      <w:r>
        <w:rPr>
          <w:iCs/>
          <w:i/>
        </w:rPr>
        <w:t xml:space="preserve">Ulva sp.</w:t>
      </w:r>
      <w:r>
        <w:t xml:space="preserve">,</w:t>
      </w:r>
      <w:r>
        <w:t xml:space="preserve"> </w:t>
      </w:r>
      <w:r>
        <w:rPr>
          <w:iCs/>
          <w:i/>
        </w:rPr>
        <w:t xml:space="preserve">Caulerpa sp.</w:t>
      </w:r>
      <w:r>
        <w:t xml:space="preserve">) and seasonally occur earlier in the growing season. The dominance of the red groups early in the summer followed by an increase in</w:t>
      </w:r>
      <w:r>
        <w:t xml:space="preserve"> </w:t>
      </w:r>
      <w:r>
        <w:rPr>
          <w:iCs/>
          <w:i/>
        </w:rPr>
        <w:t xml:space="preserve">Ulva sp.</w:t>
      </w:r>
      <w:r>
        <w:t xml:space="preserve"> </w:t>
      </w:r>
      <w:r>
        <w:t xml:space="preserve">likely reflects a natural phenology in Tampa Bay. Past spill events were associated with an increase in both red and green macroalgae in a small embayment of Tampa Bay</w:t>
      </w:r>
      <w:r>
        <w:t xml:space="preserve"> </w:t>
      </w:r>
      <w:r>
        <w:t xml:space="preserve">(</w:t>
      </w:r>
      <w:hyperlink w:anchor="ref-Switzer11">
        <w:r>
          <w:rPr>
            <w:rStyle w:val="Hyperlink"/>
          </w:rPr>
          <w:t xml:space="preserve">Switzer et al., 2011</w:t>
        </w:r>
      </w:hyperlink>
      <w:r>
        <w:t xml:space="preserve">)</w:t>
      </w:r>
      <w:r>
        <w:t xml:space="preserve">. Thus, it is unclear if the trend from red to green macroalgae reflects a seasonal change or a shift to more eutrophic conditions at nearshore sites stimulated by wastewater release. A clear difference in the macroalgae community in 2021 compared to past years was a high abundance of cyanobacteria macroalgae (i.e.,</w:t>
      </w:r>
      <w:r>
        <w:t xml:space="preserve"> </w:t>
      </w:r>
      <w:r>
        <w:rPr>
          <w:iCs/>
          <w:i/>
        </w:rPr>
        <w:t xml:space="preserve">Lyngbya sp.</w:t>
      </w:r>
      <w:r>
        <w:t xml:space="preserve">). Although cyanobacteria are observed in routine monitoring of seagrass transects in Tampa Bay, unusually high abundances of</w:t>
      </w:r>
      <w:r>
        <w:t xml:space="preserve"> </w:t>
      </w:r>
      <w:r>
        <w:rPr>
          <w:iCs/>
          <w:i/>
        </w:rPr>
        <w:t xml:space="preserve">Lyngbya sp.</w:t>
      </w:r>
      <w:r>
        <w:t xml:space="preserve"> </w:t>
      </w:r>
      <w:r>
        <w:t xml:space="preserve">in Anna Maria Sound and near Port Manatee was observed in 2021. The long-term effects of these blooms are uncertain, whereas the correlation of cyanobacteria with the different macroalgae groups and seagrass species may be partially explained by depth variation and a seasonal change in species dominance.</w:t>
      </w:r>
      <w:r>
        <w:t xml:space="preserve"> </w:t>
      </w:r>
      <w:r>
        <w:rPr>
          <w:iCs/>
          <w:i/>
        </w:rPr>
        <w:t xml:space="preserve">Lyngbya sp</w:t>
      </w:r>
      <w:r>
        <w:t xml:space="preserve"> </w:t>
      </w:r>
      <w:r>
        <w:t xml:space="preserve">were commonly observed at depth and entangled in blades of manatee grass (positive correlation in Figure</w:t>
      </w:r>
      <w:r>
        <w:t xml:space="preserve"> </w:t>
      </w:r>
      <w:r>
        <w:t xml:space="preserve">8</w:t>
      </w:r>
      <w:r>
        <w:t xml:space="preserve">), whereas floating mats closer to shore were also observed and likely driven by currents or winds moving the macroalgae away from the point of origin.</w:t>
      </w:r>
    </w:p>
    <w:p>
      <w:pPr>
        <w:pStyle w:val="BodyText"/>
      </w:pPr>
      <w:r>
        <w:t xml:space="preserve">The long-term effects of the Piney Point discharge on the seagrass community remains uncertain. Regionally, seagrasses have declined in coverage as estimated from biennial maps provided by the Southwest Florida Water Management District. From 2018 to 2020, seagrass coverage declined by 16% in Tampa Bay, with similar losses observed in Sarasota Bay (18%), Lemon Bay (12%), and Charlotte Harbor (23%) to the south. These broader trends suggest regional drivers are affecting seagrass communities (e.g., variation in precipitation), yet local issues specific to individual bays also pose challenges to managing water quality and subtidal habitats. Recent seagrass losses in Sarasota Bay may be linked to decreased light availability from a persistent red time bloom in 2018. Although the 2021 bloom in Tampa Bay was short-lived, potential effects on seagrasses remain a concern. Ecosystem shifts from seagrass to macroalgae dominated communities are also a concern, both in 2021 and as observed at some locations in recent years from the annual transect monitoring results for Tampa Bay. In particular, increasing abundance in recent years of the green algae</w:t>
      </w:r>
      <w:r>
        <w:t xml:space="preserve"> </w:t>
      </w:r>
      <w:r>
        <w:rPr>
          <w:iCs/>
          <w:i/>
        </w:rPr>
        <w:t xml:space="preserve">Caulerpa sp.</w:t>
      </w:r>
      <w:r>
        <w:t xml:space="preserve"> </w:t>
      </w:r>
      <w:r>
        <w:t xml:space="preserve">has been observed at long-term transects that were previously dominated by seagrass. The causes of these shifts have yet to be identified, nor is the ecological value known for habitat and water quality. General consensus among local managers is that</w:t>
      </w:r>
      <w:r>
        <w:t xml:space="preserve"> </w:t>
      </w:r>
      <w:r>
        <w:rPr>
          <w:iCs/>
          <w:i/>
        </w:rPr>
        <w:t xml:space="preserve">Caulerpa</w:t>
      </w:r>
      <w:r>
        <w:t xml:space="preserve"> </w:t>
      </w:r>
      <w:r>
        <w:t xml:space="preserve">may provide some ecological value over bare substrate, but it may be indicative of broader ecosystem changes concurrent with alteration of nutrient loads or system resilience at the expense of seagrass communities</w:t>
      </w:r>
      <w:r>
        <w:t xml:space="preserve"> </w:t>
      </w:r>
      <w:r>
        <w:t xml:space="preserve">(</w:t>
      </w:r>
      <w:hyperlink w:anchor="ref-Lloret05">
        <w:r>
          <w:rPr>
            <w:rStyle w:val="Hyperlink"/>
          </w:rPr>
          <w:t xml:space="preserve">Lloret et al., 2005</w:t>
        </w:r>
      </w:hyperlink>
      <w:r>
        <w:t xml:space="preserve">;</w:t>
      </w:r>
      <w:r>
        <w:t xml:space="preserve"> </w:t>
      </w:r>
      <w:hyperlink w:anchor="ref-Stafford06">
        <w:r>
          <w:rPr>
            <w:rStyle w:val="Hyperlink"/>
          </w:rPr>
          <w:t xml:space="preserve">Stafford and Bell, 2006</w:t>
        </w:r>
      </w:hyperlink>
      <w:r>
        <w:t xml:space="preserve">)</w:t>
      </w:r>
      <w:r>
        <w:t xml:space="preserve">. Acute stressors from short-term events, such as wastewater release from Piney Point, create additional and often preventable challenges in the context of broader issues affecting ecosystem health.</w:t>
      </w:r>
    </w:p>
    <w:p>
      <w:pPr>
        <w:pStyle w:val="BodyText"/>
      </w:pPr>
      <w:r>
        <w:t xml:space="preserve">Fisheries resources have undoubtedly been impacted by</w:t>
      </w:r>
      <w:r>
        <w:t xml:space="preserve"> </w:t>
      </w:r>
      <w:r>
        <w:rPr>
          <w:iCs/>
          <w:i/>
        </w:rPr>
        <w:t xml:space="preserve">K. brevis</w:t>
      </w:r>
      <w:r>
        <w:t xml:space="preserve"> </w:t>
      </w:r>
      <w:r>
        <w:t xml:space="preserve">blooms in June and July (Figure</w:t>
      </w:r>
      <w:r>
        <w:t xml:space="preserve"> </w:t>
      </w:r>
      <w:r>
        <w:t xml:space="preserve">9</w:t>
      </w:r>
      <w:r>
        <w:t xml:space="preserve">). Quantitative data on changes in abundance and diversity of fish species in Tampa Bay in 2021 are forthcoming. Routine sampling by the FWC Fisheries Independent Monitoring Program occurs annually in Tampa Bay and a long-term record back to 1998 provides detailed information for the major bay segments. Results from the Tampa Bay Nekton Index showed a decline in fisheries resources following a significant red tide event in lower Tampa Bay in 2005</w:t>
      </w:r>
      <w:r>
        <w:t xml:space="preserve"> </w:t>
      </w:r>
      <w:r>
        <w:t xml:space="preserve">(</w:t>
      </w:r>
      <w:hyperlink w:anchor="ref-Schrandt21">
        <w:r>
          <w:rPr>
            <w:rStyle w:val="Hyperlink"/>
          </w:rPr>
          <w:t xml:space="preserve">Schrandt et al., 2021</w:t>
        </w:r>
      </w:hyperlink>
      <w:r>
        <w:t xml:space="preserve">)</w:t>
      </w:r>
      <w:r>
        <w:t xml:space="preserve">. Given the observed</w:t>
      </w:r>
      <w:r>
        <w:t xml:space="preserve"> </w:t>
      </w:r>
      <w:r>
        <w:rPr>
          <w:iCs/>
          <w:i/>
        </w:rPr>
        <w:t xml:space="preserve">K. brevis</w:t>
      </w:r>
      <w:r>
        <w:t xml:space="preserve"> </w:t>
      </w:r>
      <w:r>
        <w:t xml:space="preserve">concentrations in 2021 and the magnitude of fish kills, restrictions for catch and release only for popular sportfishes (</w:t>
      </w:r>
      <w:r>
        <w:rPr>
          <w:iCs/>
          <w:i/>
        </w:rPr>
        <w:t xml:space="preserve">Sciaenops ocellatus</w:t>
      </w:r>
      <w:r>
        <w:t xml:space="preserve">,</w:t>
      </w:r>
      <w:r>
        <w:t xml:space="preserve"> </w:t>
      </w:r>
      <w:r>
        <w:rPr>
          <w:iCs/>
          <w:i/>
        </w:rPr>
        <w:t xml:space="preserve">Cynoscion nebulosus</w:t>
      </w:r>
      <w:r>
        <w:t xml:space="preserve">, and</w:t>
      </w:r>
      <w:r>
        <w:t xml:space="preserve"> </w:t>
      </w:r>
      <w:r>
        <w:rPr>
          <w:iCs/>
          <w:i/>
        </w:rPr>
        <w:t xml:space="preserve">Centropomus undecimalis</w:t>
      </w:r>
      <w:r>
        <w:t xml:space="preserve">) have been extended through the fall. For past Piney Point events,</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evaluated nekton communities in Bishop Harbor from November 2003 to October 2004 following discharge to the subembayment. Fish community structure and species composition did not differ compared to a pre-impact period, although bloom concentrations of HAB species (</w:t>
      </w:r>
      <w:r>
        <w:rPr>
          <w:iCs/>
          <w:i/>
        </w:rPr>
        <w:t xml:space="preserve">Prorocentrum minimum</w:t>
      </w:r>
      <w:r>
        <w:t xml:space="preserve">,</w:t>
      </w:r>
      <w:r>
        <w:t xml:space="preserve"> </w:t>
      </w:r>
      <w:r>
        <w:rPr>
          <w:iCs/>
          <w:i/>
        </w:rPr>
        <w:t xml:space="preserve">Heterosigma akashiwo</w:t>
      </w:r>
      <w:r>
        <w:t xml:space="preserve">), including</w:t>
      </w:r>
      <w:r>
        <w:t xml:space="preserve"> </w:t>
      </w:r>
      <w:r>
        <w:rPr>
          <w:iCs/>
          <w:i/>
        </w:rPr>
        <w:t xml:space="preserve">K. brevis</w:t>
      </w:r>
      <w:r>
        <w:t xml:space="preserve"> </w:t>
      </w:r>
      <w:r>
        <w:t xml:space="preserve">and diatoms, were observed in Bishop Harbor during this time</w:t>
      </w:r>
      <w:r>
        <w:t xml:space="preserve"> </w:t>
      </w:r>
      <w:r>
        <w:t xml:space="preserve">(</w:t>
      </w:r>
      <w:hyperlink w:anchor="ref-Garrett11">
        <w:r>
          <w:rPr>
            <w:rStyle w:val="Hyperlink"/>
          </w:rPr>
          <w:t xml:space="preserve">Garrett et al., 2011</w:t>
        </w:r>
      </w:hyperlink>
      <w:r>
        <w:t xml:space="preserve">)</w:t>
      </w:r>
      <w:r>
        <w:t xml:space="preserve">.</w:t>
      </w:r>
    </w:p>
    <w:p>
      <w:pPr>
        <w:pStyle w:val="BodyText"/>
      </w:pPr>
      <w:r>
        <w:t xml:space="preserve">Additional monitoring and analysis is also required to fully understand the long-term impacts to bay resources beyond water quality. For benthic communities, sediments were sampled in April during the discharge near Port Manatee and surrounding waters. These samples were used to calculate scores for the Tampa Bay Benthic Index (TBBI) as a measure of the ecological health of the benthos</w:t>
      </w:r>
      <w:r>
        <w:t xml:space="preserve"> </w:t>
      </w:r>
      <w:r>
        <w:t xml:space="preserve">(</w:t>
      </w:r>
      <w:hyperlink w:anchor="ref-tbep0106">
        <w:r>
          <w:rPr>
            <w:rStyle w:val="Hyperlink"/>
          </w:rPr>
          <w:t xml:space="preserve">Wade et al., 2006</w:t>
        </w:r>
      </w:hyperlink>
      <w:r>
        <w:t xml:space="preserve">)</w:t>
      </w:r>
      <w:r>
        <w:t xml:space="preserve">. Similar to other reporting tools for Tampa Bay, the TBBI categorizes sediment samples into</w:t>
      </w:r>
      <w:r>
        <w:t xml:space="preserve"> </w:t>
      </w:r>
      <w:r>
        <w:t xml:space="preserve">“</w:t>
      </w:r>
      <w:r>
        <w:t xml:space="preserve">good,</w:t>
      </w:r>
      <w:r>
        <w:t xml:space="preserve">”</w:t>
      </w:r>
      <w:r>
        <w:t xml:space="preserve"> </w:t>
      </w:r>
      <w:r>
        <w:t xml:space="preserve">“</w:t>
      </w:r>
      <w:r>
        <w:t xml:space="preserve">fair,</w:t>
      </w:r>
      <w:r>
        <w:t xml:space="preserve">”</w:t>
      </w:r>
      <w:r>
        <w:t xml:space="preserve"> </w:t>
      </w:r>
      <w:r>
        <w:t xml:space="preserve">and</w:t>
      </w:r>
      <w:r>
        <w:t xml:space="preserve"> </w:t>
      </w:r>
      <w:r>
        <w:t xml:space="preserve">“</w:t>
      </w:r>
      <w:r>
        <w:t xml:space="preserve">poor</w:t>
      </w:r>
      <w:r>
        <w:t xml:space="preserve">”</w:t>
      </w:r>
      <w:r>
        <w:t xml:space="preserve"> </w:t>
      </w:r>
      <w:r>
        <w:t xml:space="preserve">as a qualitative summary of enumerated taxonomic data that can support management decisions. Results suggested a mix of conditions dominated by</w:t>
      </w:r>
      <w:r>
        <w:t xml:space="preserve"> </w:t>
      </w:r>
      <w:r>
        <w:t xml:space="preserve">“</w:t>
      </w:r>
      <w:r>
        <w:t xml:space="preserve">fair</w:t>
      </w:r>
      <w:r>
        <w:t xml:space="preserve">”</w:t>
      </w:r>
      <w:r>
        <w:t xml:space="preserve"> </w:t>
      </w:r>
      <w:r>
        <w:t xml:space="preserve">and</w:t>
      </w:r>
      <w:r>
        <w:t xml:space="preserve"> </w:t>
      </w:r>
      <w:r>
        <w:t xml:space="preserve">“</w:t>
      </w:r>
      <w:r>
        <w:t xml:space="preserve">good</w:t>
      </w:r>
      <w:r>
        <w:t xml:space="preserve">”</w:t>
      </w:r>
      <w:r>
        <w:t xml:space="preserve"> </w:t>
      </w:r>
      <w:r>
        <w:t xml:space="preserve">samples, possibly reflecting the high spatial variability of macroinvertebrate communities in coastal habitats</w:t>
      </w:r>
      <w:r>
        <w:t xml:space="preserve"> </w:t>
      </w:r>
      <w:r>
        <w:t xml:space="preserve">(</w:t>
      </w:r>
      <w:hyperlink w:anchor="ref-Gillett21">
        <w:r>
          <w:rPr>
            <w:rStyle w:val="Hyperlink"/>
          </w:rPr>
          <w:t xml:space="preserve">Gillett et al., 2021</w:t>
        </w:r>
      </w:hyperlink>
      <w:r>
        <w:t xml:space="preserve">;</w:t>
      </w:r>
      <w:r>
        <w:t xml:space="preserve"> </w:t>
      </w:r>
      <w:hyperlink w:anchor="ref-tbep0620">
        <w:r>
          <w:rPr>
            <w:rStyle w:val="Hyperlink"/>
          </w:rPr>
          <w:t xml:space="preserve">Karlen et al., 2020</w:t>
        </w:r>
      </w:hyperlink>
      <w:r>
        <w:t xml:space="preserve">)</w:t>
      </w:r>
      <w:r>
        <w:t xml:space="preserve">. Comparison of the initial 2021 samples to historical benthic conditions suggested relatively consistent sediment quality from 1993 to present (</w:t>
      </w:r>
      <w:hyperlink r:id="rId57">
        <w:r>
          <w:rPr>
            <w:rStyle w:val="Hyperlink"/>
          </w:rPr>
          <w:t xml:space="preserve">unpublished results</w:t>
        </w:r>
      </w:hyperlink>
      <w:r>
        <w:t xml:space="preserve">). Additional sampling is planned later at the same sites surveyed in April to further assess potential impacts of Piney Point on sediment quality. Finally, effects of changing environmental conditions and red tide on marine mammals (e.g., cetaceans, sirenians) was also a concern given their use of bay resources within the broader distribution of these species. Twenty preliminary manatee (</w:t>
      </w:r>
      <w:r>
        <w:rPr>
          <w:iCs/>
          <w:i/>
        </w:rPr>
        <w:t xml:space="preserve">Trichechus manatus latirostris</w:t>
      </w:r>
      <w:r>
        <w:t xml:space="preserve">) mortalities were</w:t>
      </w:r>
      <w:r>
        <w:t xml:space="preserve"> </w:t>
      </w:r>
      <w:hyperlink r:id="rId58">
        <w:r>
          <w:rPr>
            <w:rStyle w:val="Hyperlink"/>
          </w:rPr>
          <w:t xml:space="preserve">reported</w:t>
        </w:r>
      </w:hyperlink>
      <w:r>
        <w:t xml:space="preserve"> </w:t>
      </w:r>
      <w:r>
        <w:t xml:space="preserve">in the red tide boundary of the impacted counties of Tampa Bay through August 2021. This is of particular concern given the recent</w:t>
      </w:r>
      <w:r>
        <w:t xml:space="preserve"> </w:t>
      </w:r>
      <w:hyperlink r:id="rId59">
        <w:r>
          <w:rPr>
            <w:rStyle w:val="Hyperlink"/>
          </w:rPr>
          <w:t xml:space="preserve">unusual mortality events</w:t>
        </w:r>
      </w:hyperlink>
      <w:r>
        <w:t xml:space="preserve"> </w:t>
      </w:r>
      <w:r>
        <w:t xml:space="preserve">for Florida manatees that is likely linked to seagrass losses on the east coast of Florida (e.g., Indian River Lagoon) and current seagrass losses for southwest Florida.</w:t>
      </w:r>
    </w:p>
    <w:p>
      <w:pPr>
        <w:pStyle w:val="BodyText"/>
      </w:pPr>
      <w:r>
        <w:t xml:space="preserve">Compared to past events, the 2021 event differed from previous releases to the bay in that effluent was discharged directly to lower Tampa Bay instead of through channels to back-bay habitats (i.e., Bishop Harbor). The comparison to past years provided a stark contrast of the effect of wastewater discharge location that is specific to Tampa Bay, but can inform understanding of pollutant dispersal and its impacts on different habitats that varies spatially and throughout the water column. The Tampa Bay Coastal Ocean Model</w:t>
      </w:r>
      <w:r>
        <w:t xml:space="preserve"> </w:t>
      </w:r>
      <w:r>
        <w:t xml:space="preserve">(</w:t>
      </w:r>
      <w:hyperlink w:anchor="ref-Chen19">
        <w:r>
          <w:rPr>
            <w:rStyle w:val="Hyperlink"/>
          </w:rPr>
          <w:t xml:space="preserve">Chen et al., 2019</w:t>
        </w:r>
      </w:hyperlink>
      <w:r>
        <w:t xml:space="preserve">)</w:t>
      </w:r>
      <w:r>
        <w:t xml:space="preserve"> </w:t>
      </w:r>
      <w:r>
        <w:t xml:space="preserve">was used to simulate daily tracer particle movement and expected dilution of nutrient concentrations from the point of discharge. Although these results were initially used to inform monitoring locations, the model suggested that the effluent was widespread throughout the bay and persisted for many months after the discharge ceased at Port Manatee. Plume dispersal also suggested that both open-water and back-bay habitats were exposed to nutrient concentrations sufficient for phytoplankton production. Although simulated particle tracking showed that nutrient dilution occurred rapidly on the order of 10- to 100-fold in a few days, concentrations were considered biologically relevant given the initial concentrations of inorganic nitrogen from stack effluent (Table</w:t>
      </w:r>
      <w:r>
        <w:t xml:space="preserve"> </w:t>
      </w:r>
      <w:r>
        <w:t xml:space="preserve">1</w:t>
      </w:r>
      <w:r>
        <w:t xml:space="preserve">) and the background concentrations for the bay (Table</w:t>
      </w:r>
      <w:r>
        <w:t xml:space="preserve"> </w:t>
      </w:r>
      <w:r>
        <w:t xml:space="preserve">2</w:t>
      </w:r>
      <w:r>
        <w:t xml:space="preserve">).</w:t>
      </w:r>
    </w:p>
    <w:p>
      <w:pPr>
        <w:pStyle w:val="BodyText"/>
      </w:pPr>
      <w:r>
        <w:t xml:space="preserve">In the broader context of mining impacts to surface waters, the results herein reinforce the understanding that legacy pollutants from phosphate mining represent a serious threat to environmental resources. In addition to the previous studies and reports for Tampa Bay</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other Gulf Coast estuaries have also been affected by gypstack release. Grand Bay is a 7500 hectare protected area in southern Mississippi that has been exposed to phosphorus-rich and highly acidic wastewater release from a defunct gypstack</w:t>
      </w:r>
      <w:r>
        <w:t xml:space="preserve"> </w:t>
      </w:r>
      <w:r>
        <w:t xml:space="preserve">(</w:t>
      </w:r>
      <w:hyperlink w:anchor="ref-Beck18b">
        <w:r>
          <w:rPr>
            <w:rStyle w:val="Hyperlink"/>
          </w:rPr>
          <w:t xml:space="preserve">Beck et al., 2018a</w:t>
        </w:r>
      </w:hyperlink>
      <w:r>
        <w:t xml:space="preserve">;</w:t>
      </w:r>
      <w:r>
        <w:t xml:space="preserve"> </w:t>
      </w:r>
      <w:hyperlink w:anchor="ref-Dillon15">
        <w:r>
          <w:rPr>
            <w:rStyle w:val="Hyperlink"/>
          </w:rPr>
          <w:t xml:space="preserve">Dillon et al., 2015</w:t>
        </w:r>
      </w:hyperlink>
      <w:r>
        <w:t xml:space="preserve">)</w:t>
      </w:r>
      <w:r>
        <w:t xml:space="preserve">. The first spill event in 2005 occurred following failure of the retaining walls after a heavy rain event and the second event in 2012 occurred after passage of Hurricane Isaac when the holding capacity of the gypstack was exceeded again with heavy rainfall. Massive fish kills were observed likely related to low pH of the effluent. Unlike Piney Point, inorganic nitrogen concentrations of the effluent were low and concerns of the long-term impacts focused primarily on heavy loads of orthophosphate</w:t>
      </w:r>
      <w:r>
        <w:t xml:space="preserve"> </w:t>
      </w:r>
      <w:r>
        <w:t xml:space="preserve">(</w:t>
      </w:r>
      <w:hyperlink w:anchor="ref-Dillon15">
        <w:r>
          <w:rPr>
            <w:rStyle w:val="Hyperlink"/>
          </w:rPr>
          <w:t xml:space="preserve">Dillon et al., 2015</w:t>
        </w:r>
      </w:hyperlink>
      <w:r>
        <w:t xml:space="preserve">)</w:t>
      </w:r>
      <w:r>
        <w:t xml:space="preserve">. Regardless, the historical context of Grand Bay is similar to Piney Point and other international examples, e.g., Huelva estuary in Spain</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A common theme is that legacy wastewater from fertilizer production is poorly maintained and long-term plans are insufficient to dispose of pollutants that can significantly affect coastal resources. These are not isolated examples and sustained attention and regulatory oversight on efforts to close these facilities are needed at the local, national and international level.</w:t>
      </w:r>
    </w:p>
    <w:p>
      <w:pPr>
        <w:pStyle w:val="BodyText"/>
      </w:pPr>
      <w:r>
        <w:t xml:space="preserve">Limitations of our analysis are also important to note to inform future event-based monitoring and additional research to fully understand acute, short-term threats to the sustained recovery of Tampa Bay. All of the analyses are correlative based on associations between the measured water quality observations, macroalgae, and seagrass results and, as a result, may not represent explicit cause and effect mechanisms. However, the interpretations are supported by previous research on drivers of primary production and eutrophication of coastal waters. The weight of evidence that 2021 is an anomaly relative to past years provides further justification that our interpretation of results is within the limits of what would be expected by more mechanistic descriptions of the effects of large nutrient pulses to Tampa Bay. Additional data to support these results could include explicit load-based estimates for all sources entering the bay through 2021 and these estimates are forthcoming. Laboratory-based methods, such as isotopic analyses of nutrient signatures found in biological tissues (e.g., macroalgae) compared to those from the wastewater, could provide a more definite description of the recycling and fate of nitrogen from Piney Point. There may likely never be a definitive link, but this is not necessary to support future actions that ensure the continued threats of these facilities to the health of coastal resources are mitigated through collaborative efforts by local, regional, and state partners. These efforts are critical to managing the health of Tampa Bay given past successes and the need to address ongoing threats of climate change, population growth, habitat loss, episodic weather events, and recurring pollutant sources to the bay.</w:t>
      </w:r>
    </w:p>
    <w:bookmarkEnd w:id="60"/>
    <w:bookmarkStart w:id="61" w:name="acknowledgments"/>
    <w:p>
      <w:pPr>
        <w:pStyle w:val="Heading1"/>
      </w:pPr>
      <w:r>
        <w:t xml:space="preserve">Acknowledgments</w:t>
      </w:r>
    </w:p>
    <w:p>
      <w:pPr>
        <w:pStyle w:val="FirstParagraph"/>
      </w:pPr>
      <w:r>
        <w:t xml:space="preserve">We thank the many TBEP partners and collaborators for their continuing efforts to restore and monitor Tampa Bay. We thank the administrative staff, field crews, and laboratory staff from the Florida Department of Environmental Protection, Environmental Protection Commission of Hillsborough County, Parks and Natural Resources Department of Manatee County, Pinellas County Division of Environmental Management, Fish and Wildlife Research Institute of the Florida Fish and Wildlife Conservation Commission, City of St. Petersburg, Sarasota Bay Estuary Program, Environmental Science Associates, University of South Florida, University of Florida, and New College of Florida. The progress achieved in restoring the Tampa Bay ecosystem over recent decades would not be possible without the collaborative partnerships fostered in the region. Our partners’ willingness to adapt and implement innovative monitoring and management actions in response to Piney Point and the ever evolving challenges threatening Tampa Bay is greatly appreciated.</w:t>
      </w:r>
    </w:p>
    <w:bookmarkEnd w:id="61"/>
    <w:bookmarkStart w:id="73" w:name="figures"/>
    <w:p>
      <w:pPr>
        <w:pStyle w:val="Heading1"/>
      </w:pPr>
      <w:r>
        <w:t xml:space="preserve">Figures</w:t>
      </w:r>
    </w:p>
    <w:p>
      <w:pPr>
        <w:pStyle w:val="CaptionedFigure"/>
      </w:pPr>
      <w:r>
        <w:drawing>
          <wp:inline>
            <wp:extent cx="5943600" cy="2773679"/>
            <wp:effectExtent b="0" l="0" r="0" t="0"/>
            <wp:docPr descr="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62"/>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ar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63"/>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March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Figure 1a). Values below detection limits (or secchi on bottom) are not shown."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64"/>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(Figure</w:t>
      </w:r>
      <w:r>
        <w:t xml:space="preserve"> </w:t>
      </w:r>
      <w:r>
        <w:t xml:space="preserve">1</w:t>
      </w:r>
      <w:r>
        <w:t xml:space="preserve">a). Values below detection limits (or secchi on bottom) are not shown.</w:t>
      </w:r>
    </w:p>
    <w:p>
      <w:pPr>
        <w:pStyle w:val="CaptionedFigure"/>
      </w:pPr>
      <w:r>
        <w:drawing>
          <wp:inline>
            <wp:extent cx="5943600" cy="4195482"/>
            <wp:effectExtent b="0" l="0" r="0" t="0"/>
            <wp:docPr descr="Figure 4: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Values below detection limits (or secchi on bottom) are not shown."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65"/>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discharge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w:t>
      </w:r>
      <w:r>
        <w:t xml:space="preserve"> </w:t>
      </w:r>
      <w:r>
        <w:t xml:space="preserve">1</w:t>
      </w:r>
      <w:r>
        <w:t xml:space="preserve">a). Values below detection limits (or secchi on bottom) are not shown.</w:t>
      </w:r>
    </w:p>
    <w:p>
      <w:pPr>
        <w:pStyle w:val="CaptionedFigure"/>
      </w:pPr>
      <w:r>
        <w:drawing>
          <wp:inline>
            <wp:extent cx="5943600" cy="5200650"/>
            <wp:effectExtent b="0" l="0" r="0" t="0"/>
            <wp:docPr descr="Figure 5: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Lyngbya sp. (cyanobacteria) peaking in June and green macroalgae (Ulva sp.) increasing in July. Abundances are Braun-Blanquet coverage estimates." title="" id="1" name="Picture"/>
            <a:graphic>
              <a:graphicData uri="http://schemas.openxmlformats.org/drawingml/2006/picture">
                <pic:pic>
                  <pic:nvPicPr>
                    <pic:cNvPr descr="C:/proj/piney-point-manu/figs/trnex.jpeg" id="0" name="Picture"/>
                    <pic:cNvPicPr>
                      <a:picLocks noChangeArrowheads="1" noChangeAspect="1"/>
                    </pic:cNvPicPr>
                  </pic:nvPicPr>
                  <pic:blipFill>
                    <a:blip r:embed="rId66"/>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5: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Lyngbya sp.</w:t>
      </w:r>
      <w:r>
        <w:t xml:space="preserve"> </w:t>
      </w:r>
      <w:r>
        <w:t xml:space="preserve">(cyanobacteria) peaking in June and green macroalgae (</w:t>
      </w:r>
      <w:r>
        <w:rPr>
          <w:iCs/>
          <w:i/>
        </w:rPr>
        <w:t xml:space="preserve">Ulva sp.</w:t>
      </w:r>
      <w:r>
        <w:t xml:space="preserve">) increasing in July. Abundances are Braun-Blanquet coverage estimates.</w:t>
      </w:r>
    </w:p>
    <w:p>
      <w:pPr>
        <w:pStyle w:val="CaptionedFigure"/>
      </w:pPr>
      <w:r>
        <w:drawing>
          <wp:inline>
            <wp:extent cx="5943600" cy="4457700"/>
            <wp:effectExtent b="0" l="0" r="0" t="0"/>
            <wp:docPr descr="Figure 6: Frequency occurrence estimates for (a) area 1 and (b) area 3 (Figure 1a) for seagrass (top) and macroalgae (bottom) rapid response transect surveys across all transects (n = 38) near Piney Point. Estimates are grouped by sample months in 2021. Frequency occurrences are absolute for each taxa based on presence/absence." title="" id="1" name="Picture"/>
            <a:graphic>
              <a:graphicData uri="http://schemas.openxmlformats.org/drawingml/2006/picture">
                <pic:pic>
                  <pic:nvPicPr>
                    <pic:cNvPr descr="C:/proj/piney-point-manu/figs/trnfrq.jpeg" id="0" name="Picture"/>
                    <pic:cNvPicPr>
                      <a:picLocks noChangeArrowheads="1" noChangeAspect="1"/>
                    </pic:cNvPicPr>
                  </pic:nvPicPr>
                  <pic:blipFill>
                    <a:blip r:embed="rId67"/>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6: Frequency occurrence estimates for (a) area 1 and (b) area 3 (Figure</w:t>
      </w:r>
      <w:r>
        <w:t xml:space="preserve"> </w:t>
      </w:r>
      <w:r>
        <w:t xml:space="preserve">1</w:t>
      </w:r>
      <w:r>
        <w:t xml:space="preserve">a) for seagrass (top) and macroalgae (bottom) rapid response transect surveys across all transects (n = 38) near Piney Point. Estimates are grouped by sample months in 2021. Frequency occurrences are absolute for each taxa based on presence/absence.</w:t>
      </w:r>
    </w:p>
    <w:p>
      <w:pPr>
        <w:pStyle w:val="CaptionedFigure"/>
      </w:pPr>
      <w:r>
        <w:drawing>
          <wp:inline>
            <wp:extent cx="5943600" cy="3396342"/>
            <wp:effectExtent b="0" l="0" r="0" t="0"/>
            <wp:docPr descr="Figure 7: Principal components analysis (PCA) for water quality variables, macroalgae, and seagrass results aggregated by week from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itle="" id="1" name="Picture"/>
            <a:graphic>
              <a:graphicData uri="http://schemas.openxmlformats.org/drawingml/2006/picture">
                <pic:pic>
                  <pic:nvPicPr>
                    <pic:cNvPr descr="C:/proj/piney-point-manu/figs/allpca.jpeg" id="0" name="Picture"/>
                    <pic:cNvPicPr>
                      <a:picLocks noChangeArrowheads="1" noChangeAspect="1"/>
                    </pic:cNvPicPr>
                  </pic:nvPicPr>
                  <pic:blipFill>
                    <a:blip r:embed="rId68"/>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Principal components analysis (PCA) for water quality variables, macroalgae, and seagrass results aggregated by week from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w:t>
      </w:r>
    </w:p>
    <w:p>
      <w:pPr>
        <w:pStyle w:val="CaptionedFigure"/>
      </w:pPr>
      <w:r>
        <w:drawing>
          <wp:inline>
            <wp:extent cx="4114800" cy="4023360"/>
            <wp:effectExtent b="0" l="0" r="0" t="0"/>
            <wp:docPr descr="Figure 8: Correlation matrix for water quality variables, macroalgae, and seagrass results aggregated by week from April to July 2021 in response to wastewater discharge from Piney Point. Only areas 1 and 3 (Figure 1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 \alpha = 0.05." title="" id="1" name="Picture"/>
            <a:graphic>
              <a:graphicData uri="http://schemas.openxmlformats.org/drawingml/2006/picture">
                <pic:pic>
                  <pic:nvPicPr>
                    <pic:cNvPr descr="C:/proj/piney-point-manu/figs/allcor.jpeg" id="0" name="Picture"/>
                    <pic:cNvPicPr>
                      <a:picLocks noChangeArrowheads="1" noChangeAspect="1"/>
                    </pic:cNvPicPr>
                  </pic:nvPicPr>
                  <pic:blipFill>
                    <a:blip r:embed="rId69"/>
                    <a:stretch>
                      <a:fillRect/>
                    </a:stretch>
                  </pic:blipFill>
                  <pic:spPr bwMode="auto">
                    <a:xfrm>
                      <a:off x="0" y="0"/>
                      <a:ext cx="4114800" cy="4023360"/>
                    </a:xfrm>
                    <a:prstGeom prst="rect">
                      <a:avLst/>
                    </a:prstGeom>
                    <a:noFill/>
                    <a:ln w="9525">
                      <a:noFill/>
                      <a:headEnd/>
                      <a:tailEnd/>
                    </a:ln>
                  </pic:spPr>
                </pic:pic>
              </a:graphicData>
            </a:graphic>
          </wp:inline>
        </w:drawing>
      </w:r>
    </w:p>
    <w:p>
      <w:pPr>
        <w:pStyle w:val="ImageCaption"/>
      </w:pPr>
      <w:r>
        <w:t xml:space="preserve">Figure 8: Correlation matrix for water quality variables, macroalgae, and seagrass results aggregated by week from April to July 2021 in response to wastewater discharge from Piney Point. Only areas 1 and 3 (Figure</w:t>
      </w:r>
      <w:r>
        <w:t xml:space="preserve"> </w:t>
      </w:r>
      <w:r>
        <w:t xml:space="preserve">1</w:t>
      </w:r>
      <w:r>
        <w:t xml:space="preserve">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25th percentile, median, 75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70"/>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25th percentile, median, 75th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71">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72">
        <w:r>
          <w:rPr>
            <w:rStyle w:val="Hyperlink"/>
          </w:rPr>
          <w:t xml:space="preserve">https://public.myfwc.com/FWRI/FishKillReport/</w:t>
        </w:r>
      </w:hyperlink>
      <w:r>
        <w:t xml:space="preserve">).</w:t>
      </w:r>
    </w:p>
    <w:bookmarkEnd w:id="73"/>
    <w:bookmarkStart w:id="74" w:name="tables"/>
    <w:p>
      <w:pPr>
        <w:pStyle w:val="Heading1"/>
      </w:pPr>
      <w:r>
        <w:t xml:space="preserve">Tables</w:t>
      </w:r>
    </w:p>
    <w:p>
      <w:pPr>
        <w:pStyle w:val="TableCaption"/>
      </w:pPr>
      <w:r>
        <w:t xml:space="preserve">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(Figure</w:t>
      </w:r>
      <w:r>
        <w:t xml:space="preserve"> </w:t>
      </w:r>
      <w:r>
        <w:t xml:space="preserve">1</w:t>
      </w:r>
      <w:r>
        <w:t xml:space="preserve">a). End-of-pipe concentrations were taken as averages from two samples on April 6th and 13th at the outflow at Port Manatee. Missing values were not measured in the effluent or stack water.</w:t>
      </w:r>
    </w:p>
    <w:tbl>
      <w:tblPr>
        <w:tblStyle w:val="Table"/>
        <w:tblW w:type="pct" w:w="5000.0"/>
        <w:tblLook w:firstRow="1" w:lastRow="0" w:firstColumn="0" w:lastColumn="0" w:noHBand="0" w:noVBand="0" w:val="0020"/>
        <w:tblCaption w:val="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Figure 1a). End-of-pipe concentrations were taken as averages from two samples on April 6th and 13th at the outflow at Port Manatee. Missing values were not measured in the effluent or stack water."/>
      </w:tblPr>
      <w:tblGrid>
        <w:gridCol w:w="2143"/>
        <w:gridCol w:w="1584"/>
        <w:gridCol w:w="2143"/>
        <w:gridCol w:w="2049"/>
      </w:tblGrid>
      <w:tr>
        <w:tc>
          <w:p>
            <w:pPr>
              <w:pStyle w:val="Compact"/>
              <w:jc w:val="left"/>
            </w:pPr>
            <w:r>
              <w:t xml:space="preserve">Water quality variable</w:t>
            </w:r>
          </w:p>
        </w:tc>
        <w:tc>
          <w:p>
            <w:pPr>
              <w:pStyle w:val="Compact"/>
              <w:jc w:val="left"/>
            </w:pPr>
            <w:r>
              <w:t xml:space="preserve">2019 stack value</w:t>
            </w:r>
          </w:p>
        </w:tc>
        <w:tc>
          <w:p>
            <w:pPr>
              <w:pStyle w:val="Compact"/>
              <w:jc w:val="left"/>
            </w:pPr>
            <w:r>
              <w:t xml:space="preserve">2021 end-of-pipe value</w:t>
            </w:r>
          </w:p>
        </w:tc>
        <w:tc>
          <w:p>
            <w:pPr>
              <w:pStyle w:val="Compact"/>
              <w:jc w:val="left"/>
            </w:pPr>
            <w:r>
              <w:t xml:space="preserve">Bay median (min, max)</w:t>
            </w:r>
          </w:p>
        </w:tc>
      </w:tr>
      <w:tr>
        <w:tc>
          <w:p>
            <w:pPr>
              <w:pStyle w:val="Compact"/>
              <w:jc w:val="left"/>
            </w:pPr>
            <w:r>
              <w:t xml:space="preserve">Nitrate/Nitrite (mg/L)</w:t>
            </w:r>
          </w:p>
        </w:tc>
        <w:tc>
          <w:p>
            <w:pPr>
              <w:pStyle w:val="Compact"/>
              <w:jc w:val="left"/>
            </w:pPr>
            <w:r>
              <w:t xml:space="preserve">0.004</w:t>
            </w:r>
          </w:p>
        </w:tc>
        <w:tc>
          <w:p>
            <w:pPr>
              <w:pStyle w:val="Compact"/>
              <w:jc w:val="left"/>
            </w:pPr>
            <w:r>
              <w:t xml:space="preserve">0.292</w:t>
            </w:r>
          </w:p>
        </w:tc>
        <w:tc>
          <w:p>
            <w:pPr>
              <w:pStyle w:val="Compact"/>
              <w:jc w:val="left"/>
            </w:pPr>
            <w:r>
              <w:t xml:space="preserve">0.012 (0.007, 0.014)</w:t>
            </w:r>
          </w:p>
        </w:tc>
      </w:tr>
      <w:tr>
        <w:tc>
          <w:p>
            <w:pPr>
              <w:pStyle w:val="Compact"/>
              <w:jc w:val="left"/>
            </w:pPr>
            <w:r>
              <w:t xml:space="preserve">NH3, NH4+ (mg/L)</w:t>
            </w:r>
          </w:p>
        </w:tc>
        <w:tc>
          <w:p>
            <w:pPr>
              <w:pStyle w:val="Compact"/>
              <w:jc w:val="left"/>
            </w:pPr>
            <w:r>
              <w:t xml:space="preserve">210</w:t>
            </w:r>
          </w:p>
        </w:tc>
        <w:tc>
          <w:p>
            <w:pPr>
              <w:pStyle w:val="Compact"/>
              <w:jc w:val="left"/>
            </w:pPr>
            <w:r>
              <w:t xml:space="preserve">210</w:t>
            </w:r>
          </w:p>
        </w:tc>
        <w:tc>
          <w:p>
            <w:pPr>
              <w:pStyle w:val="Compact"/>
              <w:jc w:val="left"/>
            </w:pPr>
            <w:r>
              <w:t xml:space="preserve">0.019 (0.007, 0.039)</w:t>
            </w:r>
          </w:p>
        </w:tc>
      </w:tr>
      <w:tr>
        <w:tc>
          <w:p>
            <w:pPr>
              <w:pStyle w:val="Compact"/>
              <w:jc w:val="left"/>
            </w:pPr>
            <w:r>
              <w:t xml:space="preserve">TN (mg/L)</w:t>
            </w:r>
          </w:p>
        </w:tc>
        <w:tc>
          <w:p>
            <w:pPr>
              <w:pStyle w:val="Compact"/>
              <w:jc w:val="left"/>
            </w:pPr>
            <w:r>
              <w:t xml:space="preserve">230</w:t>
            </w:r>
          </w:p>
        </w:tc>
        <w:tc>
          <w:p>
            <w:pPr>
              <w:pStyle w:val="Compact"/>
              <w:jc w:val="left"/>
            </w:pPr>
            <w:r>
              <w:t xml:space="preserve">220</w:t>
            </w:r>
          </w:p>
        </w:tc>
        <w:tc>
          <w:p>
            <w:pPr>
              <w:pStyle w:val="Compact"/>
              <w:jc w:val="left"/>
            </w:pPr>
            <w:r>
              <w:t xml:space="preserve">0.288 (0.226, 0.385)</w:t>
            </w:r>
          </w:p>
        </w:tc>
      </w:tr>
      <w:tr>
        <w:tc>
          <w:p>
            <w:pPr>
              <w:pStyle w:val="Compact"/>
              <w:jc w:val="left"/>
            </w:pPr>
            <w:r>
              <w:t xml:space="preserve">TP (mg/L)</w:t>
            </w:r>
          </w:p>
        </w:tc>
        <w:tc>
          <w:p>
            <w:pPr>
              <w:pStyle w:val="Compact"/>
              <w:jc w:val="left"/>
            </w:pPr>
            <w:r>
              <w:t xml:space="preserve">160</w:t>
            </w:r>
          </w:p>
        </w:tc>
        <w:tc>
          <w:p>
            <w:pPr>
              <w:pStyle w:val="Compact"/>
              <w:jc w:val="left"/>
            </w:pPr>
            <w:r>
              <w:t xml:space="preserve">150.5</w:t>
            </w:r>
          </w:p>
        </w:tc>
        <w:tc>
          <w:p>
            <w:pPr>
              <w:pStyle w:val="Compact"/>
              <w:jc w:val="left"/>
            </w:pPr>
            <w:r>
              <w:t xml:space="preserve">0.082 (0.058, 0.145)</w:t>
            </w:r>
          </w:p>
        </w:tc>
      </w:tr>
      <w:tr>
        <w:tc>
          <w:p>
            <w:pPr>
              <w:pStyle w:val="Compact"/>
              <w:jc w:val="left"/>
            </w:pPr>
            <w:r>
              <w:t xml:space="preserve">Ortho-P (mg/L)</w:t>
            </w:r>
          </w:p>
        </w:tc>
        <w:tc>
          <w:p>
            <w:pPr>
              <w:pStyle w:val="Compact"/>
              <w:jc w:val="left"/>
            </w:pPr>
            <w:r>
              <w:t xml:space="preserve">150</w:t>
            </w:r>
          </w:p>
        </w:tc>
        <w:tc>
          <w:p>
            <w:pPr>
              <w:pStyle w:val="Compact"/>
              <w:jc w:val="left"/>
            </w:pPr>
            <w:r>
              <w:t xml:space="preserve">147.5</w:t>
            </w:r>
          </w:p>
        </w:tc>
        <w:tc>
          <w:p>
            <w:pPr>
              <w:pStyle w:val="Compact"/>
              <w:jc w:val="left"/>
            </w:pPr>
            <w:r>
              <w:t xml:space="preserve">0.049 (0.029, 0.055)</w:t>
            </w:r>
          </w:p>
        </w:tc>
      </w:tr>
      <w:tr>
        <w:tc>
          <w:p>
            <w:pPr>
              <w:pStyle w:val="Compact"/>
              <w:jc w:val="left"/>
            </w:pPr>
            <w:r>
              <w:t xml:space="preserve">DO (% sat.)</w:t>
            </w:r>
          </w:p>
        </w:tc>
        <w:tc>
          <w:p>
            <w:pPr>
              <w:pStyle w:val="Compact"/>
              <w:jc w:val="left"/>
            </w:pPr>
            <w:r>
              <w:t xml:space="preserve">107.5</w:t>
            </w:r>
          </w:p>
        </w:tc>
        <w:tc>
          <w:p>
            <w:pPr>
              <w:pStyle w:val="Compact"/>
              <w:jc w:val="left"/>
            </w:pPr>
            <w:r>
              <w:t xml:space="preserve">-</w:t>
            </w:r>
          </w:p>
        </w:tc>
        <w:tc>
          <w:p>
            <w:pPr>
              <w:pStyle w:val="Compact"/>
              <w:jc w:val="left"/>
            </w:pPr>
            <w:r>
              <w:t xml:space="preserve">90.7 (86, 92)</w:t>
            </w:r>
          </w:p>
        </w:tc>
      </w:tr>
      <w:tr>
        <w:tc>
          <w:p>
            <w:pPr>
              <w:pStyle w:val="Compact"/>
              <w:jc w:val="left"/>
            </w:pPr>
            <w:r>
              <w:t xml:space="preserve">pH</w:t>
            </w:r>
          </w:p>
        </w:tc>
        <w:tc>
          <w:p>
            <w:pPr>
              <w:pStyle w:val="Compact"/>
              <w:jc w:val="left"/>
            </w:pPr>
            <w:r>
              <w:t xml:space="preserve">4</w:t>
            </w:r>
          </w:p>
        </w:tc>
        <w:tc>
          <w:p>
            <w:pPr>
              <w:pStyle w:val="Compact"/>
              <w:jc w:val="left"/>
            </w:pPr>
            <w:r>
              <w:t xml:space="preserve">-</w:t>
            </w:r>
          </w:p>
        </w:tc>
        <w:tc>
          <w:p>
            <w:pPr>
              <w:pStyle w:val="Compact"/>
              <w:jc w:val="left"/>
            </w:pPr>
            <w:r>
              <w:t xml:space="preserve">8.1 (8, 8.1)</w:t>
            </w:r>
          </w:p>
        </w:tc>
      </w:tr>
      <w:tr>
        <w:tc>
          <w:p>
            <w:pPr>
              <w:pStyle w:val="Compact"/>
              <w:jc w:val="left"/>
            </w:pPr>
            <w:r>
              <w:t xml:space="preserve">Chl-a (ug/L)</w:t>
            </w:r>
          </w:p>
        </w:tc>
        <w:tc>
          <w:p>
            <w:pPr>
              <w:pStyle w:val="Compact"/>
              <w:jc w:val="left"/>
            </w:pPr>
            <w:r>
              <w:t xml:space="preserve">-</w:t>
            </w:r>
          </w:p>
        </w:tc>
        <w:tc>
          <w:p>
            <w:pPr>
              <w:pStyle w:val="Compact"/>
              <w:jc w:val="left"/>
            </w:pPr>
            <w:r>
              <w:t xml:space="preserve">105</w:t>
            </w:r>
          </w:p>
        </w:tc>
        <w:tc>
          <w:p>
            <w:pPr>
              <w:pStyle w:val="Compact"/>
              <w:jc w:val="left"/>
            </w:pPr>
            <w:r>
              <w:t xml:space="preserve">3.1 (2.3, 3.5)</w:t>
            </w:r>
          </w:p>
        </w:tc>
      </w:tr>
    </w:tbl>
    <w:p/>
    <w:p>
      <w:pPr>
        <w:pStyle w:val="TableCaption"/>
      </w:pPr>
      <w:r>
        <w:t xml:space="preserve">Table 2: Summary of water quality variables collected in Tampa Bay from March to July 2021 in response to wastewater discharge from Piney Point. Variables are grouped by major areas of interest for evaluating status and trends shown in Figure</w:t>
      </w:r>
      <w:r>
        <w:t xml:space="preserve"> </w:t>
      </w:r>
      <w:r>
        <w:t xml:space="preserve">1</w:t>
      </w:r>
      <w:r>
        <w:t xml:space="preserve">a. Summaries are median, minimum, and maximum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w:t>
      </w:r>
      <w:r>
        <w:t xml:space="preserve"> </w:t>
      </w:r>
      <w:r>
        <w:t xml:space="preserve">“</w:t>
      </w:r>
      <w:r>
        <w:t xml:space="preserve">-</w:t>
      </w:r>
      <w:r>
        <w:t xml:space="preserve">”</w:t>
      </w:r>
      <w:r>
        <w:t xml:space="preserve"> </w:t>
      </w:r>
      <w:r>
        <w:t xml:space="preserve">could not be calculated due to insufficient values above detection.</w:t>
      </w:r>
    </w:p>
    <w:tbl>
      <w:tblPr>
        <w:tblStyle w:val="Table"/>
        <w:tblW w:type="pct" w:w="5000.0"/>
        <w:tblLook w:firstRow="1" w:lastRow="0" w:firstColumn="0" w:lastColumn="0" w:noHBand="0" w:noVBand="0" w:val="0020"/>
        <w:tblCaption w:val="Table 2: Summary of water quality variables collected in Tampa Bay from March to July 2021 in response to wastewater discharge from Piney Point. Variables are grouped by major areas of interest for evaluating status and trends shown in Figure 1a. Summaries are median, minimum, and max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 “-” could not be calculated due to insufficient values above detection."/>
      </w:tblPr>
      <w:tblGrid>
        <w:gridCol w:w="425"/>
        <w:gridCol w:w="1958"/>
        <w:gridCol w:w="1788"/>
        <w:gridCol w:w="596"/>
        <w:gridCol w:w="766"/>
        <w:gridCol w:w="510"/>
        <w:gridCol w:w="510"/>
        <w:gridCol w:w="1362"/>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c>
          <w:p>
            <w:pPr>
              <w:pStyle w:val="Compact"/>
              <w:jc w:val="right"/>
            </w:pPr>
            <w:r>
              <w:t xml:space="preserve">Below detection</w:t>
            </w:r>
          </w:p>
        </w:tc>
      </w:tr>
      <w:tr>
        <w:tc>
          <w:p>
            <w:pPr>
              <w:pStyle w:val="Compact"/>
              <w:jc w:val="left"/>
            </w:pPr>
            <w:r>
              <w:t xml:space="preserve">1</w:t>
            </w:r>
          </w:p>
        </w:tc>
        <w:tc>
          <w:p>
            <w:pPr>
              <w:pStyle w:val="Compact"/>
              <w:jc w:val="left"/>
            </w:pPr>
            <w:r>
              <w:t xml:space="preserve">Chl-a (ug/L)</w:t>
            </w:r>
          </w:p>
        </w:tc>
        <w:tc>
          <w:p>
            <w:pPr>
              <w:pStyle w:val="Compact"/>
              <w:jc w:val="left"/>
            </w:pPr>
            <w:r>
              <w:t xml:space="preserve">4.5 (1.1, 265.01)</w:t>
            </w:r>
          </w:p>
        </w:tc>
        <w:tc>
          <w:p>
            <w:pPr>
              <w:pStyle w:val="Compact"/>
              <w:jc w:val="right"/>
            </w:pPr>
            <w:r>
              <w:t xml:space="preserve">440</w:t>
            </w:r>
          </w:p>
        </w:tc>
        <w:tc>
          <w:p>
            <w:pPr>
              <w:pStyle w:val="Compact"/>
              <w:jc w:val="right"/>
            </w:pPr>
            <w:r>
              <w:t xml:space="preserve">39.8</w:t>
            </w:r>
          </w:p>
        </w:tc>
        <w:tc>
          <w:p>
            <w:pPr>
              <w:pStyle w:val="Compact"/>
              <w:jc w:val="right"/>
            </w:pPr>
            <w:r>
              <w:t xml:space="preserve">54.8</w:t>
            </w:r>
          </w:p>
        </w:tc>
        <w:tc>
          <w:p>
            <w:pPr>
              <w:pStyle w:val="Compact"/>
              <w:jc w:val="right"/>
            </w:pPr>
            <w:r>
              <w:t xml:space="preserve">5.5</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98.8 (36.9, 215.3)</w:t>
            </w:r>
          </w:p>
        </w:tc>
        <w:tc>
          <w:p>
            <w:pPr>
              <w:pStyle w:val="Compact"/>
              <w:jc w:val="right"/>
            </w:pPr>
            <w:r>
              <w:t xml:space="preserve">375</w:t>
            </w:r>
          </w:p>
        </w:tc>
        <w:tc>
          <w:p>
            <w:pPr>
              <w:pStyle w:val="Compact"/>
              <w:jc w:val="right"/>
            </w:pPr>
            <w:r>
              <w:t xml:space="preserve">27.2</w:t>
            </w:r>
          </w:p>
        </w:tc>
        <w:tc>
          <w:p>
            <w:pPr>
              <w:pStyle w:val="Compact"/>
              <w:jc w:val="right"/>
            </w:pPr>
            <w:r>
              <w:t xml:space="preserve">55.7</w:t>
            </w:r>
          </w:p>
        </w:tc>
        <w:tc>
          <w:p>
            <w:pPr>
              <w:pStyle w:val="Compact"/>
              <w:jc w:val="right"/>
            </w:pPr>
            <w:r>
              <w:t xml:space="preserve">17.1</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 14.86)</w:t>
            </w:r>
          </w:p>
        </w:tc>
        <w:tc>
          <w:p>
            <w:pPr>
              <w:pStyle w:val="Compact"/>
              <w:jc w:val="right"/>
            </w:pPr>
            <w:r>
              <w:t xml:space="preserve">442</w:t>
            </w:r>
          </w:p>
        </w:tc>
        <w:tc>
          <w:p>
            <w:pPr>
              <w:pStyle w:val="Compact"/>
              <w:jc w:val="right"/>
            </w:pPr>
            <w:r>
              <w:t xml:space="preserve">63.6</w:t>
            </w:r>
          </w:p>
        </w:tc>
        <w:tc>
          <w:p>
            <w:pPr>
              <w:pStyle w:val="Compact"/>
              <w:jc w:val="right"/>
            </w:pPr>
            <w:r>
              <w:t xml:space="preserve">19.7</w:t>
            </w:r>
          </w:p>
        </w:tc>
        <w:tc>
          <w:p>
            <w:pPr>
              <w:pStyle w:val="Compact"/>
              <w:jc w:val="right"/>
            </w:pPr>
            <w:r>
              <w:t xml:space="preserve">16.7</w:t>
            </w:r>
          </w:p>
        </w:tc>
        <w:tc>
          <w:p>
            <w:pPr>
              <w:pStyle w:val="Compact"/>
              <w:jc w:val="right"/>
            </w:pPr>
            <w:r>
              <w:t xml:space="preserve">27.8</w:t>
            </w:r>
          </w:p>
        </w:tc>
      </w:tr>
      <w:tr>
        <w:tc>
          <w:p/>
        </w:tc>
        <w:tc>
          <w:p>
            <w:pPr>
              <w:pStyle w:val="Compact"/>
              <w:jc w:val="left"/>
            </w:pPr>
            <w:r>
              <w:t xml:space="preserve">Nitrate/Nitrite (mg/L)</w:t>
            </w:r>
          </w:p>
        </w:tc>
        <w:tc>
          <w:p>
            <w:pPr>
              <w:pStyle w:val="Compact"/>
              <w:jc w:val="left"/>
            </w:pPr>
            <w:r>
              <w:t xml:space="preserve">0 (0, 0.14352)</w:t>
            </w:r>
          </w:p>
        </w:tc>
        <w:tc>
          <w:p>
            <w:pPr>
              <w:pStyle w:val="Compact"/>
              <w:jc w:val="right"/>
            </w:pPr>
            <w:r>
              <w:t xml:space="preserve">464</w:t>
            </w:r>
          </w:p>
        </w:tc>
        <w:tc>
          <w:p>
            <w:pPr>
              <w:pStyle w:val="Compact"/>
              <w:jc w:val="right"/>
            </w:pPr>
            <w:r>
              <w:t xml:space="preserve">62.1</w:t>
            </w:r>
          </w:p>
        </w:tc>
        <w:tc>
          <w:p>
            <w:pPr>
              <w:pStyle w:val="Compact"/>
              <w:jc w:val="right"/>
            </w:pPr>
            <w:r>
              <w:t xml:space="preserve">19.4</w:t>
            </w:r>
          </w:p>
        </w:tc>
        <w:tc>
          <w:p>
            <w:pPr>
              <w:pStyle w:val="Compact"/>
              <w:jc w:val="right"/>
            </w:pPr>
            <w:r>
              <w:t xml:space="preserve">18.5</w:t>
            </w:r>
          </w:p>
        </w:tc>
        <w:tc>
          <w:p>
            <w:pPr>
              <w:pStyle w:val="Compact"/>
              <w:jc w:val="right"/>
            </w:pPr>
            <w:r>
              <w:t xml:space="preserve">71.3</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421</w:t>
            </w:r>
          </w:p>
        </w:tc>
        <w:tc>
          <w:p>
            <w:pPr>
              <w:pStyle w:val="Compact"/>
              <w:jc w:val="right"/>
            </w:pPr>
            <w:r>
              <w:t xml:space="preserve">50.1</w:t>
            </w:r>
          </w:p>
        </w:tc>
        <w:tc>
          <w:p>
            <w:pPr>
              <w:pStyle w:val="Compact"/>
              <w:jc w:val="right"/>
            </w:pPr>
            <w:r>
              <w:t xml:space="preserve">35.6</w:t>
            </w:r>
          </w:p>
        </w:tc>
        <w:tc>
          <w:p>
            <w:pPr>
              <w:pStyle w:val="Compact"/>
              <w:jc w:val="right"/>
            </w:pPr>
            <w:r>
              <w:t xml:space="preserve">14.3</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30.5 (12.9, 34.6)</w:t>
            </w:r>
          </w:p>
        </w:tc>
        <w:tc>
          <w:p>
            <w:pPr>
              <w:pStyle w:val="Compact"/>
              <w:jc w:val="right"/>
            </w:pPr>
            <w:r>
              <w:t xml:space="preserve">386</w:t>
            </w:r>
          </w:p>
        </w:tc>
        <w:tc>
          <w:p>
            <w:pPr>
              <w:pStyle w:val="Compact"/>
              <w:jc w:val="right"/>
            </w:pPr>
            <w:r>
              <w:t xml:space="preserve">83.4</w:t>
            </w:r>
          </w:p>
        </w:tc>
        <w:tc>
          <w:p>
            <w:pPr>
              <w:pStyle w:val="Compact"/>
              <w:jc w:val="right"/>
            </w:pPr>
            <w:r>
              <w:t xml:space="preserve">4.4</w:t>
            </w:r>
          </w:p>
        </w:tc>
        <w:tc>
          <w:p>
            <w:pPr>
              <w:pStyle w:val="Compact"/>
              <w:jc w:val="right"/>
            </w:pPr>
            <w:r>
              <w:t xml:space="preserve">12.2</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2.5 (0.5, 5.5)</w:t>
            </w:r>
          </w:p>
        </w:tc>
        <w:tc>
          <w:p>
            <w:pPr>
              <w:pStyle w:val="Compact"/>
              <w:jc w:val="right"/>
            </w:pPr>
            <w:r>
              <w:t xml:space="preserve">235</w:t>
            </w:r>
          </w:p>
        </w:tc>
        <w:tc>
          <w:p>
            <w:pPr>
              <w:pStyle w:val="Compact"/>
              <w:jc w:val="right"/>
            </w:pPr>
            <w:r>
              <w:t xml:space="preserve">43.0</w:t>
            </w:r>
          </w:p>
        </w:tc>
        <w:tc>
          <w:p>
            <w:pPr>
              <w:pStyle w:val="Compact"/>
              <w:jc w:val="right"/>
            </w:pPr>
            <w:r>
              <w:t xml:space="preserve">19.6</w:t>
            </w:r>
          </w:p>
        </w:tc>
        <w:tc>
          <w:p>
            <w:pPr>
              <w:pStyle w:val="Compact"/>
              <w:jc w:val="right"/>
            </w:pPr>
            <w:r>
              <w:t xml:space="preserve">37.4</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25.2 (19.6, 32.9)</w:t>
            </w:r>
          </w:p>
        </w:tc>
        <w:tc>
          <w:p>
            <w:pPr>
              <w:pStyle w:val="Compact"/>
              <w:jc w:val="right"/>
            </w:pPr>
            <w:r>
              <w:t xml:space="preserve">387</w:t>
            </w:r>
          </w:p>
        </w:tc>
        <w:tc>
          <w:p>
            <w:pPr>
              <w:pStyle w:val="Compact"/>
              <w:jc w:val="right"/>
            </w:pPr>
            <w:r>
              <w:t xml:space="preserve">61.2</w:t>
            </w:r>
          </w:p>
        </w:tc>
        <w:tc>
          <w:p>
            <w:pPr>
              <w:pStyle w:val="Compact"/>
              <w:jc w:val="right"/>
            </w:pPr>
            <w:r>
              <w:t xml:space="preserve">17.3</w:t>
            </w:r>
          </w:p>
        </w:tc>
        <w:tc>
          <w:p>
            <w:pPr>
              <w:pStyle w:val="Compact"/>
              <w:jc w:val="right"/>
            </w:pPr>
            <w:r>
              <w:t xml:space="preserve">21.4</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0.42 (0.178, 5.6)</w:t>
            </w:r>
          </w:p>
        </w:tc>
        <w:tc>
          <w:p>
            <w:pPr>
              <w:pStyle w:val="Compact"/>
              <w:jc w:val="right"/>
            </w:pPr>
            <w:r>
              <w:t xml:space="preserve">379</w:t>
            </w:r>
          </w:p>
        </w:tc>
        <w:tc>
          <w:p>
            <w:pPr>
              <w:pStyle w:val="Compact"/>
              <w:jc w:val="right"/>
            </w:pPr>
            <w:r>
              <w:t xml:space="preserve">58.8</w:t>
            </w:r>
          </w:p>
        </w:tc>
        <w:tc>
          <w:p>
            <w:pPr>
              <w:pStyle w:val="Compact"/>
              <w:jc w:val="right"/>
            </w:pPr>
            <w:r>
              <w:t xml:space="preserve">38.8</w:t>
            </w:r>
          </w:p>
        </w:tc>
        <w:tc>
          <w:p>
            <w:pPr>
              <w:pStyle w:val="Compact"/>
              <w:jc w:val="right"/>
            </w:pPr>
            <w:r>
              <w:t xml:space="preserve">2.4</w:t>
            </w:r>
          </w:p>
        </w:tc>
        <w:tc>
          <w:p>
            <w:pPr>
              <w:pStyle w:val="Compact"/>
              <w:jc w:val="right"/>
            </w:pPr>
            <w:r>
              <w:t xml:space="preserve">3.2</w:t>
            </w:r>
          </w:p>
        </w:tc>
      </w:tr>
      <w:tr>
        <w:tc>
          <w:p/>
        </w:tc>
        <w:tc>
          <w:p>
            <w:pPr>
              <w:pStyle w:val="Compact"/>
              <w:jc w:val="left"/>
            </w:pPr>
            <w:r>
              <w:t xml:space="preserve">TP (mg/L)</w:t>
            </w:r>
          </w:p>
        </w:tc>
        <w:tc>
          <w:p>
            <w:pPr>
              <w:pStyle w:val="Compact"/>
              <w:jc w:val="left"/>
            </w:pPr>
            <w:r>
              <w:t xml:space="preserve">0.12 (0.019, 3.9)</w:t>
            </w:r>
          </w:p>
        </w:tc>
        <w:tc>
          <w:p>
            <w:pPr>
              <w:pStyle w:val="Compact"/>
              <w:jc w:val="right"/>
            </w:pPr>
            <w:r>
              <w:t xml:space="preserve">440</w:t>
            </w:r>
          </w:p>
        </w:tc>
        <w:tc>
          <w:p>
            <w:pPr>
              <w:pStyle w:val="Compact"/>
              <w:jc w:val="right"/>
            </w:pPr>
            <w:r>
              <w:t xml:space="preserve">79.5</w:t>
            </w:r>
          </w:p>
        </w:tc>
        <w:tc>
          <w:p>
            <w:pPr>
              <w:pStyle w:val="Compact"/>
              <w:jc w:val="right"/>
            </w:pPr>
            <w:r>
              <w:t xml:space="preserve">16.1</w:t>
            </w:r>
          </w:p>
        </w:tc>
        <w:tc>
          <w:p>
            <w:pPr>
              <w:pStyle w:val="Compact"/>
              <w:jc w:val="right"/>
            </w:pPr>
            <w:r>
              <w:t xml:space="preserve">4.3</w:t>
            </w:r>
          </w:p>
        </w:tc>
        <w:tc>
          <w:p>
            <w:pPr>
              <w:pStyle w:val="Compact"/>
              <w:jc w:val="right"/>
            </w:pPr>
            <w:r>
              <w:t xml:space="preserve">0.9</w:t>
            </w:r>
          </w:p>
        </w:tc>
      </w:tr>
      <w:tr>
        <w:tc>
          <w:p>
            <w:pPr>
              <w:pStyle w:val="Compact"/>
              <w:jc w:val="left"/>
            </w:pPr>
            <w:r>
              <w:t xml:space="preserve">2</w:t>
            </w:r>
          </w:p>
        </w:tc>
        <w:tc>
          <w:p>
            <w:pPr>
              <w:pStyle w:val="Compact"/>
              <w:jc w:val="left"/>
            </w:pPr>
            <w:r>
              <w:t xml:space="preserve">Chl-a (ug/L)</w:t>
            </w:r>
          </w:p>
        </w:tc>
        <w:tc>
          <w:p>
            <w:pPr>
              <w:pStyle w:val="Compact"/>
              <w:jc w:val="left"/>
            </w:pPr>
            <w:r>
              <w:t xml:space="preserve">2.5 (1.08, 42)</w:t>
            </w:r>
          </w:p>
        </w:tc>
        <w:tc>
          <w:p>
            <w:pPr>
              <w:pStyle w:val="Compact"/>
              <w:jc w:val="right"/>
            </w:pPr>
            <w:r>
              <w:t xml:space="preserve">66</w:t>
            </w:r>
          </w:p>
        </w:tc>
        <w:tc>
          <w:p>
            <w:pPr>
              <w:pStyle w:val="Compact"/>
              <w:jc w:val="right"/>
            </w:pPr>
            <w:r>
              <w:t xml:space="preserve">60.6</w:t>
            </w:r>
          </w:p>
        </w:tc>
        <w:tc>
          <w:p>
            <w:pPr>
              <w:pStyle w:val="Compact"/>
              <w:jc w:val="right"/>
            </w:pPr>
            <w:r>
              <w:t xml:space="preserve">7.6</w:t>
            </w:r>
          </w:p>
        </w:tc>
        <w:tc>
          <w:p>
            <w:pPr>
              <w:pStyle w:val="Compact"/>
              <w:jc w:val="right"/>
            </w:pPr>
            <w:r>
              <w:t xml:space="preserve">31.8</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96.8 (60.6, 153.3)</w:t>
            </w:r>
          </w:p>
        </w:tc>
        <w:tc>
          <w:p>
            <w:pPr>
              <w:pStyle w:val="Compact"/>
              <w:jc w:val="right"/>
            </w:pPr>
            <w:r>
              <w:t xml:space="preserve">62</w:t>
            </w:r>
          </w:p>
        </w:tc>
        <w:tc>
          <w:p>
            <w:pPr>
              <w:pStyle w:val="Compact"/>
              <w:jc w:val="right"/>
            </w:pPr>
            <w:r>
              <w:t xml:space="preserve">40.3</w:t>
            </w:r>
          </w:p>
        </w:tc>
        <w:tc>
          <w:p>
            <w:pPr>
              <w:pStyle w:val="Compact"/>
              <w:jc w:val="right"/>
            </w:pPr>
            <w:r>
              <w:t xml:space="preserve">46.8</w:t>
            </w:r>
          </w:p>
        </w:tc>
        <w:tc>
          <w:p>
            <w:pPr>
              <w:pStyle w:val="Compact"/>
              <w:jc w:val="right"/>
            </w:pPr>
            <w:r>
              <w:t xml:space="preserve">12.9</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(0.002, 0.035)</w:t>
            </w:r>
          </w:p>
        </w:tc>
        <w:tc>
          <w:p>
            <w:pPr>
              <w:pStyle w:val="Compact"/>
              <w:jc w:val="right"/>
            </w:pPr>
            <w:r>
              <w:t xml:space="preserve">63</w:t>
            </w:r>
          </w:p>
        </w:tc>
        <w:tc>
          <w:p>
            <w:pPr>
              <w:pStyle w:val="Compact"/>
              <w:jc w:val="right"/>
            </w:pPr>
            <w:r>
              <w:t xml:space="preserve">87.3</w:t>
            </w:r>
          </w:p>
        </w:tc>
        <w:tc>
          <w:p>
            <w:pPr>
              <w:pStyle w:val="Compact"/>
              <w:jc w:val="right"/>
            </w:pPr>
            <w:r>
              <w:t xml:space="preserve">0.0</w:t>
            </w:r>
          </w:p>
        </w:tc>
        <w:tc>
          <w:p>
            <w:pPr>
              <w:pStyle w:val="Compact"/>
              <w:jc w:val="right"/>
            </w:pPr>
            <w:r>
              <w:t xml:space="preserve">12.7</w:t>
            </w:r>
          </w:p>
        </w:tc>
        <w:tc>
          <w:p>
            <w:pPr>
              <w:pStyle w:val="Compact"/>
              <w:jc w:val="right"/>
            </w:pPr>
            <w:r>
              <w:t xml:space="preserve">28.6</w:t>
            </w:r>
          </w:p>
        </w:tc>
      </w:tr>
      <w:tr>
        <w:tc>
          <w:p/>
        </w:tc>
        <w:tc>
          <w:p>
            <w:pPr>
              <w:pStyle w:val="Compact"/>
              <w:jc w:val="left"/>
            </w:pPr>
            <w:r>
              <w:t xml:space="preserve">Nitrate/Nitrite (mg/L)</w:t>
            </w:r>
          </w:p>
        </w:tc>
        <w:tc>
          <w:p>
            <w:pPr>
              <w:pStyle w:val="Compact"/>
              <w:jc w:val="left"/>
            </w:pPr>
            <w:r>
              <w:t xml:space="preserve">- (0.00078, 0.014)</w:t>
            </w:r>
          </w:p>
        </w:tc>
        <w:tc>
          <w:p>
            <w:pPr>
              <w:pStyle w:val="Compact"/>
              <w:jc w:val="right"/>
            </w:pPr>
            <w:r>
              <w:t xml:space="preserve">74</w:t>
            </w:r>
          </w:p>
        </w:tc>
        <w:tc>
          <w:p>
            <w:pPr>
              <w:pStyle w:val="Compact"/>
              <w:jc w:val="right"/>
            </w:pPr>
            <w:r>
              <w:t xml:space="preserve">66.2</w:t>
            </w:r>
          </w:p>
        </w:tc>
        <w:tc>
          <w:p>
            <w:pPr>
              <w:pStyle w:val="Compact"/>
              <w:jc w:val="right"/>
            </w:pPr>
            <w:r>
              <w:t xml:space="preserve">12.2</w:t>
            </w:r>
          </w:p>
        </w:tc>
        <w:tc>
          <w:p>
            <w:pPr>
              <w:pStyle w:val="Compact"/>
              <w:jc w:val="right"/>
            </w:pPr>
            <w:r>
              <w:t xml:space="preserve">21.6</w:t>
            </w:r>
          </w:p>
        </w:tc>
        <w:tc>
          <w:p>
            <w:pPr>
              <w:pStyle w:val="Compact"/>
              <w:jc w:val="right"/>
            </w:pPr>
            <w:r>
              <w:t xml:space="preserve">83.8</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81</w:t>
            </w:r>
          </w:p>
        </w:tc>
        <w:tc>
          <w:p>
            <w:pPr>
              <w:pStyle w:val="Compact"/>
              <w:jc w:val="right"/>
            </w:pPr>
            <w:r>
              <w:t xml:space="preserve">66.7</w:t>
            </w:r>
          </w:p>
        </w:tc>
        <w:tc>
          <w:p>
            <w:pPr>
              <w:pStyle w:val="Compact"/>
              <w:jc w:val="right"/>
            </w:pPr>
            <w:r>
              <w:t xml:space="preserve">18.5</w:t>
            </w:r>
          </w:p>
        </w:tc>
        <w:tc>
          <w:p>
            <w:pPr>
              <w:pStyle w:val="Compact"/>
              <w:jc w:val="right"/>
            </w:pPr>
            <w:r>
              <w:t xml:space="preserve">14.8</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27.6 (23.7, 32.3)</w:t>
            </w:r>
          </w:p>
        </w:tc>
        <w:tc>
          <w:p>
            <w:pPr>
              <w:pStyle w:val="Compact"/>
              <w:jc w:val="right"/>
            </w:pPr>
            <w:r>
              <w:t xml:space="preserve">62</w:t>
            </w:r>
          </w:p>
        </w:tc>
        <w:tc>
          <w:p>
            <w:pPr>
              <w:pStyle w:val="Compact"/>
              <w:jc w:val="right"/>
            </w:pPr>
            <w:r>
              <w:t xml:space="preserve">93.5</w:t>
            </w:r>
          </w:p>
        </w:tc>
        <w:tc>
          <w:p>
            <w:pPr>
              <w:pStyle w:val="Compact"/>
              <w:jc w:val="right"/>
            </w:pPr>
            <w:r>
              <w:t xml:space="preserve">0.0</w:t>
            </w:r>
          </w:p>
        </w:tc>
        <w:tc>
          <w:p>
            <w:pPr>
              <w:pStyle w:val="Compact"/>
              <w:jc w:val="right"/>
            </w:pPr>
            <w:r>
              <w:t xml:space="preserve">6.5</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24</w:t>
            </w:r>
          </w:p>
        </w:tc>
        <w:tc>
          <w:p>
            <w:pPr>
              <w:pStyle w:val="Compact"/>
              <w:jc w:val="right"/>
            </w:pPr>
            <w:r>
              <w:t xml:space="preserve">45.8</w:t>
            </w:r>
          </w:p>
        </w:tc>
        <w:tc>
          <w:p>
            <w:pPr>
              <w:pStyle w:val="Compact"/>
              <w:jc w:val="right"/>
            </w:pPr>
            <w:r>
              <w:t xml:space="preserve">33.3</w:t>
            </w:r>
          </w:p>
        </w:tc>
        <w:tc>
          <w:p>
            <w:pPr>
              <w:pStyle w:val="Compact"/>
              <w:jc w:val="right"/>
            </w:pPr>
            <w:r>
              <w:t xml:space="preserve">20.8</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24.9 (19.9, 31.6)</w:t>
            </w:r>
          </w:p>
        </w:tc>
        <w:tc>
          <w:p>
            <w:pPr>
              <w:pStyle w:val="Compact"/>
              <w:jc w:val="right"/>
            </w:pPr>
            <w:r>
              <w:t xml:space="preserve">62</w:t>
            </w:r>
          </w:p>
        </w:tc>
        <w:tc>
          <w:p>
            <w:pPr>
              <w:pStyle w:val="Compact"/>
              <w:jc w:val="right"/>
            </w:pPr>
            <w:r>
              <w:t xml:space="preserve">69.4</w:t>
            </w:r>
          </w:p>
        </w:tc>
        <w:tc>
          <w:p>
            <w:pPr>
              <w:pStyle w:val="Compact"/>
              <w:jc w:val="right"/>
            </w:pPr>
            <w:r>
              <w:t xml:space="preserve">8.1</w:t>
            </w:r>
          </w:p>
        </w:tc>
        <w:tc>
          <w:p>
            <w:pPr>
              <w:pStyle w:val="Compact"/>
              <w:jc w:val="right"/>
            </w:pPr>
            <w:r>
              <w:t xml:space="preserve">22.6</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0.35 (0.068, 1.13)</w:t>
            </w:r>
          </w:p>
        </w:tc>
        <w:tc>
          <w:p>
            <w:pPr>
              <w:pStyle w:val="Compact"/>
              <w:jc w:val="right"/>
            </w:pPr>
            <w:r>
              <w:t xml:space="preserve">50</w:t>
            </w:r>
          </w:p>
        </w:tc>
        <w:tc>
          <w:p>
            <w:pPr>
              <w:pStyle w:val="Compact"/>
              <w:jc w:val="right"/>
            </w:pPr>
            <w:r>
              <w:t xml:space="preserve">66.0</w:t>
            </w:r>
          </w:p>
        </w:tc>
        <w:tc>
          <w:p>
            <w:pPr>
              <w:pStyle w:val="Compact"/>
              <w:jc w:val="right"/>
            </w:pPr>
            <w:r>
              <w:t xml:space="preserve">22.0</w:t>
            </w:r>
          </w:p>
        </w:tc>
        <w:tc>
          <w:p>
            <w:pPr>
              <w:pStyle w:val="Compact"/>
              <w:jc w:val="right"/>
            </w:pPr>
            <w:r>
              <w:t xml:space="preserve">12.0</w:t>
            </w:r>
          </w:p>
        </w:tc>
        <w:tc>
          <w:p>
            <w:pPr>
              <w:pStyle w:val="Compact"/>
              <w:jc w:val="right"/>
            </w:pPr>
            <w:r>
              <w:t xml:space="preserve">18.0</w:t>
            </w:r>
          </w:p>
        </w:tc>
      </w:tr>
      <w:tr>
        <w:tc>
          <w:p/>
        </w:tc>
        <w:tc>
          <w:p>
            <w:pPr>
              <w:pStyle w:val="Compact"/>
              <w:jc w:val="left"/>
            </w:pPr>
            <w:r>
              <w:t xml:space="preserve">TP (mg/L)</w:t>
            </w:r>
          </w:p>
        </w:tc>
        <w:tc>
          <w:p>
            <w:pPr>
              <w:pStyle w:val="Compact"/>
              <w:jc w:val="left"/>
            </w:pPr>
            <w:r>
              <w:t xml:space="preserve">0.096 (0.05, 0.235)</w:t>
            </w:r>
          </w:p>
        </w:tc>
        <w:tc>
          <w:p>
            <w:pPr>
              <w:pStyle w:val="Compact"/>
              <w:jc w:val="right"/>
            </w:pPr>
            <w:r>
              <w:t xml:space="preserve">55</w:t>
            </w:r>
          </w:p>
        </w:tc>
        <w:tc>
          <w:p>
            <w:pPr>
              <w:pStyle w:val="Compact"/>
              <w:jc w:val="right"/>
            </w:pPr>
            <w:r>
              <w:t xml:space="preserve">56.4</w:t>
            </w:r>
          </w:p>
        </w:tc>
        <w:tc>
          <w:p>
            <w:pPr>
              <w:pStyle w:val="Compact"/>
              <w:jc w:val="right"/>
            </w:pPr>
            <w:r>
              <w:t xml:space="preserve">10.9</w:t>
            </w:r>
          </w:p>
        </w:tc>
        <w:tc>
          <w:p>
            <w:pPr>
              <w:pStyle w:val="Compact"/>
              <w:jc w:val="right"/>
            </w:pPr>
            <w:r>
              <w:t xml:space="preserve">32.7</w:t>
            </w:r>
          </w:p>
        </w:tc>
        <w:tc>
          <w:p>
            <w:pPr>
              <w:pStyle w:val="Compact"/>
              <w:jc w:val="right"/>
            </w:pPr>
            <w:r>
              <w:t xml:space="preserve">0.0</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221</w:t>
            </w:r>
          </w:p>
        </w:tc>
        <w:tc>
          <w:p>
            <w:pPr>
              <w:pStyle w:val="Compact"/>
              <w:jc w:val="right"/>
            </w:pPr>
            <w:r>
              <w:t xml:space="preserve">67.0</w:t>
            </w:r>
          </w:p>
        </w:tc>
        <w:tc>
          <w:p>
            <w:pPr>
              <w:pStyle w:val="Compact"/>
              <w:jc w:val="right"/>
            </w:pPr>
            <w:r>
              <w:t xml:space="preserve">24.4</w:t>
            </w:r>
          </w:p>
        </w:tc>
        <w:tc>
          <w:p>
            <w:pPr>
              <w:pStyle w:val="Compact"/>
              <w:jc w:val="right"/>
            </w:pPr>
            <w:r>
              <w:t xml:space="preserve">8.6</w:t>
            </w:r>
          </w:p>
        </w:tc>
        <w:tc>
          <w:p>
            <w:pPr>
              <w:pStyle w:val="Compact"/>
              <w:jc w:val="right"/>
            </w:pPr>
            <w:r>
              <w:t xml:space="preserve">0.5</w:t>
            </w:r>
          </w:p>
        </w:tc>
      </w:tr>
      <w:tr>
        <w:tc>
          <w:p/>
        </w:tc>
        <w:tc>
          <w:p>
            <w:pPr>
              <w:pStyle w:val="Compact"/>
              <w:jc w:val="left"/>
            </w:pPr>
            <w:r>
              <w:t xml:space="preserve">DO (% sat.)</w:t>
            </w:r>
          </w:p>
        </w:tc>
        <w:tc>
          <w:p>
            <w:pPr>
              <w:pStyle w:val="Compact"/>
              <w:jc w:val="left"/>
            </w:pPr>
            <w:r>
              <w:t xml:space="preserve">99.3 (42.4, 229.9)</w:t>
            </w:r>
          </w:p>
        </w:tc>
        <w:tc>
          <w:p>
            <w:pPr>
              <w:pStyle w:val="Compact"/>
              <w:jc w:val="right"/>
            </w:pPr>
            <w:r>
              <w:t xml:space="preserve">193</w:t>
            </w:r>
          </w:p>
        </w:tc>
        <w:tc>
          <w:p>
            <w:pPr>
              <w:pStyle w:val="Compact"/>
              <w:jc w:val="right"/>
            </w:pPr>
            <w:r>
              <w:t xml:space="preserve">52.3</w:t>
            </w:r>
          </w:p>
        </w:tc>
        <w:tc>
          <w:p>
            <w:pPr>
              <w:pStyle w:val="Compact"/>
              <w:jc w:val="right"/>
            </w:pPr>
            <w:r>
              <w:t xml:space="preserve">25.9</w:t>
            </w:r>
          </w:p>
        </w:tc>
        <w:tc>
          <w:p>
            <w:pPr>
              <w:pStyle w:val="Compact"/>
              <w:jc w:val="right"/>
            </w:pPr>
            <w:r>
              <w:t xml:space="preserve">21.8</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0.003 (0.002, 0.041)</w:t>
            </w:r>
          </w:p>
        </w:tc>
        <w:tc>
          <w:p>
            <w:pPr>
              <w:pStyle w:val="Compact"/>
              <w:jc w:val="right"/>
            </w:pPr>
            <w:r>
              <w:t xml:space="preserve">215</w:t>
            </w:r>
          </w:p>
        </w:tc>
        <w:tc>
          <w:p>
            <w:pPr>
              <w:pStyle w:val="Compact"/>
              <w:jc w:val="right"/>
            </w:pPr>
            <w:r>
              <w:t xml:space="preserve">50.2</w:t>
            </w:r>
          </w:p>
        </w:tc>
        <w:tc>
          <w:p>
            <w:pPr>
              <w:pStyle w:val="Compact"/>
              <w:jc w:val="right"/>
            </w:pPr>
            <w:r>
              <w:t xml:space="preserve">0.0</w:t>
            </w:r>
          </w:p>
        </w:tc>
        <w:tc>
          <w:p>
            <w:pPr>
              <w:pStyle w:val="Compact"/>
              <w:jc w:val="right"/>
            </w:pPr>
            <w:r>
              <w:t xml:space="preserve">49.8</w:t>
            </w:r>
          </w:p>
        </w:tc>
        <w:tc>
          <w:p>
            <w:pPr>
              <w:pStyle w:val="Compact"/>
              <w:jc w:val="right"/>
            </w:pPr>
            <w:r>
              <w:t xml:space="preserve">53.0</w:t>
            </w:r>
          </w:p>
        </w:tc>
      </w:tr>
      <w:tr>
        <w:tc>
          <w:p/>
        </w:tc>
        <w:tc>
          <w:p>
            <w:pPr>
              <w:pStyle w:val="Compact"/>
              <w:jc w:val="left"/>
            </w:pPr>
            <w:r>
              <w:t xml:space="preserve">Nitrate/Nitrite (mg/L)</w:t>
            </w:r>
          </w:p>
        </w:tc>
        <w:tc>
          <w:p>
            <w:pPr>
              <w:pStyle w:val="Compact"/>
              <w:jc w:val="left"/>
            </w:pPr>
            <w:r>
              <w:t xml:space="preserve">- (0.00078, 0.046)</w:t>
            </w:r>
          </w:p>
        </w:tc>
        <w:tc>
          <w:p>
            <w:pPr>
              <w:pStyle w:val="Compact"/>
              <w:jc w:val="right"/>
            </w:pPr>
            <w:r>
              <w:t xml:space="preserve">234</w:t>
            </w:r>
          </w:p>
        </w:tc>
        <w:tc>
          <w:p>
            <w:pPr>
              <w:pStyle w:val="Compact"/>
              <w:jc w:val="right"/>
            </w:pPr>
            <w:r>
              <w:t xml:space="preserve">60.7</w:t>
            </w:r>
          </w:p>
        </w:tc>
        <w:tc>
          <w:p>
            <w:pPr>
              <w:pStyle w:val="Compact"/>
              <w:jc w:val="right"/>
            </w:pPr>
            <w:r>
              <w:t xml:space="preserve">7.3</w:t>
            </w:r>
          </w:p>
        </w:tc>
        <w:tc>
          <w:p>
            <w:pPr>
              <w:pStyle w:val="Compact"/>
              <w:jc w:val="right"/>
            </w:pPr>
            <w:r>
              <w:t xml:space="preserve">32.1</w:t>
            </w:r>
          </w:p>
        </w:tc>
        <w:tc>
          <w:p>
            <w:pPr>
              <w:pStyle w:val="Compact"/>
              <w:jc w:val="right"/>
            </w:pPr>
            <w:r>
              <w:t xml:space="preserve">93.6</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216</w:t>
            </w:r>
          </w:p>
        </w:tc>
        <w:tc>
          <w:p>
            <w:pPr>
              <w:pStyle w:val="Compact"/>
              <w:jc w:val="right"/>
            </w:pPr>
            <w:r>
              <w:t xml:space="preserve">67.6</w:t>
            </w:r>
          </w:p>
        </w:tc>
        <w:tc>
          <w:p>
            <w:pPr>
              <w:pStyle w:val="Compact"/>
              <w:jc w:val="right"/>
            </w:pPr>
            <w:r>
              <w:t xml:space="preserve">25.9</w:t>
            </w:r>
          </w:p>
        </w:tc>
        <w:tc>
          <w:p>
            <w:pPr>
              <w:pStyle w:val="Compact"/>
              <w:jc w:val="right"/>
            </w:pPr>
            <w:r>
              <w:t xml:space="preserve">6.5</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32.1 (1.4, 36.5)</w:t>
            </w:r>
          </w:p>
        </w:tc>
        <w:tc>
          <w:p>
            <w:pPr>
              <w:pStyle w:val="Compact"/>
              <w:jc w:val="right"/>
            </w:pPr>
            <w:r>
              <w:t xml:space="preserve">251</w:t>
            </w:r>
          </w:p>
        </w:tc>
        <w:tc>
          <w:p>
            <w:pPr>
              <w:pStyle w:val="Compact"/>
              <w:jc w:val="right"/>
            </w:pPr>
            <w:r>
              <w:t xml:space="preserve">81.7</w:t>
            </w:r>
          </w:p>
        </w:tc>
        <w:tc>
          <w:p>
            <w:pPr>
              <w:pStyle w:val="Compact"/>
              <w:jc w:val="right"/>
            </w:pPr>
            <w:r>
              <w:t xml:space="preserve">8.8</w:t>
            </w:r>
          </w:p>
        </w:tc>
        <w:tc>
          <w:p>
            <w:pPr>
              <w:pStyle w:val="Compact"/>
              <w:jc w:val="right"/>
            </w:pPr>
            <w:r>
              <w:t xml:space="preserve">9.6</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(0.2, 5.1)</w:t>
            </w:r>
          </w:p>
        </w:tc>
        <w:tc>
          <w:p>
            <w:pPr>
              <w:pStyle w:val="Compact"/>
              <w:jc w:val="right"/>
            </w:pPr>
            <w:r>
              <w:t xml:space="preserve">173</w:t>
            </w:r>
          </w:p>
        </w:tc>
        <w:tc>
          <w:p>
            <w:pPr>
              <w:pStyle w:val="Compact"/>
              <w:jc w:val="right"/>
            </w:pPr>
            <w:r>
              <w:t xml:space="preserve">43.9</w:t>
            </w:r>
          </w:p>
        </w:tc>
        <w:tc>
          <w:p>
            <w:pPr>
              <w:pStyle w:val="Compact"/>
              <w:jc w:val="right"/>
            </w:pPr>
            <w:r>
              <w:t xml:space="preserve">17.9</w:t>
            </w:r>
          </w:p>
        </w:tc>
        <w:tc>
          <w:p>
            <w:pPr>
              <w:pStyle w:val="Compact"/>
              <w:jc w:val="right"/>
            </w:pPr>
            <w:r>
              <w:t xml:space="preserve">38.2</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25.7 (19.6, 32.1)</w:t>
            </w:r>
          </w:p>
        </w:tc>
        <w:tc>
          <w:p>
            <w:pPr>
              <w:pStyle w:val="Compact"/>
              <w:jc w:val="right"/>
            </w:pPr>
            <w:r>
              <w:t xml:space="preserve">251</w:t>
            </w:r>
          </w:p>
        </w:tc>
        <w:tc>
          <w:p>
            <w:pPr>
              <w:pStyle w:val="Compact"/>
              <w:jc w:val="right"/>
            </w:pPr>
            <w:r>
              <w:t xml:space="preserve">59.0</w:t>
            </w:r>
          </w:p>
        </w:tc>
        <w:tc>
          <w:p>
            <w:pPr>
              <w:pStyle w:val="Compact"/>
              <w:jc w:val="right"/>
            </w:pPr>
            <w:r>
              <w:t xml:space="preserve">15.1</w:t>
            </w:r>
          </w:p>
        </w:tc>
        <w:tc>
          <w:p>
            <w:pPr>
              <w:pStyle w:val="Compact"/>
              <w:jc w:val="right"/>
            </w:pPr>
            <w:r>
              <w:t xml:space="preserve">25.9</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0.34 (0.152, 1.78)</w:t>
            </w:r>
          </w:p>
        </w:tc>
        <w:tc>
          <w:p>
            <w:pPr>
              <w:pStyle w:val="Compact"/>
              <w:jc w:val="right"/>
            </w:pPr>
            <w:r>
              <w:t xml:space="preserve">217</w:t>
            </w:r>
          </w:p>
        </w:tc>
        <w:tc>
          <w:p>
            <w:pPr>
              <w:pStyle w:val="Compact"/>
              <w:jc w:val="right"/>
            </w:pPr>
            <w:r>
              <w:t xml:space="preserve">73.7</w:t>
            </w:r>
          </w:p>
        </w:tc>
        <w:tc>
          <w:p>
            <w:pPr>
              <w:pStyle w:val="Compact"/>
              <w:jc w:val="right"/>
            </w:pPr>
            <w:r>
              <w:t xml:space="preserve">23.5</w:t>
            </w:r>
          </w:p>
        </w:tc>
        <w:tc>
          <w:p>
            <w:pPr>
              <w:pStyle w:val="Compact"/>
              <w:jc w:val="right"/>
            </w:pPr>
            <w:r>
              <w:t xml:space="preserve">2.8</w:t>
            </w:r>
          </w:p>
        </w:tc>
        <w:tc>
          <w:p>
            <w:pPr>
              <w:pStyle w:val="Compact"/>
              <w:jc w:val="right"/>
            </w:pPr>
            <w:r>
              <w:t xml:space="preserve">6.5</w:t>
            </w:r>
          </w:p>
        </w:tc>
      </w:tr>
      <w:tr>
        <w:tc>
          <w:p/>
        </w:tc>
        <w:tc>
          <w:p>
            <w:pPr>
              <w:pStyle w:val="Compact"/>
              <w:jc w:val="left"/>
            </w:pPr>
            <w:r>
              <w:t xml:space="preserve">TP (mg/L)</w:t>
            </w:r>
          </w:p>
        </w:tc>
        <w:tc>
          <w:p>
            <w:pPr>
              <w:pStyle w:val="Compact"/>
              <w:jc w:val="left"/>
            </w:pPr>
            <w:r>
              <w:t xml:space="preserve">0.06 (0.019, 0.589)</w:t>
            </w:r>
          </w:p>
        </w:tc>
        <w:tc>
          <w:p>
            <w:pPr>
              <w:pStyle w:val="Compact"/>
              <w:jc w:val="right"/>
            </w:pPr>
            <w:r>
              <w:t xml:space="preserve">223</w:t>
            </w:r>
          </w:p>
        </w:tc>
        <w:tc>
          <w:p>
            <w:pPr>
              <w:pStyle w:val="Compact"/>
              <w:jc w:val="right"/>
            </w:pPr>
            <w:r>
              <w:t xml:space="preserve">78.9</w:t>
            </w:r>
          </w:p>
        </w:tc>
        <w:tc>
          <w:p>
            <w:pPr>
              <w:pStyle w:val="Compact"/>
              <w:jc w:val="right"/>
            </w:pPr>
            <w:r>
              <w:t xml:space="preserve">8.5</w:t>
            </w:r>
          </w:p>
        </w:tc>
        <w:tc>
          <w:p>
            <w:pPr>
              <w:pStyle w:val="Compact"/>
              <w:jc w:val="right"/>
            </w:pPr>
            <w:r>
              <w:t xml:space="preserve">12.6</w:t>
            </w:r>
          </w:p>
        </w:tc>
        <w:tc>
          <w:p>
            <w:pPr>
              <w:pStyle w:val="Compact"/>
              <w:jc w:val="right"/>
            </w:pPr>
            <w:r>
              <w:t xml:space="preserve">14.8</w:t>
            </w:r>
          </w:p>
        </w:tc>
      </w:tr>
    </w:tbl>
    <w:p/>
    <w:p>
      <w:pPr>
        <w:pStyle w:val="TableCaption"/>
      </w:pPr>
      <w:r>
        <w:t xml:space="preserve">Table 3: Comparison of total nitrogen, chlorophyll-a, and secchi depth by areas of interest (Figure</w:t>
      </w:r>
      <w:r>
        <w:t xml:space="preserve"> </w:t>
      </w:r>
      <w:r>
        <w:t xml:space="preserve">1</w:t>
      </w:r>
      <w:r>
        <w:t xml:space="preserve">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total nitrogen, chlorophyll-a, and secchi depth by areas of interest (Figure 1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23.75**</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0.52 (0.35, 1.4)</w:t>
            </w:r>
          </w:p>
        </w:tc>
      </w:tr>
      <w:tr>
        <w:tc>
          <w:p/>
        </w:tc>
        <w:tc>
          <w:p>
            <w:pPr>
              <w:pStyle w:val="Compact"/>
              <w:jc w:val="left"/>
            </w:pPr>
            <w:r>
              <w:t xml:space="preserve">Chl-a (ug/L)</w:t>
            </w:r>
          </w:p>
        </w:tc>
        <w:tc>
          <w:p>
            <w:pPr>
              <w:pStyle w:val="Compact"/>
              <w:jc w:val="left"/>
            </w:pPr>
            <w:r>
              <w:t xml:space="preserve">42.21**</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5.6 (3, 120)</w:t>
            </w:r>
          </w:p>
        </w:tc>
      </w:tr>
      <w:tr>
        <w:tc>
          <w:p/>
        </w:tc>
        <w:tc>
          <w:p>
            <w:pPr>
              <w:pStyle w:val="Compact"/>
              <w:jc w:val="left"/>
            </w:pPr>
            <w:r>
              <w:t xml:space="preserve">Secchi (m)</w:t>
            </w:r>
          </w:p>
        </w:tc>
        <w:tc>
          <w:p>
            <w:pPr>
              <w:pStyle w:val="Compact"/>
              <w:jc w:val="left"/>
            </w:pPr>
            <w:r>
              <w:t xml:space="preserve">35.61**</w:t>
            </w:r>
          </w:p>
        </w:tc>
        <w:tc>
          <w:p>
            <w:pPr>
              <w:pStyle w:val="Compact"/>
              <w:jc w:val="left"/>
            </w:pPr>
            <w:r>
              <w:t xml:space="preserve">a</w:t>
            </w:r>
          </w:p>
        </w:tc>
        <w:tc>
          <w:p>
            <w:pPr>
              <w:pStyle w:val="Compact"/>
              <w:jc w:val="left"/>
            </w:pPr>
            <w:r>
              <w:t xml:space="preserve">Apr</w:t>
            </w:r>
          </w:p>
        </w:tc>
        <w:tc>
          <w:p>
            <w:pPr>
              <w:pStyle w:val="Compact"/>
              <w:jc w:val="right"/>
            </w:pPr>
            <w:r>
              <w:t xml:space="preserve">117</w:t>
            </w:r>
          </w:p>
        </w:tc>
        <w:tc>
          <w:p>
            <w:pPr>
              <w:pStyle w:val="Compact"/>
              <w:jc w:val="left"/>
            </w:pPr>
            <w:r>
              <w:t xml:space="preserve">2.9 (0.8, 5.5)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18</w:t>
            </w:r>
          </w:p>
        </w:tc>
        <w:tc>
          <w:p>
            <w:pPr>
              <w:pStyle w:val="Compact"/>
              <w:jc w:val="left"/>
            </w:pPr>
            <w:r>
              <w:t xml:space="preserve">2 (0.8, 3.5)</w:t>
            </w:r>
          </w:p>
        </w:tc>
      </w:tr>
      <w:tr>
        <w:tc>
          <w:p>
            <w:pPr>
              <w:pStyle w:val="Compact"/>
              <w:jc w:val="left"/>
            </w:pPr>
            <w:r>
              <w:t xml:space="preserve">2</w:t>
            </w:r>
          </w:p>
        </w:tc>
        <w:tc>
          <w:p>
            <w:pPr>
              <w:pStyle w:val="Compact"/>
              <w:jc w:val="left"/>
            </w:pPr>
            <w:r>
              <w:t xml:space="preserve">TN (mg/L)</w:t>
            </w:r>
          </w:p>
        </w:tc>
        <w:tc>
          <w:p>
            <w:pPr>
              <w:pStyle w:val="Compact"/>
              <w:jc w:val="left"/>
            </w:pPr>
            <w:r>
              <w:t xml:space="preserve">12.18*</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0.51 (0.49, 0.66)</w:t>
            </w:r>
          </w:p>
        </w:tc>
      </w:tr>
      <w:tr>
        <w:tc>
          <w:p/>
        </w:tc>
        <w:tc>
          <w:p>
            <w:pPr>
              <w:pStyle w:val="Compact"/>
              <w:jc w:val="left"/>
            </w:pPr>
            <w:r>
              <w:t xml:space="preserve">Chl-a (ug/L)</w:t>
            </w:r>
          </w:p>
        </w:tc>
        <w:tc>
          <w:p>
            <w:pPr>
              <w:pStyle w:val="Compact"/>
              <w:jc w:val="left"/>
            </w:pPr>
            <w:r>
              <w:t xml:space="preserve">15.98**</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2.26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 (0.5, 3.5)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w:t>
            </w:r>
          </w:p>
        </w:tc>
        <w:tc>
          <w:p>
            <w:pPr>
              <w:pStyle w:val="Compact"/>
              <w:jc w:val="left"/>
            </w:pPr>
            <w:r>
              <w:t xml:space="preserve">1.4 (1.4, 1.4)</w:t>
            </w:r>
          </w:p>
        </w:tc>
      </w:tr>
      <w:tr>
        <w:tc>
          <w:p>
            <w:pPr>
              <w:pStyle w:val="Compact"/>
              <w:jc w:val="left"/>
            </w:pPr>
            <w:r>
              <w:t xml:space="preserve">3</w:t>
            </w:r>
          </w:p>
        </w:tc>
        <w:tc>
          <w:p>
            <w:pPr>
              <w:pStyle w:val="Compact"/>
              <w:jc w:val="left"/>
            </w:pPr>
            <w:r>
              <w:t xml:space="preserve">TN (mg/L)</w:t>
            </w:r>
          </w:p>
        </w:tc>
        <w:tc>
          <w:p>
            <w:pPr>
              <w:pStyle w:val="Compact"/>
              <w:jc w:val="left"/>
            </w:pPr>
            <w:r>
              <w:t xml:space="preserve">9.41*</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12</w:t>
            </w:r>
          </w:p>
        </w:tc>
        <w:tc>
          <w:p>
            <w:pPr>
              <w:pStyle w:val="Compact"/>
              <w:jc w:val="left"/>
            </w:pPr>
            <w:r>
              <w:t xml:space="preserve">0.365 (0.31, 0.63)</w:t>
            </w:r>
          </w:p>
        </w:tc>
      </w:tr>
      <w:tr>
        <w:tc>
          <w:p/>
        </w:tc>
        <w:tc>
          <w:p>
            <w:pPr>
              <w:pStyle w:val="Compact"/>
              <w:jc w:val="left"/>
            </w:pPr>
            <w:r>
              <w:t xml:space="preserve">Chl-a (ug/L)</w:t>
            </w:r>
          </w:p>
        </w:tc>
        <w:tc>
          <w:p>
            <w:pPr>
              <w:pStyle w:val="Compact"/>
              <w:jc w:val="left"/>
            </w:pPr>
            <w:r>
              <w:t xml:space="preserve">28.52**</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12.24*</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p/>
    <w:p>
      <w:pPr>
        <w:pStyle w:val="TableCaption"/>
      </w:pPr>
      <w:r>
        <w:t xml:space="preserve">Table 4: Comparison of macroalgae frequency occurrence by areas of interest (Figure</w:t>
      </w:r>
      <w:r>
        <w:t xml:space="preserve"> </w:t>
      </w:r>
      <w:r>
        <w:t xml:space="preserve">1</w:t>
      </w:r>
      <w:r>
        <w:t xml:space="preserve">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24.95**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0.121 (0, 0.722)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pPr>
              <w:pStyle w:val="Compact"/>
              <w:jc w:val="left"/>
            </w:pPr>
            <w:r>
              <w:t xml:space="preserve">Green</w:t>
            </w:r>
          </w:p>
        </w:tc>
        <w:tc>
          <w:p>
            <w:pPr>
              <w:pStyle w:val="Compact"/>
              <w:jc w:val="left"/>
            </w:pPr>
            <w:r>
              <w:t xml:space="preserve">0.93</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pPr>
              <w:pStyle w:val="Compact"/>
              <w:jc w:val="left"/>
            </w:pPr>
            <w:r>
              <w:t xml:space="preserve">Cyanobacteria</w:t>
            </w:r>
          </w:p>
        </w:tc>
        <w:tc>
          <w:p>
            <w:pPr>
              <w:pStyle w:val="Compact"/>
              <w:jc w:val="left"/>
            </w:pPr>
            <w:r>
              <w:t xml:space="preserve">17.66**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0.08 (0, 1)</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pPr>
              <w:pStyle w:val="Compact"/>
              <w:jc w:val="left"/>
            </w:pPr>
            <w:r>
              <w:t xml:space="preserve">3</w:t>
            </w:r>
          </w:p>
        </w:tc>
        <w:tc>
          <w:p>
            <w:pPr>
              <w:pStyle w:val="Compact"/>
              <w:jc w:val="left"/>
            </w:pPr>
            <w:r>
              <w:t xml:space="preserve">Red</w:t>
            </w:r>
          </w:p>
        </w:tc>
        <w:tc>
          <w:p>
            <w:pPr>
              <w:pStyle w:val="Compact"/>
              <w:jc w:val="left"/>
            </w:pPr>
            <w:r>
              <w:t xml:space="preserve">18.49**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pPr>
              <w:pStyle w:val="Compact"/>
              <w:jc w:val="left"/>
            </w:pPr>
            <w:r>
              <w:t xml:space="preserve">Green</w:t>
            </w:r>
          </w:p>
        </w:tc>
        <w:tc>
          <w:p>
            <w:pPr>
              <w:pStyle w:val="Compact"/>
              <w:jc w:val="left"/>
            </w:pPr>
            <w:r>
              <w:t xml:space="preserve">2.27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pPr>
              <w:pStyle w:val="Compact"/>
              <w:jc w:val="left"/>
            </w:pPr>
            <w:r>
              <w:t xml:space="preserve">Cyanobacteria</w:t>
            </w:r>
          </w:p>
        </w:tc>
        <w:tc>
          <w:p>
            <w:pPr>
              <w:pStyle w:val="Compact"/>
              <w:jc w:val="left"/>
            </w:pPr>
            <w:r>
              <w:t xml:space="preserve">8.25*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0.4)</w:t>
            </w:r>
          </w:p>
        </w:tc>
      </w:tr>
    </w:tbl>
    <w:p/>
    <w:p>
      <w:pPr>
        <w:pStyle w:val="TableCaption"/>
      </w:pPr>
      <w:r>
        <w:t xml:space="preserve">Table 5: Comparison of seagrass species frequency occurrence by areas of interest (Figure</w:t>
      </w:r>
      <w:r>
        <w:t xml:space="preserve"> </w:t>
      </w:r>
      <w:r>
        <w:t xml:space="preserve">1</w:t>
      </w:r>
      <w:r>
        <w:t xml:space="preserve">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5: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0.67</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0.5 (0, 0.778)</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pPr>
              <w:pStyle w:val="Compact"/>
              <w:jc w:val="left"/>
            </w:pPr>
            <w:r>
              <w:t xml:space="preserve">Halodule wrightii</w:t>
            </w:r>
          </w:p>
        </w:tc>
        <w:tc>
          <w:p>
            <w:pPr>
              <w:pStyle w:val="Compact"/>
              <w:jc w:val="left"/>
            </w:pPr>
            <w:r>
              <w:t xml:space="preserve">0.74</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0.208 (0, 0.941)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pPr>
              <w:pStyle w:val="Compact"/>
              <w:jc w:val="left"/>
            </w:pPr>
            <w:r>
              <w:t xml:space="preserve">Syringodium filiforme</w:t>
            </w:r>
          </w:p>
        </w:tc>
        <w:tc>
          <w:p>
            <w:pPr>
              <w:pStyle w:val="Compact"/>
              <w:jc w:val="left"/>
            </w:pPr>
            <w:r>
              <w:t xml:space="preserve">0.16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0.29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0.792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0.617 (0.333, 1)</w:t>
            </w:r>
          </w:p>
        </w:tc>
      </w:tr>
      <w:tr>
        <w:tc>
          <w:p/>
        </w:tc>
        <w:tc>
          <w:p>
            <w:pPr>
              <w:pStyle w:val="Compact"/>
              <w:jc w:val="left"/>
            </w:pPr>
            <w:r>
              <w:t xml:space="preserve">Halodule wrightii</w:t>
            </w:r>
          </w:p>
        </w:tc>
        <w:tc>
          <w:p>
            <w:pPr>
              <w:pStyle w:val="Compact"/>
              <w:jc w:val="left"/>
            </w:pPr>
            <w:r>
              <w:t xml:space="preserve">2.53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0.216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pPr>
              <w:pStyle w:val="Compact"/>
              <w:jc w:val="left"/>
            </w:pPr>
            <w:r>
              <w:t xml:space="preserve">Syringodium filiforme</w:t>
            </w:r>
          </w:p>
        </w:tc>
        <w:tc>
          <w:p>
            <w:pPr>
              <w:pStyle w:val="Compact"/>
              <w:jc w:val="left"/>
            </w:pPr>
            <w:r>
              <w:t xml:space="preserve">1.17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bl>
    <w:bookmarkEnd w:id="74"/>
    <w:bookmarkStart w:id="163" w:name="references"/>
    <w:p>
      <w:pPr>
        <w:pStyle w:val="Heading1"/>
      </w:pPr>
      <w:r>
        <w:t xml:space="preserve">References</w:t>
      </w:r>
    </w:p>
    <w:bookmarkStart w:id="162" w:name="refs"/>
    <w:bookmarkStart w:id="76" w:name="ref-Bates76"/>
    <w:p>
      <w:pPr>
        <w:pStyle w:val="Bibliography"/>
      </w:pPr>
      <w:r>
        <w:t xml:space="preserve">Bates, S.S., 1976. Effects of light and ammonium on nitrate uptake by two species of estuarine phytoplankton. Limnology and oceanography 21, 212–218. https://doi.org/</w:t>
      </w:r>
      <w:hyperlink r:id="rId75">
        <w:r>
          <w:rPr>
            <w:rStyle w:val="Hyperlink"/>
          </w:rPr>
          <w:t xml:space="preserve">https://doi.org/10.4319/lo.1976.21.2.0212</w:t>
        </w:r>
      </w:hyperlink>
    </w:p>
    <w:bookmarkEnd w:id="76"/>
    <w:bookmarkStart w:id="77" w:name="ref-Beck21b"/>
    <w:p>
      <w:pPr>
        <w:pStyle w:val="Bibliography"/>
      </w:pPr>
      <w:r>
        <w:t xml:space="preserve">Beck, M.W., 2021. Ggord: Ordination plots with ggplot2.</w:t>
      </w:r>
    </w:p>
    <w:bookmarkEnd w:id="77"/>
    <w:bookmarkStart w:id="79" w:name="ref-Beck18b"/>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78">
        <w:r>
          <w:rPr>
            <w:rStyle w:val="Hyperlink"/>
          </w:rPr>
          <w:t xml:space="preserve">https://doi.org/10.18785/gcr.2901.02</w:t>
        </w:r>
      </w:hyperlink>
    </w:p>
    <w:bookmarkEnd w:id="79"/>
    <w:bookmarkStart w:id="81" w:name="ref-Beck18a"/>
    <w:p>
      <w:pPr>
        <w:pStyle w:val="Bibliography"/>
      </w:pPr>
      <w:r>
        <w:t xml:space="preserve">Beck, M.W., Hagy, J.D., III, Le, C., 2018b. Quantifying seagrass light requirements using an algorithm to spatially resolve depth of colonization. Estuaries and Coasts 41, 592–610.</w:t>
      </w:r>
      <w:r>
        <w:t xml:space="preserve"> </w:t>
      </w:r>
      <w:hyperlink r:id="rId80">
        <w:r>
          <w:rPr>
            <w:rStyle w:val="Hyperlink"/>
          </w:rPr>
          <w:t xml:space="preserve">https://doi.org/10.1007/s12237-017-0287-1</w:t>
        </w:r>
      </w:hyperlink>
    </w:p>
    <w:bookmarkEnd w:id="81"/>
    <w:bookmarkStart w:id="82" w:name="ref-Beck21"/>
    <w:p>
      <w:pPr>
        <w:pStyle w:val="Bibliography"/>
      </w:pPr>
      <w:r>
        <w:t xml:space="preserve">Beck, M.W., Schrandt, M., Wessel, M., Sherwood, E., Raulerson, G., Best, B., 2021. Tbeptools: Data and indicators for the tampa bay estuary program.</w:t>
      </w:r>
    </w:p>
    <w:bookmarkEnd w:id="82"/>
    <w:bookmarkStart w:id="83" w:name="ref-Bryan20"/>
    <w:p>
      <w:pPr>
        <w:pStyle w:val="Bibliography"/>
      </w:pPr>
      <w:r>
        <w:t xml:space="preserve">Bryan, J., 2020. googlesheets4: Access google sheets using the sheets API V4.</w:t>
      </w:r>
    </w:p>
    <w:bookmarkEnd w:id="83"/>
    <w:bookmarkStart w:id="84"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84"/>
    <w:bookmarkStart w:id="86"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85">
        <w:r>
          <w:rPr>
            <w:rStyle w:val="Hyperlink"/>
          </w:rPr>
          <w:t xml:space="preserve">https://doi.org/10.1016/S0265-931X(00)00164-8</w:t>
        </w:r>
      </w:hyperlink>
    </w:p>
    <w:bookmarkEnd w:id="86"/>
    <w:bookmarkStart w:id="88" w:name="ref-Caffrey14"/>
    <w:p>
      <w:pPr>
        <w:pStyle w:val="Bibliography"/>
      </w:pPr>
      <w:r>
        <w:t xml:space="preserve">Caffrey, J.M., Murrell, M.C., Amacker, K.S., Harper, J., Phipps, S., Woodrey, M., 2013. Seasonal and inter-annual patterns in primary production, respiration and net ecosystem metabolism in 3 estuaries in the northeast</w:t>
      </w:r>
      <w:r>
        <w:t xml:space="preserve"> </w:t>
      </w:r>
      <w:r>
        <w:t xml:space="preserve">G</w:t>
      </w:r>
      <w:r>
        <w:t xml:space="preserve">ulf of</w:t>
      </w:r>
      <w:r>
        <w:t xml:space="preserve"> </w:t>
      </w:r>
      <w:r>
        <w:t xml:space="preserve">M</w:t>
      </w:r>
      <w:r>
        <w:t xml:space="preserve">exico. Estuaries and Coasts 37, 222–241. https://doi.org/</w:t>
      </w:r>
      <w:hyperlink r:id="rId87">
        <w:r>
          <w:rPr>
            <w:rStyle w:val="Hyperlink"/>
          </w:rPr>
          <w:t xml:space="preserve">https://doi.org/10.1007/s12237-013-9701-5</w:t>
        </w:r>
      </w:hyperlink>
    </w:p>
    <w:bookmarkEnd w:id="88"/>
    <w:bookmarkStart w:id="90" w:name="ref-Chen19"/>
    <w:p>
      <w:pPr>
        <w:pStyle w:val="Bibliography"/>
      </w:pPr>
      <w:r>
        <w:t xml:space="preserve">Chen, J., Weisberg, R.H., Liu, Y., Zheng, L., Zhu, J., 2019. On the momentum balance of tampa bay. Journal of Geophysical Research: Oceans 124, 4492–4510. https://doi.org/</w:t>
      </w:r>
      <w:hyperlink r:id="rId89">
        <w:r>
          <w:rPr>
            <w:rStyle w:val="Hyperlink"/>
          </w:rPr>
          <w:t xml:space="preserve">https://doi.org/10.1029/2018JC014890</w:t>
        </w:r>
      </w:hyperlink>
    </w:p>
    <w:bookmarkEnd w:id="90"/>
    <w:bookmarkStart w:id="92" w:name="ref-Cohen06"/>
    <w:p>
      <w:pPr>
        <w:pStyle w:val="Bibliography"/>
      </w:pPr>
      <w:r>
        <w:t xml:space="preserve">Cohen, R.A., Fong, P., 2006. Using opportunistic green macroalgae as indicators of nitrogen supply and sources to estuaries. Ecological Applications 16, 1405–1420. https://doi.org/</w:t>
      </w:r>
      <w:hyperlink r:id="rId91">
        <w:r>
          <w:rPr>
            <w:rStyle w:val="Hyperlink"/>
          </w:rPr>
          <w:t xml:space="preserve">https://doi.org/10.1890/1051-0761(2006)016[1405:UOGMAI]2.0.CO;2</w:t>
        </w:r>
      </w:hyperlink>
    </w:p>
    <w:bookmarkEnd w:id="92"/>
    <w:bookmarkStart w:id="93" w:name="ref-DAgostino20"/>
    <w:p>
      <w:pPr>
        <w:pStyle w:val="Bibliography"/>
      </w:pPr>
      <w:r>
        <w:t xml:space="preserve">D’Agostino McGowan, L., Bryan, J., 2020. Googledrive: An interface to google drive.</w:t>
      </w:r>
    </w:p>
    <w:bookmarkEnd w:id="93"/>
    <w:bookmarkStart w:id="94" w:name="ref-Dillon15"/>
    <w:p>
      <w:pPr>
        <w:pStyle w:val="Bibliography"/>
      </w:pPr>
      <w:r>
        <w:t xml:space="preserve">Dillon, K., Caffrey, J., Carmichael, R.H., Cressman, K., Woodrey, M., 2015. Water quality in</w:t>
      </w:r>
      <w:r>
        <w:t xml:space="preserve"> </w:t>
      </w:r>
      <w:r>
        <w:t xml:space="preserve">B</w:t>
      </w:r>
      <w:r>
        <w:t xml:space="preserve">angs</w:t>
      </w:r>
      <w:r>
        <w:t xml:space="preserve"> </w:t>
      </w:r>
      <w:r>
        <w:t xml:space="preserve">L</w:t>
      </w:r>
      <w:r>
        <w:t xml:space="preserve">ake: Effects of recurrent phosphate spills to a coastal estuary. Mississippi Water Resources Research Institute, Mississippi State, US Geological Survey, Starkville, Mississippi.</w:t>
      </w:r>
    </w:p>
    <w:bookmarkEnd w:id="94"/>
    <w:bookmarkStart w:id="95"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95"/>
    <w:bookmarkStart w:id="97" w:name="ref-Doering06"/>
    <w:p>
      <w:pPr>
        <w:pStyle w:val="Bibliography"/>
      </w:pPr>
      <w:r>
        <w:t xml:space="preserve">Doering, P.H., Chamberlain, R.H., Haunert, K.M., 2006. Chlorophyll a and its use as an indicator of eutrophication in the</w:t>
      </w:r>
      <w:r>
        <w:t xml:space="preserve"> </w:t>
      </w:r>
      <w:r>
        <w:t xml:space="preserve">C</w:t>
      </w:r>
      <w:r>
        <w:t xml:space="preserve">aloosahatchee</w:t>
      </w:r>
      <w:r>
        <w:t xml:space="preserve"> </w:t>
      </w:r>
      <w:r>
        <w:t xml:space="preserve">E</w:t>
      </w:r>
      <w:r>
        <w:t xml:space="preserve">stuary,</w:t>
      </w:r>
      <w:r>
        <w:t xml:space="preserve"> </w:t>
      </w:r>
      <w:r>
        <w:t xml:space="preserve">F</w:t>
      </w:r>
      <w:r>
        <w:t xml:space="preserve">lorida. Florida Scientist 51–72. https://doi.org/</w:t>
      </w:r>
      <w:hyperlink r:id="rId96">
        <w:r>
          <w:rPr>
            <w:rStyle w:val="Hyperlink"/>
          </w:rPr>
          <w:t xml:space="preserve">https://www.jstor.org/stable/24322132</w:t>
        </w:r>
      </w:hyperlink>
    </w:p>
    <w:bookmarkEnd w:id="97"/>
    <w:bookmarkStart w:id="99" w:name="ref-Domingues11"/>
    <w:p>
      <w:pPr>
        <w:pStyle w:val="Bibliography"/>
      </w:pPr>
      <w:r>
        <w:t xml:space="preserve">Domingues, R.B., Barbosa, A.B., Sommer, U., Galvão, H.M., 2011. Ammonium, nitrate and phytoplankton interactions in a freshwater tidal estuarine zone: Potential effects of cultural eutrophication. Aquatic sciences 73, 331–343. https://doi.org/</w:t>
      </w:r>
      <w:hyperlink r:id="rId98">
        <w:r>
          <w:rPr>
            <w:rStyle w:val="Hyperlink"/>
          </w:rPr>
          <w:t xml:space="preserve">https://doi.org/10.1007/s00027-011-0180-0</w:t>
        </w:r>
      </w:hyperlink>
    </w:p>
    <w:bookmarkEnd w:id="99"/>
    <w:bookmarkStart w:id="101"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100">
        <w:r>
          <w:rPr>
            <w:rStyle w:val="Hyperlink"/>
          </w:rPr>
          <w:t xml:space="preserve">https://doi.org/10.1016/j.marpolbul.2015.10.047</w:t>
        </w:r>
      </w:hyperlink>
    </w:p>
    <w:bookmarkEnd w:id="101"/>
    <w:bookmarkStart w:id="103"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102">
        <w:r>
          <w:rPr>
            <w:rStyle w:val="Hyperlink"/>
          </w:rPr>
          <w:t xml:space="preserve">https://doi.org/10.1016/j.marpolbul.2010.11.017</w:t>
        </w:r>
      </w:hyperlink>
    </w:p>
    <w:bookmarkEnd w:id="103"/>
    <w:bookmarkStart w:id="105" w:name="ref-Gillett21"/>
    <w:p>
      <w:pPr>
        <w:pStyle w:val="Bibliography"/>
      </w:pPr>
      <w:r>
        <w:t xml:space="preserve">Gillett, D.J., Gilbane, L., Schiff, K.C., 2021. Characterizing community structure of benthic infauna from the continental slope of the</w:t>
      </w:r>
      <w:r>
        <w:t xml:space="preserve"> </w:t>
      </w:r>
      <w:r>
        <w:t xml:space="preserve">S</w:t>
      </w:r>
      <w:r>
        <w:t xml:space="preserve">outhern</w:t>
      </w:r>
      <w:r>
        <w:t xml:space="preserve"> </w:t>
      </w:r>
      <w:r>
        <w:t xml:space="preserve">C</w:t>
      </w:r>
      <w:r>
        <w:t xml:space="preserve">alifornia</w:t>
      </w:r>
      <w:r>
        <w:t xml:space="preserve"> </w:t>
      </w:r>
      <w:r>
        <w:t xml:space="preserve">B</w:t>
      </w:r>
      <w:r>
        <w:t xml:space="preserve">ight. Frontiers in Marine Science 8, 61. https://doi.org/</w:t>
      </w:r>
      <w:hyperlink r:id="rId104">
        <w:r>
          <w:rPr>
            <w:rStyle w:val="Hyperlink"/>
          </w:rPr>
          <w:t xml:space="preserve">https://doi.org/10.3389/fmars.2021.605858</w:t>
        </w:r>
      </w:hyperlink>
    </w:p>
    <w:bookmarkEnd w:id="105"/>
    <w:bookmarkStart w:id="107"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106">
        <w:r>
          <w:rPr>
            <w:rStyle w:val="Hyperlink"/>
          </w:rPr>
          <w:t xml:space="preserve">https://doi.org/10.1007/s00267-005-0079-4</w:t>
        </w:r>
      </w:hyperlink>
    </w:p>
    <w:bookmarkEnd w:id="107"/>
    <w:bookmarkStart w:id="108"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108"/>
    <w:bookmarkStart w:id="110"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109">
        <w:r>
          <w:rPr>
            <w:rStyle w:val="Hyperlink"/>
          </w:rPr>
          <w:t xml:space="preserve">https://doi.org/10.1016/j.ecss.2014.10.003</w:t>
        </w:r>
      </w:hyperlink>
    </w:p>
    <w:bookmarkEnd w:id="110"/>
    <w:bookmarkStart w:id="111"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111"/>
    <w:bookmarkStart w:id="112" w:name="ref-Hollander13"/>
    <w:p>
      <w:pPr>
        <w:pStyle w:val="Bibliography"/>
      </w:pPr>
      <w:r>
        <w:t xml:space="preserve">Hollander, M., Wolfe, D.A., Chicken, E., 2013. Nonparametric statistical methods. John Wiley &amp; Sons.</w:t>
      </w:r>
    </w:p>
    <w:bookmarkEnd w:id="112"/>
    <w:bookmarkStart w:id="113" w:name="ref-Holm79"/>
    <w:p>
      <w:pPr>
        <w:pStyle w:val="Bibliography"/>
      </w:pPr>
      <w:r>
        <w:t xml:space="preserve">Holm, S., 1979. A simple sequentially rejective multiple test procedure. Scandinavian journal of statistics 65–70.</w:t>
      </w:r>
    </w:p>
    <w:bookmarkEnd w:id="113"/>
    <w:bookmarkStart w:id="115"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114">
        <w:r>
          <w:rPr>
            <w:rStyle w:val="Hyperlink"/>
          </w:rPr>
          <w:t xml:space="preserve">https://doi.org/10.4319/lo.2006.51.1_part_2.0364</w:t>
        </w:r>
      </w:hyperlink>
    </w:p>
    <w:bookmarkEnd w:id="115"/>
    <w:bookmarkStart w:id="116"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116"/>
    <w:bookmarkStart w:id="118" w:name="ref-Hudson11"/>
    <w:p>
      <w:pPr>
        <w:pStyle w:val="Bibliography"/>
      </w:pPr>
      <w:r>
        <w:t xml:space="preserve">Hudson-Edwards, K.A., Jamieson, H.E., Lottermoser, B.G., 2011. Mine wastes: Past, present, future. Elements 7, 375–380.</w:t>
      </w:r>
      <w:r>
        <w:t xml:space="preserve"> </w:t>
      </w:r>
      <w:hyperlink r:id="rId117">
        <w:r>
          <w:rPr>
            <w:rStyle w:val="Hyperlink"/>
          </w:rPr>
          <w:t xml:space="preserve">https://doi.org/10.2113/gselements.7.6.375</w:t>
        </w:r>
      </w:hyperlink>
    </w:p>
    <w:bookmarkEnd w:id="118"/>
    <w:bookmarkStart w:id="119"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119"/>
    <w:bookmarkStart w:id="120" w:name="ref-Janicki17"/>
    <w:p>
      <w:pPr>
        <w:pStyle w:val="Bibliography"/>
      </w:pPr>
      <w:r>
        <w:t xml:space="preserve">Janicki Environmental, Inc., 2017a.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20"/>
    <w:bookmarkStart w:id="121" w:name="ref-tbep0417"/>
    <w:p>
      <w:pPr>
        <w:pStyle w:val="Bibliography"/>
      </w:pPr>
      <w:r>
        <w:t xml:space="preserve">Janicki Environmental, Inc., 2017b.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21"/>
    <w:bookmarkStart w:id="122" w:name="ref-Janicki08"/>
    <w:p>
      <w:pPr>
        <w:pStyle w:val="Bibliography"/>
      </w:pPr>
      <w:r>
        <w:t xml:space="preserve">Janicki Environmental, Inc., 2008. Estimation of nitrogen loading from residential irrigation. Tampa Bay Estuary Program, St. Petersburg, Florida.</w:t>
      </w:r>
    </w:p>
    <w:bookmarkEnd w:id="122"/>
    <w:bookmarkStart w:id="123" w:name="ref-tbep0620"/>
    <w:p>
      <w:pPr>
        <w:pStyle w:val="Bibliography"/>
      </w:pPr>
      <w:r>
        <w:t xml:space="preserve">Karlen, D.J., Dix, T., Goetting, B.K., Markham, S.E., K.Campbell, Jernigan, J., J.Christian, Martinez, K., Chacour, A., 2020. Twenty-five-year trends in the benthic community and sediment quality of</w:t>
      </w:r>
      <w:r>
        <w:t xml:space="preserve"> </w:t>
      </w:r>
      <w:r>
        <w:t xml:space="preserve">T</w:t>
      </w:r>
      <w:r>
        <w:t xml:space="preserve">ampa</w:t>
      </w:r>
      <w:r>
        <w:t xml:space="preserve"> </w:t>
      </w:r>
      <w:r>
        <w:t xml:space="preserve">B</w:t>
      </w:r>
      <w:r>
        <w:t xml:space="preserve">ay 1993-2017 (No. 06-20). Tampa Bay Estuary Program, St. Petersburg, Florida.</w:t>
      </w:r>
    </w:p>
    <w:bookmarkEnd w:id="123"/>
    <w:bookmarkStart w:id="124"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124"/>
    <w:bookmarkStart w:id="125" w:name="ref-Lee20"/>
    <w:p>
      <w:pPr>
        <w:pStyle w:val="Bibliography"/>
      </w:pPr>
      <w:r>
        <w:t xml:space="preserve">Lee, L., 2020. NADA: Nondetects and data analysis for environmental data.</w:t>
      </w:r>
    </w:p>
    <w:bookmarkEnd w:id="125"/>
    <w:bookmarkStart w:id="127" w:name="ref-Le08"/>
    <w:p>
      <w:pPr>
        <w:pStyle w:val="Bibliography"/>
      </w:pPr>
      <w:r>
        <w:t xml:space="preserve">Lê, S., Josse, J., Husson, F., 2008.</w:t>
      </w:r>
      <w:r>
        <w:t xml:space="preserve"> </w:t>
      </w:r>
      <w:r>
        <w:t xml:space="preserve">FactoMineR</w:t>
      </w:r>
      <w:r>
        <w:t xml:space="preserve">: A package for multivariate analysis. Journal of Statistical Software 25, 1–18.</w:t>
      </w:r>
      <w:r>
        <w:t xml:space="preserve"> </w:t>
      </w:r>
      <w:hyperlink r:id="rId126">
        <w:r>
          <w:rPr>
            <w:rStyle w:val="Hyperlink"/>
          </w:rPr>
          <w:t xml:space="preserve">https://doi.org/10.18637/jss.v025.i01</w:t>
        </w:r>
      </w:hyperlink>
    </w:p>
    <w:bookmarkEnd w:id="127"/>
    <w:bookmarkStart w:id="129" w:name="ref-Lloret05"/>
    <w:p>
      <w:pPr>
        <w:pStyle w:val="Bibliography"/>
      </w:pPr>
      <w:r>
        <w:t xml:space="preserve">Lloret, J., Marin, A., Marin-Guirao, L., Velasco, J., 2005. Changes in macrophytes distribution in a hypersaline coastal lagoon associated with the development of intensively irrigated agriculture. Ocean &amp; Coastal Management 48, 828–842. https://doi.org/</w:t>
      </w:r>
      <w:hyperlink r:id="rId128">
        <w:r>
          <w:rPr>
            <w:rStyle w:val="Hyperlink"/>
          </w:rPr>
          <w:t xml:space="preserve">https://doi.org/10.1016/j.ocecoaman.2005.07.002</w:t>
        </w:r>
      </w:hyperlink>
    </w:p>
    <w:bookmarkEnd w:id="129"/>
    <w:bookmarkStart w:id="130" w:name="ref-Ohara17"/>
    <w:p>
      <w:pPr>
        <w:pStyle w:val="Bibliography"/>
      </w:pPr>
      <w:r>
        <w:t xml:space="preserve">N. O’Hara, Shafer Consulting, Inc., 2017. Charting the course: The comprehensive conservation and management plan for</w:t>
      </w:r>
      <w:r>
        <w:t xml:space="preserve"> </w:t>
      </w:r>
      <w:r>
        <w:t xml:space="preserve">T</w:t>
      </w:r>
      <w:r>
        <w:t xml:space="preserve">ampa</w:t>
      </w:r>
      <w:r>
        <w:t xml:space="preserve"> </w:t>
      </w:r>
      <w:r>
        <w:t xml:space="preserve">B</w:t>
      </w:r>
      <w:r>
        <w:t xml:space="preserve">ay (No. 10-17). Tampa Bay Estuary Program, St. Petersburg, Florida.</w:t>
      </w:r>
    </w:p>
    <w:bookmarkEnd w:id="130"/>
    <w:bookmarkStart w:id="132" w:name="ref-Nixon95"/>
    <w:p>
      <w:pPr>
        <w:pStyle w:val="Bibliography"/>
      </w:pPr>
      <w:r>
        <w:t xml:space="preserve">Nixon, S.W., 1995. Coastal marine eutrophication: A definition, social causes, and future concerns. Ophelia 41, 199–219.</w:t>
      </w:r>
      <w:r>
        <w:t xml:space="preserve"> </w:t>
      </w:r>
      <w:hyperlink r:id="rId131">
        <w:r>
          <w:rPr>
            <w:rStyle w:val="Hyperlink"/>
          </w:rPr>
          <w:t xml:space="preserve">https://doi.org/10.1080/00785236.1995.10422044</w:t>
        </w:r>
      </w:hyperlink>
    </w:p>
    <w:bookmarkEnd w:id="132"/>
    <w:bookmarkStart w:id="133"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133"/>
    <w:bookmarkStart w:id="135" w:name="ref-Pebesma18"/>
    <w:p>
      <w:pPr>
        <w:pStyle w:val="Bibliography"/>
      </w:pPr>
      <w:r>
        <w:t xml:space="preserve">Pebesma, E., 2018. Simple features for</w:t>
      </w:r>
      <w:r>
        <w:t xml:space="preserve"> </w:t>
      </w:r>
      <w:r>
        <w:t xml:space="preserve">R</w:t>
      </w:r>
      <w:r>
        <w:t xml:space="preserve">: Standardized support for spatial vector data.</w:t>
      </w:r>
      <w:r>
        <w:t xml:space="preserve"> </w:t>
      </w:r>
      <w:r>
        <w:t xml:space="preserve">The R Journal</w:t>
      </w:r>
      <w:r>
        <w:t xml:space="preserve"> </w:t>
      </w:r>
      <w:r>
        <w:t xml:space="preserve">10, 439–446.</w:t>
      </w:r>
      <w:r>
        <w:t xml:space="preserve"> </w:t>
      </w:r>
      <w:hyperlink r:id="rId134">
        <w:r>
          <w:rPr>
            <w:rStyle w:val="Hyperlink"/>
          </w:rPr>
          <w:t xml:space="preserve">https://doi.org/10.32614/RJ-2018-009</w:t>
        </w:r>
      </w:hyperlink>
    </w:p>
    <w:bookmarkEnd w:id="135"/>
    <w:bookmarkStart w:id="137"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136">
        <w:r>
          <w:rPr>
            <w:rStyle w:val="Hyperlink"/>
          </w:rPr>
          <w:t xml:space="preserve">https://doi.org/10.1016/j.scitotenv.2016.02.070</w:t>
        </w:r>
      </w:hyperlink>
    </w:p>
    <w:bookmarkEnd w:id="137"/>
    <w:bookmarkStart w:id="139"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138">
        <w:r>
          <w:rPr>
            <w:rStyle w:val="Hyperlink"/>
          </w:rPr>
          <w:t xml:space="preserve">https://doi.org/10.1016/j.apgeochem.2010.02.003</w:t>
        </w:r>
      </w:hyperlink>
    </w:p>
    <w:bookmarkEnd w:id="139"/>
    <w:bookmarkStart w:id="141"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140">
        <w:r>
          <w:rPr>
            <w:rStyle w:val="Hyperlink"/>
          </w:rPr>
          <w:t xml:space="preserve">https://doi.org/10.1016/j.atmosenv.2012.12.030</w:t>
        </w:r>
      </w:hyperlink>
    </w:p>
    <w:bookmarkEnd w:id="141"/>
    <w:bookmarkStart w:id="142" w:name="ref-RCT20"/>
    <w:p>
      <w:pPr>
        <w:pStyle w:val="Bibliography"/>
      </w:pPr>
      <w:r>
        <w:t xml:space="preserve">R Core Team, 2020. R: A language and environment for statistical computing, v4.0.3. R Foundation for Statistical Computing, Vienna, Austria.</w:t>
      </w:r>
    </w:p>
    <w:bookmarkEnd w:id="142"/>
    <w:bookmarkStart w:id="144"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143">
        <w:r>
          <w:rPr>
            <w:rStyle w:val="Hyperlink"/>
          </w:rPr>
          <w:t xml:space="preserve">https://doi.org/10.1007/s11270-013-1742-7</w:t>
        </w:r>
      </w:hyperlink>
    </w:p>
    <w:bookmarkEnd w:id="144"/>
    <w:bookmarkStart w:id="146" w:name="ref-Schrandt21"/>
    <w:p>
      <w:pPr>
        <w:pStyle w:val="Bibliography"/>
      </w:pPr>
      <w:r>
        <w:t xml:space="preserve">Schrandt, M.N., MacDonald, T.C., Sherwood, E.T., Beck, M.W., 2021. A multimetric nekton index for monitoring, managing and communicating ecosystem health status in an urbanized</w:t>
      </w:r>
      <w:r>
        <w:t xml:space="preserve"> </w:t>
      </w:r>
      <w:r>
        <w:t xml:space="preserve">G</w:t>
      </w:r>
      <w:r>
        <w:t xml:space="preserve">ulf of</w:t>
      </w:r>
      <w:r>
        <w:t xml:space="preserve"> </w:t>
      </w:r>
      <w:r>
        <w:t xml:space="preserve">M</w:t>
      </w:r>
      <w:r>
        <w:t xml:space="preserve">exico estuary. Ecological Indicators 123, 107310. https://doi.org/</w:t>
      </w:r>
      <w:hyperlink r:id="rId145">
        <w:r>
          <w:rPr>
            <w:rStyle w:val="Hyperlink"/>
          </w:rPr>
          <w:t xml:space="preserve">https://doi.org/10.1016/j.ecolind.2020.107310</w:t>
        </w:r>
      </w:hyperlink>
    </w:p>
    <w:bookmarkEnd w:id="146"/>
    <w:bookmarkStart w:id="148"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147">
        <w:r>
          <w:rPr>
            <w:rStyle w:val="Hyperlink"/>
          </w:rPr>
          <w:t xml:space="preserve">https://doi.org/10.1007/s00267-013-0179-5</w:t>
        </w:r>
      </w:hyperlink>
    </w:p>
    <w:bookmarkEnd w:id="148"/>
    <w:bookmarkStart w:id="150"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149">
        <w:r>
          <w:rPr>
            <w:rStyle w:val="Hyperlink"/>
          </w:rPr>
          <w:t xml:space="preserve">https://doi.org/10.1353/sgo.2017.0026</w:t>
        </w:r>
      </w:hyperlink>
    </w:p>
    <w:bookmarkEnd w:id="150"/>
    <w:bookmarkStart w:id="151"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151"/>
    <w:bookmarkStart w:id="153" w:name="ref-Stafford06"/>
    <w:p>
      <w:pPr>
        <w:pStyle w:val="Bibliography"/>
      </w:pPr>
      <w:r>
        <w:t xml:space="preserve">Stafford, N.B., Bell, S.S., 2006. Space competition between seagrass and</w:t>
      </w:r>
      <w:r>
        <w:t xml:space="preserve"> </w:t>
      </w:r>
      <w:r>
        <w:t xml:space="preserve">C</w:t>
      </w:r>
      <w:r>
        <w:t xml:space="preserve">aulerpa prolifera (</w:t>
      </w:r>
      <w:r>
        <w:t xml:space="preserve">F</w:t>
      </w:r>
      <w:r>
        <w:t xml:space="preserve">orsskaal)</w:t>
      </w:r>
      <w:r>
        <w:t xml:space="preserve"> </w:t>
      </w:r>
      <w:r>
        <w:t xml:space="preserve">L</w:t>
      </w:r>
      <w:r>
        <w:t xml:space="preserve">amouroux following simulated disturbances in</w:t>
      </w:r>
      <w:r>
        <w:t xml:space="preserve"> </w:t>
      </w:r>
      <w:r>
        <w:t xml:space="preserve">L</w:t>
      </w:r>
      <w:r>
        <w:t xml:space="preserve">assing</w:t>
      </w:r>
      <w:r>
        <w:t xml:space="preserve"> </w:t>
      </w:r>
      <w:r>
        <w:t xml:space="preserve">P</w:t>
      </w:r>
      <w:r>
        <w:t xml:space="preserve">ark,</w:t>
      </w:r>
      <w:r>
        <w:t xml:space="preserve"> </w:t>
      </w:r>
      <w:r>
        <w:t xml:space="preserve">FL</w:t>
      </w:r>
      <w:r>
        <w:t xml:space="preserve">. Journal of Experimental Marine Biology and Ecology 333, 49–57. https://doi.org/</w:t>
      </w:r>
      <w:hyperlink r:id="rId152">
        <w:r>
          <w:rPr>
            <w:rStyle w:val="Hyperlink"/>
          </w:rPr>
          <w:t xml:space="preserve">https://doi.org/10.1016/j.jembe.2005.11.025</w:t>
        </w:r>
      </w:hyperlink>
    </w:p>
    <w:bookmarkEnd w:id="153"/>
    <w:bookmarkStart w:id="154"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154"/>
    <w:bookmarkStart w:id="156"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155">
        <w:r>
          <w:rPr>
            <w:rStyle w:val="Hyperlink"/>
          </w:rPr>
          <w:t xml:space="preserve">https://doi.org/10.1016/j.jenvman.2009.03.007</w:t>
        </w:r>
      </w:hyperlink>
    </w:p>
    <w:bookmarkEnd w:id="156"/>
    <w:bookmarkStart w:id="158" w:name="ref-Valiela97"/>
    <w:p>
      <w:pPr>
        <w:pStyle w:val="Bibliography"/>
      </w:pPr>
      <w:r>
        <w:t xml:space="preserve">Valiela, I., McClelland, J., Hauxwell, J., Behr, P.J., Hersh, D., Foreman, K., 1997. Macroalgal blooms in shallow estuaries: Controls and ecophysiological and ecosystem consequences. Limnology and oceanography 42, 1105–1118. https://doi.org/</w:t>
      </w:r>
      <w:hyperlink r:id="rId157">
        <w:r>
          <w:rPr>
            <w:rStyle w:val="Hyperlink"/>
          </w:rPr>
          <w:t xml:space="preserve">https://doi.org/10.4319/lo.1997.42.5_part_2.1105</w:t>
        </w:r>
      </w:hyperlink>
    </w:p>
    <w:bookmarkEnd w:id="158"/>
    <w:bookmarkStart w:id="159" w:name="ref-tbep0106"/>
    <w:p>
      <w:pPr>
        <w:pStyle w:val="Bibliography"/>
      </w:pPr>
      <w:r>
        <w:t xml:space="preserve">Wade, D., Malloy, K., Janicki, A., Nijbroek, R., Grabe, S., 2006. Development of a benthic index to establish sediment quality targets for the</w:t>
      </w:r>
      <w:r>
        <w:t xml:space="preserve"> </w:t>
      </w:r>
      <w:r>
        <w:t xml:space="preserve">T</w:t>
      </w:r>
      <w:r>
        <w:t xml:space="preserve">ampa</w:t>
      </w:r>
      <w:r>
        <w:t xml:space="preserve"> </w:t>
      </w:r>
      <w:r>
        <w:t xml:space="preserve">B</w:t>
      </w:r>
      <w:r>
        <w:t xml:space="preserve">ay estuary (No. 01-06). Tampa Bay Estuary Program, St. Petersburg, Florida.</w:t>
      </w:r>
    </w:p>
    <w:bookmarkEnd w:id="159"/>
    <w:bookmarkStart w:id="161"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 Welcome to the</w:t>
      </w:r>
      <w:r>
        <w:t xml:space="preserve"> </w:t>
      </w:r>
      <w:r>
        <w:t xml:space="preserve">tidyverse</w:t>
      </w:r>
      <w:r>
        <w:t xml:space="preserve">. Journal of Open Source Software 4, 1686.</w:t>
      </w:r>
      <w:r>
        <w:t xml:space="preserve"> </w:t>
      </w:r>
      <w:hyperlink r:id="rId160">
        <w:r>
          <w:rPr>
            <w:rStyle w:val="Hyperlink"/>
          </w:rPr>
          <w:t xml:space="preserve">https://doi.org/10.21105/joss.01686</w:t>
        </w:r>
      </w:hyperlink>
    </w:p>
    <w:bookmarkEnd w:id="161"/>
    <w:bookmarkEnd w:id="162"/>
    <w:bookmarkEnd w:id="163"/>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9" Target="media/rId69.jpg" /><Relationship Type="http://schemas.openxmlformats.org/officeDocument/2006/relationships/image" Id="rId68" Target="media/rId68.jpg" /><Relationship Type="http://schemas.openxmlformats.org/officeDocument/2006/relationships/image" Id="rId62" Target="media/rId62.jpg" /><Relationship Type="http://schemas.openxmlformats.org/officeDocument/2006/relationships/image" Id="rId63" Target="media/rId63.jpg" /><Relationship Type="http://schemas.openxmlformats.org/officeDocument/2006/relationships/image" Id="rId66" Target="media/rId66.jpg" /><Relationship Type="http://schemas.openxmlformats.org/officeDocument/2006/relationships/image" Id="rId67" Target="media/rId67.jpg" /><Relationship Type="http://schemas.openxmlformats.org/officeDocument/2006/relationships/image" Id="rId64" Target="media/rId64.jpg" /><Relationship Type="http://schemas.openxmlformats.org/officeDocument/2006/relationships/image" Id="rId65" Target="media/rId65.jpg" /><Relationship Type="http://schemas.openxmlformats.org/officeDocument/2006/relationships/image" Id="rId70" Target="media/rId70.jpg" /><Relationship Type="http://schemas.openxmlformats.org/officeDocument/2006/relationships/hyperlink" Id="rId98" Target="https://doi.org/10.1007/s00027-011-0180-0" TargetMode="External" /><Relationship Type="http://schemas.openxmlformats.org/officeDocument/2006/relationships/hyperlink" Id="rId106" Target="https://doi.org/10.1007/s00267-005-0079-4" TargetMode="External" /><Relationship Type="http://schemas.openxmlformats.org/officeDocument/2006/relationships/hyperlink" Id="rId147" Target="https://doi.org/10.1007/s00267-013-0179-5" TargetMode="External" /><Relationship Type="http://schemas.openxmlformats.org/officeDocument/2006/relationships/hyperlink" Id="rId143" Target="https://doi.org/10.1007/s11270-013-1742-7" TargetMode="External" /><Relationship Type="http://schemas.openxmlformats.org/officeDocument/2006/relationships/hyperlink" Id="rId87" Target="https://doi.org/10.1007/s12237-013-9701-5" TargetMode="External" /><Relationship Type="http://schemas.openxmlformats.org/officeDocument/2006/relationships/hyperlink" Id="rId80" Target="https://doi.org/10.1007/s12237-017-0287-1" TargetMode="External" /><Relationship Type="http://schemas.openxmlformats.org/officeDocument/2006/relationships/hyperlink" Id="rId85" Target="https://doi.org/10.1016/S0265-931X(00)00164-8" TargetMode="External" /><Relationship Type="http://schemas.openxmlformats.org/officeDocument/2006/relationships/hyperlink" Id="rId138" Target="https://doi.org/10.1016/j.apgeochem.2010.02.003" TargetMode="External" /><Relationship Type="http://schemas.openxmlformats.org/officeDocument/2006/relationships/hyperlink" Id="rId140" Target="https://doi.org/10.1016/j.atmosenv.2012.12.030" TargetMode="External" /><Relationship Type="http://schemas.openxmlformats.org/officeDocument/2006/relationships/hyperlink" Id="rId145" Target="https://doi.org/10.1016/j.ecolind.2020.107310" TargetMode="External" /><Relationship Type="http://schemas.openxmlformats.org/officeDocument/2006/relationships/hyperlink" Id="rId109" Target="https://doi.org/10.1016/j.ecss.2014.10.003" TargetMode="External" /><Relationship Type="http://schemas.openxmlformats.org/officeDocument/2006/relationships/hyperlink" Id="rId152" Target="https://doi.org/10.1016/j.jembe.2005.11.025" TargetMode="External" /><Relationship Type="http://schemas.openxmlformats.org/officeDocument/2006/relationships/hyperlink" Id="rId155" Target="https://doi.org/10.1016/j.jenvman.2009.03.007" TargetMode="External" /><Relationship Type="http://schemas.openxmlformats.org/officeDocument/2006/relationships/hyperlink" Id="rId102" Target="https://doi.org/10.1016/j.marpolbul.2010.11.017" TargetMode="External" /><Relationship Type="http://schemas.openxmlformats.org/officeDocument/2006/relationships/hyperlink" Id="rId100" Target="https://doi.org/10.1016/j.marpolbul.2015.10.047" TargetMode="External" /><Relationship Type="http://schemas.openxmlformats.org/officeDocument/2006/relationships/hyperlink" Id="rId128" Target="https://doi.org/10.1016/j.ocecoaman.2005.07.002" TargetMode="External" /><Relationship Type="http://schemas.openxmlformats.org/officeDocument/2006/relationships/hyperlink" Id="rId136" Target="https://doi.org/10.1016/j.scitotenv.2016.02.070" TargetMode="External" /><Relationship Type="http://schemas.openxmlformats.org/officeDocument/2006/relationships/hyperlink" Id="rId89" Target="https://doi.org/10.1029/2018JC014890" TargetMode="External" /><Relationship Type="http://schemas.openxmlformats.org/officeDocument/2006/relationships/hyperlink" Id="rId131" Target="https://doi.org/10.1080/00785236.1995.10422044" TargetMode="External" /><Relationship Type="http://schemas.openxmlformats.org/officeDocument/2006/relationships/hyperlink" Id="rId149" Target="https://doi.org/10.1353/sgo.2017.0026" TargetMode="External" /><Relationship Type="http://schemas.openxmlformats.org/officeDocument/2006/relationships/hyperlink" Id="rId126" Target="https://doi.org/10.18637/jss.v025.i01" TargetMode="External" /><Relationship Type="http://schemas.openxmlformats.org/officeDocument/2006/relationships/hyperlink" Id="rId78" Target="https://doi.org/10.18785/gcr.2901.02" TargetMode="External" /><Relationship Type="http://schemas.openxmlformats.org/officeDocument/2006/relationships/hyperlink" Id="rId91" Target="https://doi.org/10.1890/1051-0761(2006)016[1405:UOGMAI]2.0.CO;2" TargetMode="External" /><Relationship Type="http://schemas.openxmlformats.org/officeDocument/2006/relationships/hyperlink" Id="rId160" Target="https://doi.org/10.21105/joss.01686" TargetMode="External" /><Relationship Type="http://schemas.openxmlformats.org/officeDocument/2006/relationships/hyperlink" Id="rId117" Target="https://doi.org/10.2113/gselements.7.6.375" TargetMode="External" /><Relationship Type="http://schemas.openxmlformats.org/officeDocument/2006/relationships/hyperlink" Id="rId134" Target="https://doi.org/10.32614/RJ-2018-009" TargetMode="External" /><Relationship Type="http://schemas.openxmlformats.org/officeDocument/2006/relationships/hyperlink" Id="rId104" Target="https://doi.org/10.3389/fmars.2021.605858" TargetMode="External" /><Relationship Type="http://schemas.openxmlformats.org/officeDocument/2006/relationships/hyperlink" Id="rId75" Target="https://doi.org/10.4319/lo.1976.21.2.0212" TargetMode="External" /><Relationship Type="http://schemas.openxmlformats.org/officeDocument/2006/relationships/hyperlink" Id="rId157" Target="https://doi.org/10.4319/lo.1997.42.5_part_2.1105" TargetMode="External" /><Relationship Type="http://schemas.openxmlformats.org/officeDocument/2006/relationships/hyperlink" Id="rId114" Target="https://doi.org/10.4319/lo.2006.51.1_part_2.0364" TargetMode="External" /><Relationship Type="http://schemas.openxmlformats.org/officeDocument/2006/relationships/hyperlink" Id="rId40" Target="https://drive.google.com/drive/u/0/folders/1oBGvjdve-Gpo4Kn3Ovn8a8-yVoP25eec" TargetMode="External" /><Relationship Type="http://schemas.openxmlformats.org/officeDocument/2006/relationships/hyperlink" Id="rId37" Target="https://floridadep.gov/sites/default/files/21-0323.pdf" TargetMode="External" /><Relationship Type="http://schemas.openxmlformats.org/officeDocument/2006/relationships/hyperlink" Id="rId36" Target="https://geodata.dep.state.fl.us/datasets/6277c3b1eeae4a818f8683fc29e6b35b_0/about" TargetMode="External" /><Relationship Type="http://schemas.openxmlformats.org/officeDocument/2006/relationships/hyperlink" Id="rId42" Target="https://habsos.noaa.gov/" TargetMode="External" /><Relationship Type="http://schemas.openxmlformats.org/officeDocument/2006/relationships/hyperlink" Id="rId58" Target="https://myfwc.com/media/25649/2021preliminaryredtide.pdf" TargetMode="External" /><Relationship Type="http://schemas.openxmlformats.org/officeDocument/2006/relationships/hyperlink" Id="rId59" Target="https://myfwc.com/research/manatee/rescue-mortality-response/ume/" TargetMode="External" /><Relationship Type="http://schemas.openxmlformats.org/officeDocument/2006/relationships/hyperlink" Id="rId55" Target="https://prodenv.dep.state.fl.us/DepPNP/reports/viewIncidentDetails" TargetMode="External" /><Relationship Type="http://schemas.openxmlformats.org/officeDocument/2006/relationships/hyperlink" Id="rId72" Target="https://public.myfwc.com/FWRI/FishKillReport/" TargetMode="External" /><Relationship Type="http://schemas.openxmlformats.org/officeDocument/2006/relationships/hyperlink" Id="rId43" Target="https://public.myfwc.com/fwri/FishKillReport/searchresults.aspx" TargetMode="External" /><Relationship Type="http://schemas.openxmlformats.org/officeDocument/2006/relationships/hyperlink" Id="rId57" Target="https://tbep-tech.github.io/piney-point-analysis/benthic" TargetMode="External" /><Relationship Type="http://schemas.openxmlformats.org/officeDocument/2006/relationships/hyperlink" Id="rId56" Target="https://tbep-tech.github.io/piney-point-analysis/spills" TargetMode="External" /><Relationship Type="http://schemas.openxmlformats.org/officeDocument/2006/relationships/hyperlink" Id="rId41" Target="https://tbep.org/our-work/boards-committees/technical-advisory-committee/#ramp" TargetMode="External" /><Relationship Type="http://schemas.openxmlformats.org/officeDocument/2006/relationships/hyperlink" Id="rId45" Target="https://wateratlas.usf.edu/" TargetMode="External" /><Relationship Type="http://schemas.openxmlformats.org/officeDocument/2006/relationships/hyperlink" Id="rId96" Target="https://www.jstor.org/stable/24322132" TargetMode="External" /><Relationship Type="http://schemas.openxmlformats.org/officeDocument/2006/relationships/hyperlink" Id="rId71" Target="https://www.ncei.noaa.gov/maps/habsos" TargetMode="External" /><Relationship Type="http://schemas.openxmlformats.org/officeDocument/2006/relationships/hyperlink" Id="rId28"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2" Target="mailto:dave@sarasotabay.org" TargetMode="External" /><Relationship Type="http://schemas.openxmlformats.org/officeDocument/2006/relationships/hyperlink" Id="rId23" Target="mailto:diwchin@gmail.com" TargetMode="External" /><Relationship Type="http://schemas.openxmlformats.org/officeDocument/2006/relationships/hyperlink" Id="rId24" Target="mailto:edontis@co.pinellas.fl.us" TargetMode="External" /><Relationship Type="http://schemas.openxmlformats.org/officeDocument/2006/relationships/hyperlink" Id="rId27" Target="mailto:elise.morrison@essie.ufl.edu" TargetMode="External" /><Relationship Type="http://schemas.openxmlformats.org/officeDocument/2006/relationships/hyperlink" Id="rId31" Target="mailto:esherwood@tbep.org" TargetMode="External" /><Relationship Type="http://schemas.openxmlformats.org/officeDocument/2006/relationships/hyperlink" Id="rId29" Target="mailto:graulerson@tbep.org" TargetMode="External" /><Relationship Type="http://schemas.openxmlformats.org/officeDocument/2006/relationships/hyperlink" Id="rId25" Target="mailto:jlewis@tbep.org" TargetMode="External" /><Relationship Type="http://schemas.openxmlformats.org/officeDocument/2006/relationships/hyperlink" Id="rId34"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6" Target="mailto:miles.medina@ufl.edu" TargetMode="External" /><Relationship Type="http://schemas.openxmlformats.org/officeDocument/2006/relationships/hyperlink" Id="rId33" Target="mailto:nijole.wellendorf@floridadep.org" TargetMode="External" /><Relationship Type="http://schemas.openxmlformats.org/officeDocument/2006/relationships/hyperlink" Id="rId30"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98" Target="https://doi.org/10.1007/s00027-011-0180-0" TargetMode="External" /><Relationship Type="http://schemas.openxmlformats.org/officeDocument/2006/relationships/hyperlink" Id="rId106" Target="https://doi.org/10.1007/s00267-005-0079-4" TargetMode="External" /><Relationship Type="http://schemas.openxmlformats.org/officeDocument/2006/relationships/hyperlink" Id="rId147" Target="https://doi.org/10.1007/s00267-013-0179-5" TargetMode="External" /><Relationship Type="http://schemas.openxmlformats.org/officeDocument/2006/relationships/hyperlink" Id="rId143" Target="https://doi.org/10.1007/s11270-013-1742-7" TargetMode="External" /><Relationship Type="http://schemas.openxmlformats.org/officeDocument/2006/relationships/hyperlink" Id="rId87" Target="https://doi.org/10.1007/s12237-013-9701-5" TargetMode="External" /><Relationship Type="http://schemas.openxmlformats.org/officeDocument/2006/relationships/hyperlink" Id="rId80" Target="https://doi.org/10.1007/s12237-017-0287-1" TargetMode="External" /><Relationship Type="http://schemas.openxmlformats.org/officeDocument/2006/relationships/hyperlink" Id="rId85" Target="https://doi.org/10.1016/S0265-931X(00)00164-8" TargetMode="External" /><Relationship Type="http://schemas.openxmlformats.org/officeDocument/2006/relationships/hyperlink" Id="rId138" Target="https://doi.org/10.1016/j.apgeochem.2010.02.003" TargetMode="External" /><Relationship Type="http://schemas.openxmlformats.org/officeDocument/2006/relationships/hyperlink" Id="rId140" Target="https://doi.org/10.1016/j.atmosenv.2012.12.030" TargetMode="External" /><Relationship Type="http://schemas.openxmlformats.org/officeDocument/2006/relationships/hyperlink" Id="rId145" Target="https://doi.org/10.1016/j.ecolind.2020.107310" TargetMode="External" /><Relationship Type="http://schemas.openxmlformats.org/officeDocument/2006/relationships/hyperlink" Id="rId109" Target="https://doi.org/10.1016/j.ecss.2014.10.003" TargetMode="External" /><Relationship Type="http://schemas.openxmlformats.org/officeDocument/2006/relationships/hyperlink" Id="rId152" Target="https://doi.org/10.1016/j.jembe.2005.11.025" TargetMode="External" /><Relationship Type="http://schemas.openxmlformats.org/officeDocument/2006/relationships/hyperlink" Id="rId155" Target="https://doi.org/10.1016/j.jenvman.2009.03.007" TargetMode="External" /><Relationship Type="http://schemas.openxmlformats.org/officeDocument/2006/relationships/hyperlink" Id="rId102" Target="https://doi.org/10.1016/j.marpolbul.2010.11.017" TargetMode="External" /><Relationship Type="http://schemas.openxmlformats.org/officeDocument/2006/relationships/hyperlink" Id="rId100" Target="https://doi.org/10.1016/j.marpolbul.2015.10.047" TargetMode="External" /><Relationship Type="http://schemas.openxmlformats.org/officeDocument/2006/relationships/hyperlink" Id="rId128" Target="https://doi.org/10.1016/j.ocecoaman.2005.07.002" TargetMode="External" /><Relationship Type="http://schemas.openxmlformats.org/officeDocument/2006/relationships/hyperlink" Id="rId136" Target="https://doi.org/10.1016/j.scitotenv.2016.02.070" TargetMode="External" /><Relationship Type="http://schemas.openxmlformats.org/officeDocument/2006/relationships/hyperlink" Id="rId89" Target="https://doi.org/10.1029/2018JC014890" TargetMode="External" /><Relationship Type="http://schemas.openxmlformats.org/officeDocument/2006/relationships/hyperlink" Id="rId131" Target="https://doi.org/10.1080/00785236.1995.10422044" TargetMode="External" /><Relationship Type="http://schemas.openxmlformats.org/officeDocument/2006/relationships/hyperlink" Id="rId149" Target="https://doi.org/10.1353/sgo.2017.0026" TargetMode="External" /><Relationship Type="http://schemas.openxmlformats.org/officeDocument/2006/relationships/hyperlink" Id="rId126" Target="https://doi.org/10.18637/jss.v025.i01" TargetMode="External" /><Relationship Type="http://schemas.openxmlformats.org/officeDocument/2006/relationships/hyperlink" Id="rId78" Target="https://doi.org/10.18785/gcr.2901.02" TargetMode="External" /><Relationship Type="http://schemas.openxmlformats.org/officeDocument/2006/relationships/hyperlink" Id="rId91" Target="https://doi.org/10.1890/1051-0761(2006)016[1405:UOGMAI]2.0.CO;2" TargetMode="External" /><Relationship Type="http://schemas.openxmlformats.org/officeDocument/2006/relationships/hyperlink" Id="rId160" Target="https://doi.org/10.21105/joss.01686" TargetMode="External" /><Relationship Type="http://schemas.openxmlformats.org/officeDocument/2006/relationships/hyperlink" Id="rId117" Target="https://doi.org/10.2113/gselements.7.6.375" TargetMode="External" /><Relationship Type="http://schemas.openxmlformats.org/officeDocument/2006/relationships/hyperlink" Id="rId134" Target="https://doi.org/10.32614/RJ-2018-009" TargetMode="External" /><Relationship Type="http://schemas.openxmlformats.org/officeDocument/2006/relationships/hyperlink" Id="rId104" Target="https://doi.org/10.3389/fmars.2021.605858" TargetMode="External" /><Relationship Type="http://schemas.openxmlformats.org/officeDocument/2006/relationships/hyperlink" Id="rId75" Target="https://doi.org/10.4319/lo.1976.21.2.0212" TargetMode="External" /><Relationship Type="http://schemas.openxmlformats.org/officeDocument/2006/relationships/hyperlink" Id="rId157" Target="https://doi.org/10.4319/lo.1997.42.5_part_2.1105" TargetMode="External" /><Relationship Type="http://schemas.openxmlformats.org/officeDocument/2006/relationships/hyperlink" Id="rId114" Target="https://doi.org/10.4319/lo.2006.51.1_part_2.0364" TargetMode="External" /><Relationship Type="http://schemas.openxmlformats.org/officeDocument/2006/relationships/hyperlink" Id="rId40" Target="https://drive.google.com/drive/u/0/folders/1oBGvjdve-Gpo4Kn3Ovn8a8-yVoP25eec" TargetMode="External" /><Relationship Type="http://schemas.openxmlformats.org/officeDocument/2006/relationships/hyperlink" Id="rId37" Target="https://floridadep.gov/sites/default/files/21-0323.pdf" TargetMode="External" /><Relationship Type="http://schemas.openxmlformats.org/officeDocument/2006/relationships/hyperlink" Id="rId36" Target="https://geodata.dep.state.fl.us/datasets/6277c3b1eeae4a818f8683fc29e6b35b_0/about" TargetMode="External" /><Relationship Type="http://schemas.openxmlformats.org/officeDocument/2006/relationships/hyperlink" Id="rId42" Target="https://habsos.noaa.gov/" TargetMode="External" /><Relationship Type="http://schemas.openxmlformats.org/officeDocument/2006/relationships/hyperlink" Id="rId58" Target="https://myfwc.com/media/25649/2021preliminaryredtide.pdf" TargetMode="External" /><Relationship Type="http://schemas.openxmlformats.org/officeDocument/2006/relationships/hyperlink" Id="rId59" Target="https://myfwc.com/research/manatee/rescue-mortality-response/ume/" TargetMode="External" /><Relationship Type="http://schemas.openxmlformats.org/officeDocument/2006/relationships/hyperlink" Id="rId55" Target="https://prodenv.dep.state.fl.us/DepPNP/reports/viewIncidentDetails" TargetMode="External" /><Relationship Type="http://schemas.openxmlformats.org/officeDocument/2006/relationships/hyperlink" Id="rId72" Target="https://public.myfwc.com/FWRI/FishKillReport/" TargetMode="External" /><Relationship Type="http://schemas.openxmlformats.org/officeDocument/2006/relationships/hyperlink" Id="rId43" Target="https://public.myfwc.com/fwri/FishKillReport/searchresults.aspx" TargetMode="External" /><Relationship Type="http://schemas.openxmlformats.org/officeDocument/2006/relationships/hyperlink" Id="rId57" Target="https://tbep-tech.github.io/piney-point-analysis/benthic" TargetMode="External" /><Relationship Type="http://schemas.openxmlformats.org/officeDocument/2006/relationships/hyperlink" Id="rId56" Target="https://tbep-tech.github.io/piney-point-analysis/spills" TargetMode="External" /><Relationship Type="http://schemas.openxmlformats.org/officeDocument/2006/relationships/hyperlink" Id="rId41" Target="https://tbep.org/our-work/boards-committees/technical-advisory-committee/#ramp" TargetMode="External" /><Relationship Type="http://schemas.openxmlformats.org/officeDocument/2006/relationships/hyperlink" Id="rId45" Target="https://wateratlas.usf.edu/" TargetMode="External" /><Relationship Type="http://schemas.openxmlformats.org/officeDocument/2006/relationships/hyperlink" Id="rId96" Target="https://www.jstor.org/stable/24322132" TargetMode="External" /><Relationship Type="http://schemas.openxmlformats.org/officeDocument/2006/relationships/hyperlink" Id="rId71" Target="https://www.ncei.noaa.gov/maps/habsos" TargetMode="External" /><Relationship Type="http://schemas.openxmlformats.org/officeDocument/2006/relationships/hyperlink" Id="rId28"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2" Target="mailto:dave@sarasotabay.org" TargetMode="External" /><Relationship Type="http://schemas.openxmlformats.org/officeDocument/2006/relationships/hyperlink" Id="rId23" Target="mailto:diwchin@gmail.com" TargetMode="External" /><Relationship Type="http://schemas.openxmlformats.org/officeDocument/2006/relationships/hyperlink" Id="rId24" Target="mailto:edontis@co.pinellas.fl.us" TargetMode="External" /><Relationship Type="http://schemas.openxmlformats.org/officeDocument/2006/relationships/hyperlink" Id="rId27" Target="mailto:elise.morrison@essie.ufl.edu" TargetMode="External" /><Relationship Type="http://schemas.openxmlformats.org/officeDocument/2006/relationships/hyperlink" Id="rId31" Target="mailto:esherwood@tbep.org" TargetMode="External" /><Relationship Type="http://schemas.openxmlformats.org/officeDocument/2006/relationships/hyperlink" Id="rId29" Target="mailto:graulerson@tbep.org" TargetMode="External" /><Relationship Type="http://schemas.openxmlformats.org/officeDocument/2006/relationships/hyperlink" Id="rId25" Target="mailto:jlewis@tbep.org" TargetMode="External" /><Relationship Type="http://schemas.openxmlformats.org/officeDocument/2006/relationships/hyperlink" Id="rId34"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6" Target="mailto:miles.medina@ufl.edu" TargetMode="External" /><Relationship Type="http://schemas.openxmlformats.org/officeDocument/2006/relationships/hyperlink" Id="rId33" Target="mailto:nijole.wellendorf@floridadep.org" TargetMode="External" /><Relationship Type="http://schemas.openxmlformats.org/officeDocument/2006/relationships/hyperlink" Id="rId30"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estuarine response to the nutrient dense Piney Point wastewater discharge into Tampa Bay, Florida</dc:title>
  <dc:creator>Marcus W. Beck (mbeck@tbep.org), Andrew Altieri (andrew.altieri@essie.ufl.edu), Maya C. Burke (mburke@tbep.org), Diana W. Chin (diwchin@gmail.com), Emma E. Dontis (edontis@co.pinellas.fl.us), Jessica Lewis (jlewis@tbep.org), Miles Medina (miles.medina@ufl.edu), Elise Morrison (elise.morrison@essie.ufl.edu), Mark Rains (Mark.Rains@floridadep.gov), Gary E. Raulerson (graulerson@tbep.org), Sheila Scolaro (sscolar@tbep.org), Ed T. Sherwood (esherwood@tbep.org), David Tomasko (dave@sarasotabay.org), Nijole Wellendorf (nijole.wellendorf@floridadep.org), Joe Whalen (jwhalen@tbep.org)</dc:creator>
  <cp:keywords/>
  <dcterms:created xsi:type="dcterms:W3CDTF">2021-09-19T14:59:33Z</dcterms:created>
  <dcterms:modified xsi:type="dcterms:W3CDTF">2021-09-19T14:59:33Z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