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jpg" ContentType="image/jpeg"/>
  <Override PartName="/word/media/rId55.jpg" ContentType="image/jpeg"/>
  <Override PartName="/word/media/rId59.jpg" ContentType="image/jpeg"/>
  <Override PartName="/word/media/rId56.jpg" ContentType="image/jpeg"/>
  <Override PartName="/word/media/rId60.jpg" ContentType="image/jpeg"/>
  <Override PartName="/word/media/rId61.jpg" ContentType="image/jpeg"/>
  <Override PartName="/word/media/rId57.jpg" ContentType="image/jpeg"/>
  <Override PartName="/word/media/rId58.jpg" ContentType="image/jpeg"/>
  <Override PartName="/word/media/rId6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2021-08-27 14:12:31</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6503 samples were collected for chl-a, dissolved oxygen, total nitrogen, total phosphorus, total ammonia nitrogen, nitrate/nitrite, pH, salinity, secchi depth, and temperature (Table</w:t>
      </w:r>
      <w:r>
        <w:t xml:space="preserve"> </w:t>
      </w:r>
      <w:r>
        <w:t xml:space="preserve">2</w:t>
      </w:r>
      <w:r>
        <w:t xml:space="preserve">). Of these samples, 9.9% were outside of the normal range defined by the long-term monthly monitoring data for the baseline period from 2006 to 2020 (below for Secchi depth, above for all others). The percent of observations outside of the normal range varied by location and parameter. For chl-a, 51% of the observations were above the normal range for area 1, whereas only 9% and 24% were above for areas 2 and 3, respectively. Similarly, total nitrogen concentrations were above the normal range for 40% of observations in area 1, whereas concentrations were above for only 12% and 23% of observations in areas 2 and 3. Secchi observations for the period of observation were below the normal range for 46% of observations in area 1 and for 24% and 44% of observations in areas 2 and 3. Notable differences were also observed for dissolved oxygen (e.g., 50% were above in area 1, 48% in area 2). Physical parameters (salinity, temperature) were generally within range over the five month period. Inorganic nitrogen (ammonia, nitrate/nitrite) were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 1, total nitrogen and chl-a for area 2, and chl-a and secchi depth for area 3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p>
      <w:pPr>
        <w:pStyle w:val="BodyText"/>
      </w:pPr>
      <w:r>
        <w:t xml:space="preserve">Multivariate assessments of all water quality parameters that combined results across weeks by area showed significant associations between groups of variables (Figure</w:t>
      </w:r>
      <w:r>
        <w:t xml:space="preserve"> </w:t>
      </w:r>
      <w:r>
        <w:t xml:space="preserve">5</w:t>
      </w:r>
      <w:r>
        <w:t xml:space="preserve">). The first principal component explained 41%, 74%, and 47% of the variation among water quality parameters for areas 1, 2, and 3, respectively. These components generally described a positive association between nutrients and chlorophyll concentrations and a negative association with secchi depth and dissolved oxygen. The second and third principal components explained less of the variation among water quality parameters, such that 36%, 20%, and 34% was explained by both axes for areas 1, 2, and 3, respectively. The patterns explained by these axes were less clear, although physical drivers were partially explained in some cases (e.g., component 2 for area 2 explained a positive association for salinity and temperature, Figure</w:t>
      </w:r>
      <w:r>
        <w:t xml:space="preserve"> </w:t>
      </w:r>
      <w:r>
        <w:t xml:space="preserve">5</w:t>
      </w:r>
      <w:r>
        <w:t xml:space="preserve">b). Spearman rank correlations between the pairs of variables used for each of the PCAs showed significant associations. Total nitrogen was positively correlated with chlorophyll and negatively associated with secchi depth for areas 1 and 2 (</w:t>
      </w:r>
      <m:oMath>
        <m:r>
          <m:t>p</m:t>
        </m:r>
        <m:r>
          <m:rPr>
            <m:sty m:val="p"/>
          </m:rPr>
          <m:t>&lt;</m:t>
        </m:r>
        <m:r>
          <m:t>0.005</m:t>
        </m:r>
      </m:oMath>
      <w:r>
        <w:t xml:space="preserve"> </w:t>
      </w:r>
      <w:r>
        <w:t xml:space="preserve">and</w:t>
      </w:r>
      <w:r>
        <w:t xml:space="preserve"> </w:t>
      </w:r>
      <m:oMath>
        <m:r>
          <m:t>p</m:t>
        </m:r>
        <m:r>
          <m:rPr>
            <m:sty m:val="p"/>
          </m:rPr>
          <m:t>&lt;</m:t>
        </m:r>
        <m:r>
          <m:t>0.05</m:t>
        </m:r>
      </m:oMath>
      <w:r>
        <w:t xml:space="preserve">, respectively). Dissolved oxygen was negatively associated with chl-a only in area 3 (</w:t>
      </w:r>
      <m:oMath>
        <m:r>
          <m:t>p</m:t>
        </m:r>
        <m:r>
          <m:rPr>
            <m:sty m:val="p"/>
          </m:rPr>
          <m:t>&lt;</m:t>
        </m:r>
        <m:r>
          <m:t>0.005</m:t>
        </m:r>
      </m:oMath>
      <w:r>
        <w:t xml:space="preserve">), although the temporal progression likely changed over time in the other areas (e.g., increase followed by decrease). Temperature generally had a positive association with chlorophyll (</w:t>
      </w:r>
      <m:oMath>
        <m:r>
          <m:t>p</m:t>
        </m:r>
        <m:r>
          <m:rPr>
            <m:sty m:val="p"/>
          </m:rPr>
          <m:t>&lt;</m:t>
        </m:r>
        <m:r>
          <m:t>0.05</m:t>
        </m:r>
      </m:oMath>
      <w:r>
        <w:t xml:space="preserve"> </w:t>
      </w:r>
      <w:r>
        <w:t xml:space="preserve">for area 2,</w:t>
      </w:r>
      <w:r>
        <w:t xml:space="preserve"> </w:t>
      </w:r>
      <m:oMath>
        <m:r>
          <m:t>p</m:t>
        </m:r>
        <m:r>
          <m:rPr>
            <m:sty m:val="p"/>
          </m:rPr>
          <m:t>&lt;</m:t>
        </m:r>
        <m:r>
          <m:t>0.005</m:t>
        </m:r>
      </m:oMath>
      <w:r>
        <w:t xml:space="preserve"> </w:t>
      </w:r>
      <w:r>
        <w:t xml:space="preserve">for area 3). pH was positively associated with chl-a in areas 1 and 2 (</w:t>
      </w:r>
      <m:oMath>
        <m:r>
          <m:t>p</m:t>
        </m:r>
        <m:r>
          <m:rPr>
            <m:sty m:val="p"/>
          </m:rPr>
          <m:t>&lt;</m:t>
        </m:r>
        <m:r>
          <m:t>0.05</m:t>
        </m:r>
      </m:oMath>
      <w:r>
        <w:t xml:space="preserve"> </w:t>
      </w:r>
      <w:r>
        <w:t xml:space="preserve">for both).</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6</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7</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7</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6</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shows significant assocations between groups of variables (Figure</w:t>
      </w:r>
      <w:r>
        <w:t xml:space="preserve"> </w:t>
      </w:r>
      <w:r>
        <w:t xml:space="preserve">8</w:t>
      </w:r>
      <w:r>
        <w:t xml:space="preserve">). The first principal component axis explained 31% of the variation among all variables, whereas the second and third axes explained 33% of the remaining variation. For the water quality varialbes, the first principal component axis had positive loadings for secchi depth and dissolved oyxgen and negatative assocations for total nitrogen, chl-a, and temperature. For macroalgae, the first axis was positively associated with frequency occurrence of red and green macroalgae and negatively associated with cyanobacteria. Loading vectors for the seagrasses were minor, although turtle grass (</w:t>
      </w:r>
      <w:r>
        <w:rPr>
          <w:iCs/>
          <w:i/>
        </w:rPr>
        <w:t xml:space="preserve">T. testudinum</w:t>
      </w:r>
      <w:r>
        <w:t xml:space="preserve">) had a weak positive association with axis 1. The second principal component axis had a strong postive assocation with total phosphorus and negative association with salinity. The third axis showed a strong positive association with manatee grass (</w:t>
      </w:r>
      <w:r>
        <w:rPr>
          <w:iCs/>
          <w:i/>
        </w:rPr>
        <w:t xml:space="preserve">S. filiforme</w:t>
      </w:r>
      <w:r>
        <w:t xml:space="preserve">) and negative association with shoal grass (</w:t>
      </w:r>
      <w:r>
        <w:rPr>
          <w:iCs/>
          <w:i/>
        </w:rPr>
        <w:t xml:space="preserve">H. wrightii</w:t>
      </w:r>
      <w:r>
        <w:t xml:space="preserve">).</w:t>
      </w:r>
    </w:p>
    <w:p>
      <w:pPr>
        <w:pStyle w:val="BodyText"/>
      </w:pPr>
      <w:r>
        <w:t xml:space="preserve">Pairwise Spearman rank correlations for the same variables used in the PCA showed significant associations among several of the water quality, seagrass, and macroalgae variables. Chlorophyll-a was positively correlated with total phosphorus, total nitrogen, temperature, and pH (all</w:t>
      </w:r>
      <w:r>
        <w:t xml:space="preserve"> </w:t>
      </w:r>
      <m:oMath>
        <m:r>
          <m:t>p</m:t>
        </m:r>
        <m:r>
          <m:rPr>
            <m:sty m:val="p"/>
          </m:rPr>
          <m:t>&lt;</m:t>
        </m:r>
        <m:r>
          <m:t>0.005</m:t>
        </m:r>
      </m:oMath>
      <w:r>
        <w:t xml:space="preserve">) and negatively correlated with secchi depth (</w:t>
      </w:r>
      <m:oMath>
        <m:r>
          <m:t>p</m:t>
        </m:r>
        <m:r>
          <m:rPr>
            <m:sty m:val="p"/>
          </m:rPr>
          <m:t>&lt;</m:t>
        </m:r>
        <m:r>
          <m:t>0.005</m:t>
        </m:r>
      </m:oMath>
      <w:r>
        <w:t xml:space="preserve">). Chlorophyll-a was also negatively correlated red and green macroalgae (</w:t>
      </w:r>
      <m:oMath>
        <m:r>
          <m:t>p</m:t>
        </m:r>
        <m:r>
          <m:rPr>
            <m:sty m:val="p"/>
          </m:rPr>
          <m:t>&lt;</m:t>
        </m:r>
        <m:r>
          <m:t>0.05</m:t>
        </m:r>
      </m:oMath>
      <w:r>
        <w:t xml:space="preserve">) and turtle grass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For water quality and seagrass, chl-a, total nitrogen, and total phosphorus was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t>
      </w:r>
      <w:r>
        <w:t xml:space="preserve">for both),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 Among the seagrasses, manatee grass was negatively correlated with turtle grass and shoal grass (</w:t>
      </w:r>
      <m:oMath>
        <m:r>
          <m:t>p</m:t>
        </m:r>
        <m:r>
          <m:rPr>
            <m:sty m:val="p"/>
          </m:rPr>
          <m:t>&lt;</m:t>
        </m:r>
        <m:r>
          <m:t>0.005</m:t>
        </m:r>
      </m:oMath>
      <w:r>
        <w:t xml:space="preserve"> </w:t>
      </w:r>
      <w:r>
        <w:t xml:space="preserve">for both).</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3" w:name="discussion"/>
    <w:p>
      <w:pPr>
        <w:pStyle w:val="Heading1"/>
      </w:pPr>
      <w:r>
        <w:t xml:space="preserve">Discussion</w:t>
      </w:r>
    </w:p>
    <w:p>
      <w:pPr>
        <w:numPr>
          <w:ilvl w:val="0"/>
          <w:numId w:val="1001"/>
        </w:numPr>
        <w:pStyle w:val="Compact"/>
      </w:pPr>
      <w:r>
        <w:t xml:space="preserve">Explain results - what’s up with inorganic nutrients? Likely driving phyto response but concentrations are not a good indicator. Uptake is rapid…</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2">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3"/>
    <w:bookmarkStart w:id="54" w:name="acknowledgments"/>
    <w:p>
      <w:pPr>
        <w:pStyle w:val="Heading1"/>
      </w:pPr>
      <w:r>
        <w:t xml:space="preserve">Acknowledgments</w:t>
      </w:r>
    </w:p>
    <w:bookmarkEnd w:id="54"/>
    <w:bookmarkStart w:id="66"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5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59"/>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0"/>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62"/>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4">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5">
        <w:r>
          <w:rPr>
            <w:rStyle w:val="Hyperlink"/>
          </w:rPr>
          <w:t xml:space="preserve">https://public.myfwc.com/FWRI/FishKillReport/</w:t>
        </w:r>
      </w:hyperlink>
      <w:r>
        <w:t xml:space="preserve">).</w:t>
      </w:r>
    </w:p>
    <w:bookmarkEnd w:id="66"/>
    <w:bookmarkStart w:id="67"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40.9</w:t>
            </w:r>
          </w:p>
        </w:tc>
        <w:tc>
          <w:p>
            <w:pPr>
              <w:pStyle w:val="Compact"/>
              <w:jc w:val="right"/>
            </w:pPr>
            <w:r>
              <w:t xml:space="preserve">50.7</w:t>
            </w:r>
          </w:p>
        </w:tc>
        <w:tc>
          <w:p>
            <w:pPr>
              <w:pStyle w:val="Compact"/>
              <w:jc w:val="right"/>
            </w:pPr>
            <w:r>
              <w:t xml:space="preserve">8.4</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26.9</w:t>
            </w:r>
          </w:p>
        </w:tc>
        <w:tc>
          <w:p>
            <w:pPr>
              <w:pStyle w:val="Compact"/>
              <w:jc w:val="right"/>
            </w:pPr>
            <w:r>
              <w:t xml:space="preserve">49.7</w:t>
            </w:r>
          </w:p>
        </w:tc>
        <w:tc>
          <w:p>
            <w:pPr>
              <w:pStyle w:val="Compact"/>
              <w:jc w:val="right"/>
            </w:pPr>
            <w:r>
              <w:t xml:space="preserve">23.3</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50.2</w:t>
            </w:r>
          </w:p>
        </w:tc>
        <w:tc>
          <w:p>
            <w:pPr>
              <w:pStyle w:val="Compact"/>
              <w:jc w:val="right"/>
            </w:pPr>
            <w:r>
              <w:t xml:space="preserve">23.0</w:t>
            </w:r>
          </w:p>
        </w:tc>
        <w:tc>
          <w:p>
            <w:pPr>
              <w:pStyle w:val="Compact"/>
              <w:jc w:val="right"/>
            </w:pPr>
            <w:r>
              <w:t xml:space="preserve">26.7</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47.5</w:t>
            </w:r>
          </w:p>
        </w:tc>
        <w:tc>
          <w:p>
            <w:pPr>
              <w:pStyle w:val="Compact"/>
              <w:jc w:val="right"/>
            </w:pPr>
            <w:r>
              <w:t xml:space="preserve">10.0</w:t>
            </w:r>
          </w:p>
        </w:tc>
        <w:tc>
          <w:p>
            <w:pPr>
              <w:pStyle w:val="Compact"/>
              <w:jc w:val="right"/>
            </w:pPr>
            <w:r>
              <w:t xml:space="preserve">42.5</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47.2</w:t>
            </w:r>
          </w:p>
        </w:tc>
        <w:tc>
          <w:p>
            <w:pPr>
              <w:pStyle w:val="Compact"/>
              <w:jc w:val="right"/>
            </w:pPr>
            <w:r>
              <w:t xml:space="preserve">38.7</w:t>
            </w:r>
          </w:p>
        </w:tc>
        <w:tc>
          <w:p>
            <w:pPr>
              <w:pStyle w:val="Compact"/>
              <w:jc w:val="right"/>
            </w:pPr>
            <w:r>
              <w:t xml:space="preserve">14.1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84.1</w:t>
            </w:r>
          </w:p>
        </w:tc>
        <w:tc>
          <w:p>
            <w:pPr>
              <w:pStyle w:val="Compact"/>
              <w:jc w:val="right"/>
            </w:pPr>
            <w:r>
              <w:t xml:space="preserve">4.8</w:t>
            </w:r>
          </w:p>
        </w:tc>
        <w:tc>
          <w:p>
            <w:pPr>
              <w:pStyle w:val="Compact"/>
              <w:jc w:val="right"/>
            </w:pPr>
            <w:r>
              <w:t xml:space="preserve">11.1</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38.4</w:t>
            </w:r>
          </w:p>
        </w:tc>
        <w:tc>
          <w:p>
            <w:pPr>
              <w:pStyle w:val="Compact"/>
              <w:jc w:val="right"/>
            </w:pPr>
            <w:r>
              <w:t xml:space="preserve">15.2</w:t>
            </w:r>
          </w:p>
        </w:tc>
        <w:tc>
          <w:p>
            <w:pPr>
              <w:pStyle w:val="Compact"/>
              <w:jc w:val="right"/>
            </w:pPr>
            <w:r>
              <w:t xml:space="preserve">46.4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63.3</w:t>
            </w:r>
          </w:p>
        </w:tc>
        <w:tc>
          <w:p>
            <w:pPr>
              <w:pStyle w:val="Compact"/>
              <w:jc w:val="right"/>
            </w:pPr>
            <w:r>
              <w:t xml:space="preserve">19.6</w:t>
            </w:r>
          </w:p>
        </w:tc>
        <w:tc>
          <w:p>
            <w:pPr>
              <w:pStyle w:val="Compact"/>
              <w:jc w:val="right"/>
            </w:pPr>
            <w:r>
              <w:t xml:space="preserve">17.1</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56.6</w:t>
            </w:r>
          </w:p>
        </w:tc>
        <w:tc>
          <w:p>
            <w:pPr>
              <w:pStyle w:val="Compact"/>
              <w:jc w:val="right"/>
            </w:pPr>
            <w:r>
              <w:t xml:space="preserve">39.9</w:t>
            </w:r>
          </w:p>
        </w:tc>
        <w:tc>
          <w:p>
            <w:pPr>
              <w:pStyle w:val="Compact"/>
              <w:jc w:val="right"/>
            </w:pPr>
            <w:r>
              <w:t xml:space="preserve">3.5</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59.7</w:t>
            </w:r>
          </w:p>
        </w:tc>
        <w:tc>
          <w:p>
            <w:pPr>
              <w:pStyle w:val="Compact"/>
              <w:jc w:val="right"/>
            </w:pPr>
            <w:r>
              <w:t xml:space="preserve">29.6</w:t>
            </w:r>
          </w:p>
        </w:tc>
        <w:tc>
          <w:p>
            <w:pPr>
              <w:pStyle w:val="Compact"/>
              <w:jc w:val="right"/>
            </w:pPr>
            <w:r>
              <w:t xml:space="preserve">10.7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63.6</w:t>
            </w:r>
          </w:p>
        </w:tc>
        <w:tc>
          <w:p>
            <w:pPr>
              <w:pStyle w:val="Compact"/>
              <w:jc w:val="right"/>
            </w:pPr>
            <w:r>
              <w:t xml:space="preserve">9.1</w:t>
            </w:r>
          </w:p>
        </w:tc>
        <w:tc>
          <w:p>
            <w:pPr>
              <w:pStyle w:val="Compact"/>
              <w:jc w:val="right"/>
            </w:pPr>
            <w:r>
              <w:t xml:space="preserve">27.3</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39.7</w:t>
            </w:r>
          </w:p>
        </w:tc>
        <w:tc>
          <w:p>
            <w:pPr>
              <w:pStyle w:val="Compact"/>
              <w:jc w:val="right"/>
            </w:pPr>
            <w:r>
              <w:t xml:space="preserve">47.6</w:t>
            </w:r>
          </w:p>
        </w:tc>
        <w:tc>
          <w:p>
            <w:pPr>
              <w:pStyle w:val="Compact"/>
              <w:jc w:val="right"/>
            </w:pPr>
            <w:r>
              <w:t xml:space="preserve">12.7</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74.2</w:t>
            </w:r>
          </w:p>
        </w:tc>
        <w:tc>
          <w:p>
            <w:pPr>
              <w:pStyle w:val="Compact"/>
              <w:jc w:val="right"/>
            </w:pPr>
            <w:r>
              <w:t xml:space="preserve">0.0</w:t>
            </w:r>
          </w:p>
        </w:tc>
        <w:tc>
          <w:p>
            <w:pPr>
              <w:pStyle w:val="Compact"/>
              <w:jc w:val="right"/>
            </w:pPr>
            <w:r>
              <w:t xml:space="preserve">25.8</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90.2</w:t>
            </w:r>
          </w:p>
        </w:tc>
        <w:tc>
          <w:p>
            <w:pPr>
              <w:pStyle w:val="Compact"/>
              <w:jc w:val="right"/>
            </w:pPr>
            <w:r>
              <w:t xml:space="preserve">2.4</w:t>
            </w:r>
          </w:p>
        </w:tc>
        <w:tc>
          <w:p>
            <w:pPr>
              <w:pStyle w:val="Compact"/>
              <w:jc w:val="right"/>
            </w:pPr>
            <w:r>
              <w:t xml:space="preserve">7.3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67.1</w:t>
            </w:r>
          </w:p>
        </w:tc>
        <w:tc>
          <w:p>
            <w:pPr>
              <w:pStyle w:val="Compact"/>
              <w:jc w:val="right"/>
            </w:pPr>
            <w:r>
              <w:t xml:space="preserve">18.3</w:t>
            </w:r>
          </w:p>
        </w:tc>
        <w:tc>
          <w:p>
            <w:pPr>
              <w:pStyle w:val="Compact"/>
              <w:jc w:val="right"/>
            </w:pPr>
            <w:r>
              <w:t xml:space="preserve">14.6</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93.7</w:t>
            </w:r>
          </w:p>
        </w:tc>
        <w:tc>
          <w:p>
            <w:pPr>
              <w:pStyle w:val="Compact"/>
              <w:jc w:val="right"/>
            </w:pPr>
            <w:r>
              <w:t xml:space="preserve">0.0</w:t>
            </w:r>
          </w:p>
        </w:tc>
        <w:tc>
          <w:p>
            <w:pPr>
              <w:pStyle w:val="Compact"/>
              <w:jc w:val="right"/>
            </w:pPr>
            <w:r>
              <w:t xml:space="preserve">6.3</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69.7</w:t>
            </w:r>
          </w:p>
        </w:tc>
        <w:tc>
          <w:p>
            <w:pPr>
              <w:pStyle w:val="Compact"/>
              <w:jc w:val="right"/>
            </w:pPr>
            <w:r>
              <w:t xml:space="preserve">6.1</w:t>
            </w:r>
          </w:p>
        </w:tc>
        <w:tc>
          <w:p>
            <w:pPr>
              <w:pStyle w:val="Compact"/>
              <w:jc w:val="right"/>
            </w:pPr>
            <w:r>
              <w:t xml:space="preserve">24.2</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69.8</w:t>
            </w:r>
          </w:p>
        </w:tc>
        <w:tc>
          <w:p>
            <w:pPr>
              <w:pStyle w:val="Compact"/>
              <w:jc w:val="right"/>
            </w:pPr>
            <w:r>
              <w:t xml:space="preserve">7.9</w:t>
            </w:r>
          </w:p>
        </w:tc>
        <w:tc>
          <w:p>
            <w:pPr>
              <w:pStyle w:val="Compact"/>
              <w:jc w:val="right"/>
            </w:pPr>
            <w:r>
              <w:t xml:space="preserve">22.2</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71.4</w:t>
            </w:r>
          </w:p>
        </w:tc>
        <w:tc>
          <w:p>
            <w:pPr>
              <w:pStyle w:val="Compact"/>
              <w:jc w:val="right"/>
            </w:pPr>
            <w:r>
              <w:t xml:space="preserve">12.2</w:t>
            </w:r>
          </w:p>
        </w:tc>
        <w:tc>
          <w:p>
            <w:pPr>
              <w:pStyle w:val="Compact"/>
              <w:jc w:val="right"/>
            </w:pPr>
            <w:r>
              <w:t xml:space="preserve">16.3</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20.0</w:t>
            </w:r>
          </w:p>
        </w:tc>
        <w:tc>
          <w:p>
            <w:pPr>
              <w:pStyle w:val="Compact"/>
              <w:jc w:val="right"/>
            </w:pPr>
            <w:r>
              <w:t xml:space="preserve">18.2</w:t>
            </w:r>
          </w:p>
        </w:tc>
        <w:tc>
          <w:p>
            <w:pPr>
              <w:pStyle w:val="Compact"/>
              <w:jc w:val="right"/>
            </w:pPr>
            <w:r>
              <w:t xml:space="preserve">61.8</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66.1</w:t>
            </w:r>
          </w:p>
        </w:tc>
        <w:tc>
          <w:p>
            <w:pPr>
              <w:pStyle w:val="Compact"/>
              <w:jc w:val="right"/>
            </w:pPr>
            <w:r>
              <w:t xml:space="preserve">24.0</w:t>
            </w:r>
          </w:p>
        </w:tc>
        <w:tc>
          <w:p>
            <w:pPr>
              <w:pStyle w:val="Compact"/>
              <w:jc w:val="right"/>
            </w:pPr>
            <w:r>
              <w:t xml:space="preserve">10.0</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56.3</w:t>
            </w:r>
          </w:p>
        </w:tc>
        <w:tc>
          <w:p>
            <w:pPr>
              <w:pStyle w:val="Compact"/>
              <w:jc w:val="right"/>
            </w:pPr>
            <w:r>
              <w:t xml:space="preserve">0.5</w:t>
            </w:r>
          </w:p>
        </w:tc>
        <w:tc>
          <w:p>
            <w:pPr>
              <w:pStyle w:val="Compact"/>
              <w:jc w:val="right"/>
            </w:pPr>
            <w:r>
              <w:t xml:space="preserve">43.2</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59.6</w:t>
            </w:r>
          </w:p>
        </w:tc>
        <w:tc>
          <w:p>
            <w:pPr>
              <w:pStyle w:val="Compact"/>
              <w:jc w:val="right"/>
            </w:pPr>
            <w:r>
              <w:t xml:space="preserve">6.2</w:t>
            </w:r>
          </w:p>
        </w:tc>
        <w:tc>
          <w:p>
            <w:pPr>
              <w:pStyle w:val="Compact"/>
              <w:jc w:val="right"/>
            </w:pPr>
            <w:r>
              <w:t xml:space="preserve">34.2</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62.3</w:t>
            </w:r>
          </w:p>
        </w:tc>
        <w:tc>
          <w:p>
            <w:pPr>
              <w:pStyle w:val="Compact"/>
              <w:jc w:val="right"/>
            </w:pPr>
            <w:r>
              <w:t xml:space="preserve">29.5</w:t>
            </w:r>
          </w:p>
        </w:tc>
        <w:tc>
          <w:p>
            <w:pPr>
              <w:pStyle w:val="Compact"/>
              <w:jc w:val="right"/>
            </w:pPr>
            <w:r>
              <w:t xml:space="preserve">8.2</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81.6</w:t>
            </w:r>
          </w:p>
        </w:tc>
        <w:tc>
          <w:p>
            <w:pPr>
              <w:pStyle w:val="Compact"/>
              <w:jc w:val="right"/>
            </w:pPr>
            <w:r>
              <w:t xml:space="preserve">8.6</w:t>
            </w:r>
          </w:p>
        </w:tc>
        <w:tc>
          <w:p>
            <w:pPr>
              <w:pStyle w:val="Compact"/>
              <w:jc w:val="right"/>
            </w:pPr>
            <w:r>
              <w:t xml:space="preserve">9.8</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43.0</w:t>
            </w:r>
          </w:p>
        </w:tc>
        <w:tc>
          <w:p>
            <w:pPr>
              <w:pStyle w:val="Compact"/>
              <w:jc w:val="right"/>
            </w:pPr>
            <w:r>
              <w:t xml:space="preserve">13.5</w:t>
            </w:r>
          </w:p>
        </w:tc>
        <w:tc>
          <w:p>
            <w:pPr>
              <w:pStyle w:val="Compact"/>
              <w:jc w:val="right"/>
            </w:pPr>
            <w:r>
              <w:t xml:space="preserve">43.5</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58.8</w:t>
            </w:r>
          </w:p>
        </w:tc>
        <w:tc>
          <w:p>
            <w:pPr>
              <w:pStyle w:val="Compact"/>
              <w:jc w:val="right"/>
            </w:pPr>
            <w:r>
              <w:t xml:space="preserve">16.1</w:t>
            </w:r>
          </w:p>
        </w:tc>
        <w:tc>
          <w:p>
            <w:pPr>
              <w:pStyle w:val="Compact"/>
              <w:jc w:val="right"/>
            </w:pPr>
            <w:r>
              <w:t xml:space="preserve">25.1</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73.2</w:t>
            </w:r>
          </w:p>
        </w:tc>
        <w:tc>
          <w:p>
            <w:pPr>
              <w:pStyle w:val="Compact"/>
              <w:jc w:val="right"/>
            </w:pPr>
            <w:r>
              <w:t xml:space="preserve">23.4</w:t>
            </w:r>
          </w:p>
        </w:tc>
        <w:tc>
          <w:p>
            <w:pPr>
              <w:pStyle w:val="Compact"/>
              <w:jc w:val="right"/>
            </w:pPr>
            <w:r>
              <w:t xml:space="preserve">3.3</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71.3</w:t>
            </w:r>
          </w:p>
        </w:tc>
        <w:tc>
          <w:p>
            <w:pPr>
              <w:pStyle w:val="Compact"/>
              <w:jc w:val="right"/>
            </w:pPr>
            <w:r>
              <w:t xml:space="preserve">17.0</w:t>
            </w:r>
          </w:p>
        </w:tc>
        <w:tc>
          <w:p>
            <w:pPr>
              <w:pStyle w:val="Compact"/>
              <w:jc w:val="right"/>
            </w:pPr>
            <w:r>
              <w:t xml:space="preserve">11.7</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7"/>
    <w:bookmarkStart w:id="132" w:name="references"/>
    <w:p>
      <w:pPr>
        <w:pStyle w:val="Heading1"/>
      </w:pPr>
      <w:r>
        <w:t xml:space="preserve">References</w:t>
      </w:r>
    </w:p>
    <w:bookmarkStart w:id="131" w:name="refs"/>
    <w:bookmarkStart w:id="68" w:name="ref-Beck21"/>
    <w:p>
      <w:pPr>
        <w:pStyle w:val="Bibliography"/>
      </w:pPr>
      <w:r>
        <w:t xml:space="preserve">Beck, M., Schrandt, M., Wessel, M., Sherwood, E., Raulerson, G., Best, B., 2021. Tbeptools: Data and indicators for the tampa bay estuary program.</w:t>
      </w:r>
    </w:p>
    <w:bookmarkEnd w:id="68"/>
    <w:bookmarkStart w:id="69" w:name="ref-Beck21b"/>
    <w:p>
      <w:pPr>
        <w:pStyle w:val="Bibliography"/>
      </w:pPr>
      <w:r>
        <w:t xml:space="preserve">Beck, M.W., 2021. Ggord: Ordination plots with ggplot2.</w:t>
      </w:r>
    </w:p>
    <w:bookmarkEnd w:id="69"/>
    <w:bookmarkStart w:id="7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0">
        <w:r>
          <w:rPr>
            <w:rStyle w:val="Hyperlink"/>
          </w:rPr>
          <w:t xml:space="preserve">https://doi.org/10.18785/gcr.2901.02</w:t>
        </w:r>
      </w:hyperlink>
    </w:p>
    <w:bookmarkEnd w:id="71"/>
    <w:bookmarkStart w:id="7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2">
        <w:r>
          <w:rPr>
            <w:rStyle w:val="Hyperlink"/>
          </w:rPr>
          <w:t xml:space="preserve">https://doi.org/10.1007/s12237-017-0287-1</w:t>
        </w:r>
      </w:hyperlink>
    </w:p>
    <w:bookmarkEnd w:id="73"/>
    <w:bookmarkStart w:id="74" w:name="ref-Bryan20"/>
    <w:p>
      <w:pPr>
        <w:pStyle w:val="Bibliography"/>
      </w:pPr>
      <w:r>
        <w:t xml:space="preserve">Bryan, J., 2020. googlesheets4: Access google sheets using the sheets API V4.</w:t>
      </w:r>
    </w:p>
    <w:bookmarkEnd w:id="74"/>
    <w:bookmarkStart w:id="7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5"/>
    <w:bookmarkStart w:id="7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6">
        <w:r>
          <w:rPr>
            <w:rStyle w:val="Hyperlink"/>
          </w:rPr>
          <w:t xml:space="preserve">https://doi.org/10.1016/S0265-931X(00)00164-8</w:t>
        </w:r>
      </w:hyperlink>
    </w:p>
    <w:bookmarkEnd w:id="77"/>
    <w:bookmarkStart w:id="78" w:name="ref-DAgostino20"/>
    <w:p>
      <w:pPr>
        <w:pStyle w:val="Bibliography"/>
      </w:pPr>
      <w:r>
        <w:t xml:space="preserve">D’Agostino McGowan, L., Bryan, J., 2020. Googledrive: An interface to google drive.</w:t>
      </w:r>
    </w:p>
    <w:bookmarkEnd w:id="78"/>
    <w:bookmarkStart w:id="7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9"/>
    <w:bookmarkStart w:id="80"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0"/>
    <w:bookmarkStart w:id="8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1">
        <w:r>
          <w:rPr>
            <w:rStyle w:val="Hyperlink"/>
          </w:rPr>
          <w:t xml:space="preserve">https://doi.org/10.1016/j.marpolbul.2015.10.047</w:t>
        </w:r>
      </w:hyperlink>
    </w:p>
    <w:bookmarkEnd w:id="82"/>
    <w:bookmarkStart w:id="8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3">
        <w:r>
          <w:rPr>
            <w:rStyle w:val="Hyperlink"/>
          </w:rPr>
          <w:t xml:space="preserve">https://doi.org/10.1016/j.marpolbul.2010.11.017</w:t>
        </w:r>
      </w:hyperlink>
    </w:p>
    <w:bookmarkEnd w:id="84"/>
    <w:bookmarkStart w:id="8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5">
        <w:r>
          <w:rPr>
            <w:rStyle w:val="Hyperlink"/>
          </w:rPr>
          <w:t xml:space="preserve">https://doi.org/10.1007/s00267-005-0079-4</w:t>
        </w:r>
      </w:hyperlink>
    </w:p>
    <w:bookmarkEnd w:id="86"/>
    <w:bookmarkStart w:id="8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7"/>
    <w:bookmarkStart w:id="8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8">
        <w:r>
          <w:rPr>
            <w:rStyle w:val="Hyperlink"/>
          </w:rPr>
          <w:t xml:space="preserve">https://doi.org/10.1016/j.ecss.2014.10.003</w:t>
        </w:r>
      </w:hyperlink>
    </w:p>
    <w:bookmarkEnd w:id="89"/>
    <w:bookmarkStart w:id="9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0"/>
    <w:bookmarkStart w:id="91" w:name="ref-Hollander13"/>
    <w:p>
      <w:pPr>
        <w:pStyle w:val="Bibliography"/>
      </w:pPr>
      <w:r>
        <w:t xml:space="preserve">Hollander, M., Wolfe, D.A., Chicken, E., 2013. Nonparametric statistical methods. John Wiley &amp; Sons.</w:t>
      </w:r>
    </w:p>
    <w:bookmarkEnd w:id="91"/>
    <w:bookmarkStart w:id="92" w:name="ref-Holm79"/>
    <w:p>
      <w:pPr>
        <w:pStyle w:val="Bibliography"/>
      </w:pPr>
      <w:r>
        <w:t xml:space="preserve">Holm, S., 1979. A simple sequentially rejective multiple test procedure. Scandinavian journal of statistics 65–70.</w:t>
      </w:r>
    </w:p>
    <w:bookmarkEnd w:id="92"/>
    <w:bookmarkStart w:id="9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3">
        <w:r>
          <w:rPr>
            <w:rStyle w:val="Hyperlink"/>
          </w:rPr>
          <w:t xml:space="preserve">https://doi.org/10.4319/lo.2006.51.1_part_2.0364</w:t>
        </w:r>
      </w:hyperlink>
    </w:p>
    <w:bookmarkEnd w:id="94"/>
    <w:bookmarkStart w:id="9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5"/>
    <w:bookmarkStart w:id="97" w:name="ref-Hudson11"/>
    <w:p>
      <w:pPr>
        <w:pStyle w:val="Bibliography"/>
      </w:pPr>
      <w:r>
        <w:t xml:space="preserve">Hudson-Edwards, K.A., Jamieson, H.E., Lottermoser, B.G., 2011. Mine wastes: Past, present, future. Elements 7, 375–380.</w:t>
      </w:r>
      <w:r>
        <w:t xml:space="preserve"> </w:t>
      </w:r>
      <w:hyperlink r:id="rId96">
        <w:r>
          <w:rPr>
            <w:rStyle w:val="Hyperlink"/>
          </w:rPr>
          <w:t xml:space="preserve">https://doi.org/10.2113/gselements.7.6.375</w:t>
        </w:r>
      </w:hyperlink>
    </w:p>
    <w:bookmarkEnd w:id="97"/>
    <w:bookmarkStart w:id="9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8"/>
    <w:bookmarkStart w:id="99"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9"/>
    <w:bookmarkStart w:id="100" w:name="ref-Janicki08"/>
    <w:p>
      <w:pPr>
        <w:pStyle w:val="Bibliography"/>
      </w:pPr>
      <w:r>
        <w:t xml:space="preserve">Janicki Environmental, Inc., 2008. Estimation of nitrogen loading from residential irrigation. Tampa Bay Estuary Program, St. Petersburg, Florida.</w:t>
      </w:r>
    </w:p>
    <w:bookmarkEnd w:id="100"/>
    <w:bookmarkStart w:id="10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1"/>
    <w:bookmarkStart w:id="103"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2">
        <w:r>
          <w:rPr>
            <w:rStyle w:val="Hyperlink"/>
          </w:rPr>
          <w:t xml:space="preserve">https://doi.org/10.18637/jss.v025.i01</w:t>
        </w:r>
      </w:hyperlink>
    </w:p>
    <w:bookmarkEnd w:id="103"/>
    <w:bookmarkStart w:id="104"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4"/>
    <w:bookmarkStart w:id="106" w:name="ref-Nixon95"/>
    <w:p>
      <w:pPr>
        <w:pStyle w:val="Bibliography"/>
      </w:pPr>
      <w:r>
        <w:t xml:space="preserve">Nixon, S.W., 1995. Coastal marine eutrophication: A definition, social causes, and future concerns. Ophelia 41, 199–219.</w:t>
      </w:r>
      <w:r>
        <w:t xml:space="preserve"> </w:t>
      </w:r>
      <w:hyperlink r:id="rId105">
        <w:r>
          <w:rPr>
            <w:rStyle w:val="Hyperlink"/>
          </w:rPr>
          <w:t xml:space="preserve">https://doi.org/10.1080/00785236.1995.10422044</w:t>
        </w:r>
      </w:hyperlink>
    </w:p>
    <w:bookmarkEnd w:id="106"/>
    <w:bookmarkStart w:id="107"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7"/>
    <w:bookmarkStart w:id="109"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8">
        <w:r>
          <w:rPr>
            <w:rStyle w:val="Hyperlink"/>
          </w:rPr>
          <w:t xml:space="preserve">https://doi.org/10.32614/RJ-2018-009</w:t>
        </w:r>
      </w:hyperlink>
    </w:p>
    <w:bookmarkEnd w:id="109"/>
    <w:bookmarkStart w:id="111"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0">
        <w:r>
          <w:rPr>
            <w:rStyle w:val="Hyperlink"/>
          </w:rPr>
          <w:t xml:space="preserve">https://doi.org/10.1016/j.scitotenv.2016.02.070</w:t>
        </w:r>
      </w:hyperlink>
    </w:p>
    <w:bookmarkEnd w:id="111"/>
    <w:bookmarkStart w:id="113"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2">
        <w:r>
          <w:rPr>
            <w:rStyle w:val="Hyperlink"/>
          </w:rPr>
          <w:t xml:space="preserve">https://doi.org/10.1016/j.apgeochem.2010.02.003</w:t>
        </w:r>
      </w:hyperlink>
    </w:p>
    <w:bookmarkEnd w:id="113"/>
    <w:bookmarkStart w:id="115"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4">
        <w:r>
          <w:rPr>
            <w:rStyle w:val="Hyperlink"/>
          </w:rPr>
          <w:t xml:space="preserve">https://doi.org/10.1016/j.atmosenv.2012.12.030</w:t>
        </w:r>
      </w:hyperlink>
    </w:p>
    <w:bookmarkEnd w:id="115"/>
    <w:bookmarkStart w:id="116" w:name="ref-RCT20"/>
    <w:p>
      <w:pPr>
        <w:pStyle w:val="Bibliography"/>
      </w:pPr>
      <w:r>
        <w:t xml:space="preserve">R Core Team, 2020. R: A language and environment for statistical computing, v4.0.3. R Foundation for Statistical Computing, Vienna, Austria.</w:t>
      </w:r>
    </w:p>
    <w:bookmarkEnd w:id="116"/>
    <w:bookmarkStart w:id="118"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7">
        <w:r>
          <w:rPr>
            <w:rStyle w:val="Hyperlink"/>
          </w:rPr>
          <w:t xml:space="preserve">https://doi.org/10.1007/s11270-013-1742-7</w:t>
        </w:r>
      </w:hyperlink>
    </w:p>
    <w:bookmarkEnd w:id="118"/>
    <w:bookmarkStart w:id="12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19">
        <w:r>
          <w:rPr>
            <w:rStyle w:val="Hyperlink"/>
          </w:rPr>
          <w:t xml:space="preserve">https://doi.org/10.1007/s00267-013-0179-5</w:t>
        </w:r>
      </w:hyperlink>
    </w:p>
    <w:bookmarkEnd w:id="120"/>
    <w:bookmarkStart w:id="12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1">
        <w:r>
          <w:rPr>
            <w:rStyle w:val="Hyperlink"/>
          </w:rPr>
          <w:t xml:space="preserve">https://doi.org/10.1353/sgo.2017.0026</w:t>
        </w:r>
      </w:hyperlink>
    </w:p>
    <w:bookmarkEnd w:id="122"/>
    <w:bookmarkStart w:id="123"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3"/>
    <w:bookmarkStart w:id="124"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4"/>
    <w:bookmarkStart w:id="126"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5">
        <w:r>
          <w:rPr>
            <w:rStyle w:val="Hyperlink"/>
          </w:rPr>
          <w:t xml:space="preserve">https://doi.org/10.1016/j.jenvman.2009.03.007</w:t>
        </w:r>
      </w:hyperlink>
    </w:p>
    <w:bookmarkEnd w:id="126"/>
    <w:bookmarkStart w:id="128"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7">
        <w:r>
          <w:rPr>
            <w:rStyle w:val="Hyperlink"/>
          </w:rPr>
          <w:t xml:space="preserve">https://doi.org/10.1016/j.marpolbul.2020.111247</w:t>
        </w:r>
      </w:hyperlink>
    </w:p>
    <w:bookmarkEnd w:id="128"/>
    <w:bookmarkStart w:id="130"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29">
        <w:r>
          <w:rPr>
            <w:rStyle w:val="Hyperlink"/>
          </w:rPr>
          <w:t xml:space="preserve">https://doi.org/10.21105/joss.01686</w:t>
        </w:r>
      </w:hyperlink>
    </w:p>
    <w:bookmarkEnd w:id="130"/>
    <w:bookmarkEnd w:id="131"/>
    <w:bookmarkEnd w:id="13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61" Target="media/rId61.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85" Target="https://doi.org/10.1007/s00267-005-0079-4" TargetMode="External" /><Relationship Type="http://schemas.openxmlformats.org/officeDocument/2006/relationships/hyperlink" Id="rId119" Target="https://doi.org/10.1007/s00267-013-0179-5" TargetMode="External" /><Relationship Type="http://schemas.openxmlformats.org/officeDocument/2006/relationships/hyperlink" Id="rId117"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2" Target="https://doi.org/10.1016/j.apgeochem.2010.02.003" TargetMode="External" /><Relationship Type="http://schemas.openxmlformats.org/officeDocument/2006/relationships/hyperlink" Id="rId114"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5"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7" Target="https://doi.org/10.1016/j.marpolbul.2020.111247" TargetMode="External" /><Relationship Type="http://schemas.openxmlformats.org/officeDocument/2006/relationships/hyperlink" Id="rId110" Target="https://doi.org/10.1016/j.scitotenv.2016.02.070" TargetMode="External" /><Relationship Type="http://schemas.openxmlformats.org/officeDocument/2006/relationships/hyperlink" Id="rId105" Target="https://doi.org/10.1080/00785236.1995.10422044" TargetMode="External" /><Relationship Type="http://schemas.openxmlformats.org/officeDocument/2006/relationships/hyperlink" Id="rId121" Target="https://doi.org/10.1353/sgo.2017.0026" TargetMode="External" /><Relationship Type="http://schemas.openxmlformats.org/officeDocument/2006/relationships/hyperlink" Id="rId102"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29"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8"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7-005-0079-4" TargetMode="External" /><Relationship Type="http://schemas.openxmlformats.org/officeDocument/2006/relationships/hyperlink" Id="rId119" Target="https://doi.org/10.1007/s00267-013-0179-5" TargetMode="External" /><Relationship Type="http://schemas.openxmlformats.org/officeDocument/2006/relationships/hyperlink" Id="rId117"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2" Target="https://doi.org/10.1016/j.apgeochem.2010.02.003" TargetMode="External" /><Relationship Type="http://schemas.openxmlformats.org/officeDocument/2006/relationships/hyperlink" Id="rId114"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5"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7" Target="https://doi.org/10.1016/j.marpolbul.2020.111247" TargetMode="External" /><Relationship Type="http://schemas.openxmlformats.org/officeDocument/2006/relationships/hyperlink" Id="rId110" Target="https://doi.org/10.1016/j.scitotenv.2016.02.070" TargetMode="External" /><Relationship Type="http://schemas.openxmlformats.org/officeDocument/2006/relationships/hyperlink" Id="rId105" Target="https://doi.org/10.1080/00785236.1995.10422044" TargetMode="External" /><Relationship Type="http://schemas.openxmlformats.org/officeDocument/2006/relationships/hyperlink" Id="rId121" Target="https://doi.org/10.1353/sgo.2017.0026" TargetMode="External" /><Relationship Type="http://schemas.openxmlformats.org/officeDocument/2006/relationships/hyperlink" Id="rId102"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29"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8"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2021-08-27T18:12:37Z</dcterms:created>
  <dcterms:modified xsi:type="dcterms:W3CDTF">2021-08-27T18:12:37Z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