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2021-08-17 14:09:56</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 4 Seagrass/macroalgae freq. occurrence summaries</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p>
      <w:pPr>
        <w:pStyle w:val="TableCaption"/>
      </w:pPr>
      <w:r>
        <w:t xml:space="preserve">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w:t>
      </w:r>
    </w:p>
    <w:tbl>
      <w:tblPr>
        <w:tblStyle w:val="Table"/>
        <w:tblW w:type="pct" w:w="0.0"/>
        <w:tblLook w:firstRow="1" w:lastRow="0" w:firstColumn="0" w:lastColumn="0" w:noHBand="0" w:noVBand="0" w:val="0020"/>
        <w:tblCaption w:val="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
      </w:tblPr>
      <w:tblGrid/>
      <w:tr>
        <w:tc>
          <w:p>
            <w:pPr>
              <w:pStyle w:val="Compact"/>
              <w:jc w:val="left"/>
            </w:pPr>
            <w:r>
              <w:t xml:space="preserve">Water quality variable</w:t>
            </w:r>
          </w:p>
        </w:tc>
        <w:tc>
          <w:p>
            <w:pPr>
              <w:pStyle w:val="Compact"/>
              <w:jc w:val="right"/>
            </w:pPr>
            <w:r>
              <w:t xml:space="preserve">Stack value</w:t>
            </w:r>
          </w:p>
        </w:tc>
        <w:tc>
          <w:p>
            <w:pPr>
              <w:pStyle w:val="Compact"/>
              <w:jc w:val="left"/>
            </w:pPr>
            <w:r>
              <w:t xml:space="preserve">Normal median (min, max)</w:t>
            </w:r>
          </w:p>
        </w:tc>
      </w:tr>
      <w:tr>
        <w:tc>
          <w:p>
            <w:pPr>
              <w:pStyle w:val="Compact"/>
              <w:jc w:val="left"/>
            </w:pPr>
            <w:r>
              <w:t xml:space="preserve">Nitrate/Nitrite (mg/L)</w:t>
            </w:r>
          </w:p>
        </w:tc>
        <w:tc>
          <w:p>
            <w:pPr>
              <w:pStyle w:val="Compact"/>
              <w:jc w:val="right"/>
            </w:pPr>
            <w:r>
              <w:t xml:space="preserve">0.004</w:t>
            </w:r>
          </w:p>
        </w:tc>
        <w:tc>
          <w:p>
            <w:pPr>
              <w:pStyle w:val="Compact"/>
              <w:jc w:val="left"/>
            </w:pPr>
            <w:r>
              <w:t xml:space="preserve">0.003 (0.003, 0.018)</w:t>
            </w:r>
          </w:p>
        </w:tc>
      </w:tr>
      <w:tr>
        <w:tc>
          <w:p>
            <w:pPr>
              <w:pStyle w:val="Compact"/>
              <w:jc w:val="left"/>
            </w:pPr>
            <w:r>
              <w:t xml:space="preserve">NH3, NH4+ (mg/L)</w:t>
            </w:r>
          </w:p>
        </w:tc>
        <w:tc>
          <w:p>
            <w:pPr>
              <w:pStyle w:val="Compact"/>
              <w:jc w:val="right"/>
            </w:pPr>
            <w:r>
              <w:t xml:space="preserve">210.000</w:t>
            </w:r>
          </w:p>
        </w:tc>
        <w:tc>
          <w:p>
            <w:pPr>
              <w:pStyle w:val="Compact"/>
              <w:jc w:val="left"/>
            </w:pPr>
            <w:r>
              <w:t xml:space="preserve">0.019 (0.006, 0.0395)</w:t>
            </w:r>
          </w:p>
        </w:tc>
      </w:tr>
      <w:tr>
        <w:tc>
          <w:p>
            <w:pPr>
              <w:pStyle w:val="Compact"/>
              <w:jc w:val="left"/>
            </w:pPr>
            <w:r>
              <w:t xml:space="preserve">TN (mg/L)</w:t>
            </w:r>
          </w:p>
        </w:tc>
        <w:tc>
          <w:p>
            <w:pPr>
              <w:pStyle w:val="Compact"/>
              <w:jc w:val="right"/>
            </w:pPr>
            <w:r>
              <w:t xml:space="preserve">230.000</w:t>
            </w:r>
          </w:p>
        </w:tc>
        <w:tc>
          <w:p>
            <w:pPr>
              <w:pStyle w:val="Compact"/>
              <w:jc w:val="left"/>
            </w:pPr>
            <w:r>
              <w:t xml:space="preserve">0.286 (0.199, 0.455)</w:t>
            </w:r>
          </w:p>
        </w:tc>
      </w:tr>
      <w:tr>
        <w:tc>
          <w:p>
            <w:pPr>
              <w:pStyle w:val="Compact"/>
              <w:jc w:val="left"/>
            </w:pPr>
            <w:r>
              <w:t xml:space="preserve">TP (mg/L)</w:t>
            </w:r>
          </w:p>
        </w:tc>
        <w:tc>
          <w:p>
            <w:pPr>
              <w:pStyle w:val="Compact"/>
              <w:jc w:val="right"/>
            </w:pPr>
            <w:r>
              <w:t xml:space="preserve">160.000</w:t>
            </w:r>
          </w:p>
        </w:tc>
        <w:tc>
          <w:p>
            <w:pPr>
              <w:pStyle w:val="Compact"/>
              <w:jc w:val="left"/>
            </w:pPr>
            <w:r>
              <w:t xml:space="preserve">0.085 (0.058, 0.146)</w:t>
            </w:r>
          </w:p>
        </w:tc>
      </w:tr>
      <w:tr>
        <w:tc>
          <w:p>
            <w:pPr>
              <w:pStyle w:val="Compact"/>
              <w:jc w:val="left"/>
            </w:pPr>
            <w:r>
              <w:t xml:space="preserve">Ortho-P (mg/L)</w:t>
            </w:r>
          </w:p>
        </w:tc>
        <w:tc>
          <w:p>
            <w:pPr>
              <w:pStyle w:val="Compact"/>
              <w:jc w:val="right"/>
            </w:pPr>
            <w:r>
              <w:t xml:space="preserve">150.000</w:t>
            </w:r>
          </w:p>
        </w:tc>
        <w:tc>
          <w:p>
            <w:pPr>
              <w:pStyle w:val="Compact"/>
              <w:jc w:val="left"/>
            </w:pPr>
            <w:r>
              <w:t xml:space="preserve">0.049 (0.009, 0.055)</w:t>
            </w:r>
          </w:p>
        </w:tc>
      </w:tr>
      <w:tr>
        <w:tc>
          <w:p>
            <w:pPr>
              <w:pStyle w:val="Compact"/>
              <w:jc w:val="left"/>
            </w:pPr>
            <w:r>
              <w:t xml:space="preserve">DO (% sat.)</w:t>
            </w:r>
          </w:p>
        </w:tc>
        <w:tc>
          <w:p>
            <w:pPr>
              <w:pStyle w:val="Compact"/>
              <w:jc w:val="right"/>
            </w:pPr>
            <w:r>
              <w:t xml:space="preserve">107.500</w:t>
            </w:r>
          </w:p>
        </w:tc>
        <w:tc>
          <w:p>
            <w:pPr>
              <w:pStyle w:val="Compact"/>
              <w:jc w:val="left"/>
            </w:pPr>
            <w:r>
              <w:t xml:space="preserve">91 (86, 92.2)</w:t>
            </w:r>
          </w:p>
        </w:tc>
      </w:tr>
      <w:tr>
        <w:tc>
          <w:p>
            <w:pPr>
              <w:pStyle w:val="Compact"/>
              <w:jc w:val="left"/>
            </w:pPr>
            <w:r>
              <w:t xml:space="preserve">pH</w:t>
            </w:r>
          </w:p>
        </w:tc>
        <w:tc>
          <w:p>
            <w:pPr>
              <w:pStyle w:val="Compact"/>
              <w:jc w:val="right"/>
            </w:pPr>
            <w:r>
              <w:t xml:space="preserve">4.000</w:t>
            </w:r>
          </w:p>
        </w:tc>
        <w:tc>
          <w:p>
            <w:pPr>
              <w:pStyle w:val="Compact"/>
              <w:jc w:val="left"/>
            </w:pPr>
            <w:r>
              <w:t xml:space="preserve">8.1 (8, 8.1)</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Multiple comparisons with Mann-Whitney U tests were used to evaluate pairwise monthly concentrations for each water quality variable in each area. Rows that share a letter within each area and water quality variable combination have concentrations that are not significantly different at</w:t>
      </w:r>
      <w:r>
        <w:t xml:space="preserve"> </w:t>
      </w:r>
      <m:oMath>
        <m:r>
          <m:t>α</m:t>
        </m:r>
      </m:oMath>
      <w:r>
        <w:t xml:space="preserve"> </w:t>
      </w:r>
      <w:r>
        <w:t xml:space="preserve">= 0.05. Probability values were adjusted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w:t>
      </w:r>
    </w:p>
    <w:tbl>
      <w:tblPr>
        <w:tblStyle w:val="Table"/>
        <w:tblW w:type="pct" w:w="0.0"/>
        <w:tblLook w:firstRow="1" w:lastRow="0" w:firstColumn="0" w:lastColumn="0" w:noHBand="0" w:noVBand="0" w:val="0020"/>
        <w:tblCaption w:val="Table 3: Comparison of total nitrogen, chlorophyll-a, and secchi depth by areas of interest (Figure 1a) and month. Multiple comparisons with Mann-Whitney U tests were used to evaluate pairwise monthly concentrations for each water quality variable in each area. Rows that share a letter within each area and water quality variable combination have concentrations that are not significantly different at \alpha = 0.05. Probability values were adjusted using the Bonferroni method in Holm (1979)."/>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bookmarkEnd w:id="49"/>
    <w:bookmarkStart w:id="99" w:name="references"/>
    <w:p>
      <w:pPr>
        <w:pStyle w:val="Heading1"/>
      </w:pPr>
      <w:r>
        <w:t xml:space="preserve">References</w:t>
      </w:r>
    </w:p>
    <w:bookmarkStart w:id="98"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8" w:name="ref-Hollander13"/>
    <w:p>
      <w:pPr>
        <w:pStyle w:val="Bibliography"/>
      </w:pPr>
      <w:r>
        <w:t xml:space="preserve">Hollander, M., Wolfe, D.A., Chicken, E., 2013. Nonparametric statistical methods. John Wiley &amp; Sons.</w:t>
      </w:r>
    </w:p>
    <w:bookmarkEnd w:id="68"/>
    <w:bookmarkStart w:id="69" w:name="ref-Holm79"/>
    <w:p>
      <w:pPr>
        <w:pStyle w:val="Bibliography"/>
      </w:pPr>
      <w:r>
        <w:t xml:space="preserve">Holm, S., 1979. A simple sequentially rejective multiple test procedure. Scandinavian journal of statistics 65–70.</w:t>
      </w:r>
    </w:p>
    <w:bookmarkEnd w:id="69"/>
    <w:bookmarkStart w:id="71"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0">
        <w:r>
          <w:rPr>
            <w:rStyle w:val="Hyperlink"/>
          </w:rPr>
          <w:t xml:space="preserve">https://doi.org/10.4319/lo.2006.51.1_part_2.0364</w:t>
        </w:r>
      </w:hyperlink>
    </w:p>
    <w:bookmarkEnd w:id="71"/>
    <w:bookmarkStart w:id="73" w:name="ref-Hudson11"/>
    <w:p>
      <w:pPr>
        <w:pStyle w:val="Bibliography"/>
      </w:pPr>
      <w:r>
        <w:t xml:space="preserve">Hudson-Edwards, K.A., Jamieson, H.E., Lottermoser, B.G., 2011. Mine wastes: Past, present, future. Elements 7, 375–380.</w:t>
      </w:r>
      <w:r>
        <w:t xml:space="preserve"> </w:t>
      </w:r>
      <w:hyperlink r:id="rId72">
        <w:r>
          <w:rPr>
            <w:rStyle w:val="Hyperlink"/>
          </w:rPr>
          <w:t xml:space="preserve">https://doi.org/10.2113/gselements.7.6.375</w:t>
        </w:r>
      </w:hyperlink>
    </w:p>
    <w:bookmarkEnd w:id="73"/>
    <w:bookmarkStart w:id="74"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4"/>
    <w:bookmarkStart w:id="75"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5"/>
    <w:bookmarkStart w:id="76" w:name="ref-Janicki08"/>
    <w:p>
      <w:pPr>
        <w:pStyle w:val="Bibliography"/>
      </w:pPr>
      <w:r>
        <w:t xml:space="preserve">Janicki Environmental, Inc., 2008. Estimation of nitrogen loading from residential irrigation. Tampa Bay Estuary Program, St. Petersburg, Florida.</w:t>
      </w:r>
    </w:p>
    <w:bookmarkEnd w:id="76"/>
    <w:bookmarkStart w:id="7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7"/>
    <w:bookmarkStart w:id="78"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8"/>
    <w:bookmarkStart w:id="80" w:name="ref-Nixon95"/>
    <w:p>
      <w:pPr>
        <w:pStyle w:val="Bibliography"/>
      </w:pPr>
      <w:r>
        <w:t xml:space="preserve">Nixon, S.W., 1995. Coastal marine eutrophication: A definition, social causes, and future concerns. Ophelia 41, 199–219.</w:t>
      </w:r>
      <w:r>
        <w:t xml:space="preserve"> </w:t>
      </w:r>
      <w:hyperlink r:id="rId79">
        <w:r>
          <w:rPr>
            <w:rStyle w:val="Hyperlink"/>
          </w:rPr>
          <w:t xml:space="preserve">https://doi.org/10.1080/00785236.1995.10422044</w:t>
        </w:r>
      </w:hyperlink>
    </w:p>
    <w:bookmarkEnd w:id="80"/>
    <w:bookmarkStart w:id="8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81"/>
    <w:bookmarkStart w:id="8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2">
        <w:r>
          <w:rPr>
            <w:rStyle w:val="Hyperlink"/>
          </w:rPr>
          <w:t xml:space="preserve">https://doi.org/10.1016/j.scitotenv.2016.02.070</w:t>
        </w:r>
      </w:hyperlink>
    </w:p>
    <w:bookmarkEnd w:id="83"/>
    <w:bookmarkStart w:id="8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4">
        <w:r>
          <w:rPr>
            <w:rStyle w:val="Hyperlink"/>
          </w:rPr>
          <w:t xml:space="preserve">https://doi.org/10.1016/j.apgeochem.2010.02.003</w:t>
        </w:r>
      </w:hyperlink>
    </w:p>
    <w:bookmarkEnd w:id="85"/>
    <w:bookmarkStart w:id="8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6">
        <w:r>
          <w:rPr>
            <w:rStyle w:val="Hyperlink"/>
          </w:rPr>
          <w:t xml:space="preserve">https://doi.org/10.1016/j.atmosenv.2012.12.030</w:t>
        </w:r>
      </w:hyperlink>
    </w:p>
    <w:bookmarkEnd w:id="87"/>
    <w:bookmarkStart w:id="8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8">
        <w:r>
          <w:rPr>
            <w:rStyle w:val="Hyperlink"/>
          </w:rPr>
          <w:t xml:space="preserve">https://doi.org/10.1007/s11270-013-1742-7</w:t>
        </w:r>
      </w:hyperlink>
    </w:p>
    <w:bookmarkEnd w:id="89"/>
    <w:bookmarkStart w:id="9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90">
        <w:r>
          <w:rPr>
            <w:rStyle w:val="Hyperlink"/>
          </w:rPr>
          <w:t xml:space="preserve">https://doi.org/10.1007/s00267-013-0179-5</w:t>
        </w:r>
      </w:hyperlink>
    </w:p>
    <w:bookmarkEnd w:id="91"/>
    <w:bookmarkStart w:id="9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2">
        <w:r>
          <w:rPr>
            <w:rStyle w:val="Hyperlink"/>
          </w:rPr>
          <w:t xml:space="preserve">https://doi.org/10.1353/sgo.2017.0026</w:t>
        </w:r>
      </w:hyperlink>
    </w:p>
    <w:bookmarkEnd w:id="93"/>
    <w:bookmarkStart w:id="9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4">
        <w:r>
          <w:rPr>
            <w:rStyle w:val="Hyperlink"/>
          </w:rPr>
          <w:t xml:space="preserve">https://doi.org/10.1016/j.jenvman.2009.03.007</w:t>
        </w:r>
      </w:hyperlink>
    </w:p>
    <w:bookmarkEnd w:id="95"/>
    <w:bookmarkStart w:id="9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6">
        <w:r>
          <w:rPr>
            <w:rStyle w:val="Hyperlink"/>
          </w:rPr>
          <w:t xml:space="preserve">https://doi.org/10.1016/j.marpolbul.2020.111247</w:t>
        </w:r>
      </w:hyperlink>
    </w:p>
    <w:bookmarkEnd w:id="97"/>
    <w:bookmarkEnd w:id="98"/>
    <w:bookmarkEnd w:id="9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2021-08-17T18:10:02Z</dcterms:created>
  <dcterms:modified xsi:type="dcterms:W3CDTF">2021-08-17T18:10:02Z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