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Note that many of the edits in response to the more specific comments from the other reviewers are used to address some of the comments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numPr>
          <w:ilvl w:val="0"/>
          <w:numId w:val="1004"/>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5"/>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pStyle w:val="BodyText"/>
      </w:pPr>
      <w:r>
        <w:t xml:space="preserve">p. 7 - eyes on seagrass is meaningless (except for locals)</w:t>
      </w:r>
    </w:p>
    <w:p>
      <w:pPr>
        <w:numPr>
          <w:ilvl w:val="0"/>
          <w:numId w:val="1006"/>
        </w:numPr>
        <w:pStyle w:val="Compact"/>
      </w:pPr>
      <w:r>
        <w:rPr>
          <w:bCs/>
          <w:b/>
        </w:rPr>
        <w:t xml:space="preserve">Response</w:t>
      </w:r>
      <w:r>
        <w:t xml:space="preserve">: We have removed this from the text.</w:t>
      </w:r>
    </w:p>
    <w:p>
      <w:pPr>
        <w:pStyle w:val="FirstParagraph"/>
      </w:pPr>
      <w:r>
        <w:t xml:space="preserve">stats section- poorly written, confusing, wordy</w:t>
      </w:r>
    </w:p>
    <w:p>
      <w:pPr>
        <w:numPr>
          <w:ilvl w:val="0"/>
          <w:numId w:val="1007"/>
        </w:numPr>
        <w:pStyle w:val="Compact"/>
      </w:pPr>
      <w:r>
        <w:rPr>
          <w:bCs/>
          <w:b/>
        </w:rPr>
        <w:t xml:space="preserve">Response</w:t>
      </w:r>
      <w:r>
        <w:t xml:space="preserve">: Please see the responses to reviewer 2.</w:t>
      </w:r>
    </w:p>
    <w:p>
      <w:pPr>
        <w:pStyle w:val="FirstParagraph"/>
      </w:pPr>
      <w:r>
        <w:t xml:space="preserve">Results- rambling, disorganized and non-quantitative. Paragraphs don’t make sense (try using topic sentences and structuring concepts accordingly)</w:t>
      </w:r>
    </w:p>
    <w:p>
      <w:pPr>
        <w:numPr>
          <w:ilvl w:val="0"/>
          <w:numId w:val="1008"/>
        </w:numPr>
        <w:pStyle w:val="Compact"/>
      </w:pPr>
      <w:r>
        <w:rPr>
          <w:bCs/>
          <w:b/>
        </w:rPr>
        <w:t xml:space="preserve">Response</w:t>
      </w:r>
      <w:r>
        <w:t xml:space="preserve">: Please see the responses to reviewer 2, particularly regarding the first section of the results.</w:t>
      </w:r>
    </w:p>
    <w:p>
      <w:pPr>
        <w:pStyle w:val="FirstParagraph"/>
      </w:pPr>
      <w:r>
        <w:t xml:space="preserve">Discussion- I was left wondering what I learned. No conclusions drawn</w:t>
      </w:r>
    </w:p>
    <w:p>
      <w:pPr>
        <w:numPr>
          <w:ilvl w:val="0"/>
          <w:numId w:val="1009"/>
        </w:numPr>
        <w:pStyle w:val="Compact"/>
      </w:pPr>
      <w:r>
        <w:rPr>
          <w:bCs/>
          <w:b/>
        </w:rPr>
        <w:t xml:space="preserve">Response</w:t>
      </w:r>
      <w:r>
        <w:t xml:space="preserve">: Please see the responses to reviewer 2, particularly regarding the edits to the discussion sections.</w:t>
      </w:r>
    </w:p>
    <w:p>
      <w:pPr>
        <w:pStyle w:val="FirstParagraph"/>
      </w:pPr>
      <w:r>
        <w:t xml:space="preserve">In all, it seemed like an interesting exercise to describe all the patterns, but this does not make a quality manuscript that will stand the test of time.</w:t>
      </w:r>
    </w:p>
    <w:p>
      <w:pPr>
        <w:numPr>
          <w:ilvl w:val="0"/>
          <w:numId w:val="1010"/>
        </w:numPr>
        <w:pStyle w:val="Compact"/>
      </w:pPr>
      <w:r>
        <w:rPr>
          <w:bCs/>
          <w:b/>
        </w:rPr>
        <w:t xml:space="preserve">Response</w:t>
      </w:r>
      <w:r>
        <w:t xml:space="preserve">: We are confident that the edits made in response to your comments and those from the other reviewers have made this a more compelling and valuable contribution.</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numPr>
          <w:ilvl w:val="0"/>
          <w:numId w:val="1011"/>
        </w:numPr>
        <w:pStyle w:val="Compact"/>
      </w:pPr>
      <w:r>
        <w:rPr>
          <w:bCs/>
          <w:b/>
        </w:rPr>
        <w:t xml:space="preserve">Response</w:t>
      </w:r>
      <w:r>
        <w:t xml:space="preserve">: We really appreciate your comments. Please see the detailed responses below.</w:t>
      </w:r>
    </w:p>
    <w:p>
      <w:pPr>
        <w:pStyle w:val="FirstParagraph"/>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numPr>
          <w:ilvl w:val="0"/>
          <w:numId w:val="1012"/>
        </w:numPr>
        <w:pStyle w:val="Compact"/>
      </w:pPr>
      <w:r>
        <w:rPr>
          <w:bCs/>
          <w:b/>
        </w:rPr>
        <w:t xml:space="preserve">Response</w:t>
      </w:r>
      <w:r>
        <w:t xml:space="preserve">: Thank you for pointing out the merits of this paper and providing suggestions where the writing can be improved. We have edited the sections you point out for brevity and clarity.</w:t>
      </w:r>
    </w:p>
    <w:p>
      <w:pPr>
        <w:pStyle w:val="FirstParagraph"/>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13"/>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numPr>
          <w:ilvl w:val="0"/>
          <w:numId w:val="1014"/>
        </w:numPr>
        <w:pStyle w:val="Compact"/>
      </w:pPr>
      <w:r>
        <w:rPr>
          <w:bCs/>
          <w:b/>
        </w:rPr>
        <w:t xml:space="preserve">Response</w:t>
      </w:r>
      <w:r>
        <w:t xml:space="preserve">: Thank you for this comment. We agree this section is important as it relates the timeline of events in a plausible manner, although it is definitely speculative without more quantitative results linking the pieces. As such, we have moved the content to the discussion and amended to text to include a more nuanced description of the trends, including what information may be needed to support the narrative. This includes information from the final paragraph of the discussion, which was removed. The new section is included from lines xxx to xxx.</w:t>
      </w:r>
    </w:p>
    <w:p>
      <w:pPr>
        <w:pStyle w:val="FirstParagraph"/>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numPr>
          <w:ilvl w:val="0"/>
          <w:numId w:val="1015"/>
        </w:numPr>
        <w:pStyle w:val="Compact"/>
      </w:pPr>
      <w:r>
        <w:rPr>
          <w:bCs/>
          <w:b/>
        </w:rPr>
        <w:t xml:space="preserve">Response</w:t>
      </w:r>
      <w:r>
        <w:t xml:space="preserve">: Our point was to suggest that mining products in Florida are generally exported and have little benefit for the local communities, aside from localized economic benefits. However, this may be a bit editorialized and was removed.</w:t>
      </w:r>
    </w:p>
    <w:p>
      <w:pPr>
        <w:pStyle w:val="FirstParagraph"/>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numPr>
          <w:ilvl w:val="0"/>
          <w:numId w:val="1016"/>
        </w:numPr>
        <w:pStyle w:val="Compact"/>
      </w:pPr>
      <w:r>
        <w:rPr>
          <w:bCs/>
          <w:b/>
        </w:rPr>
        <w:t xml:space="preserve">Response</w:t>
      </w:r>
      <w:r>
        <w:t xml:space="preserve">: Agreed, we have removed</w:t>
      </w:r>
      <w:r>
        <w:t xml:space="preserve"> </w:t>
      </w:r>
      <w:r>
        <w:t xml:space="preserve">“</w:t>
      </w:r>
      <w:r>
        <w:t xml:space="preserve">unanticipated.</w:t>
      </w:r>
      <w:r>
        <w:t xml:space="preserve">”</w:t>
      </w:r>
      <w:r>
        <w:t xml:space="preserve"> </w:t>
      </w:r>
      <w:r>
        <w:t xml:space="preserve">We agree that the releases often occur after consultation or approval from regulatory bodies, but they are generally unanticipated in that site management has not planned for these events, nor the potential impacts on the environment.</w:t>
      </w:r>
    </w:p>
    <w:p>
      <w:pPr>
        <w:pStyle w:val="FirstParagraph"/>
      </w:pPr>
      <w:r>
        <w:t xml:space="preserve">P4/L51: worth indicating that these concentrations, especially for TP, are several orders of magnitude greater than typical surface waters?</w:t>
      </w:r>
    </w:p>
    <w:p>
      <w:pPr>
        <w:numPr>
          <w:ilvl w:val="0"/>
          <w:numId w:val="1017"/>
        </w:numPr>
        <w:pStyle w:val="Compact"/>
      </w:pPr>
      <w:r>
        <w:rPr>
          <w:bCs/>
          <w:b/>
        </w:rPr>
        <w:t xml:space="preserve">Response</w:t>
      </w:r>
      <w:r>
        <w:t xml:space="preserve">: The sentence was edited:</w:t>
      </w:r>
      <w:r>
        <w:t xml:space="preserve"> </w:t>
      </w:r>
      <w:r>
        <w:t xml:space="preserve">“</w:t>
      </w:r>
      <w:r>
        <w:t xml:space="preserve">Water quality of NGS-S measured in 2019 showed total phosphorus (160 mg/L) and total nitrogen (230 mg/L) were approximately three orders of magnitude higher than typical concentrations in Tampa Bay.</w:t>
      </w:r>
      <w:r>
        <w:t xml:space="preserve">”</w:t>
      </w:r>
    </w:p>
    <w:p>
      <w:pPr>
        <w:pStyle w:val="FirstParagraph"/>
      </w:pPr>
      <w:r>
        <w:t xml:space="preserve">P4/L56: deliberately</w:t>
      </w:r>
      <w:r>
        <w:t xml:space="preserve"> </w:t>
      </w:r>
      <w:r>
        <w:t xml:space="preserve">“</w:t>
      </w:r>
      <w:r>
        <w:t xml:space="preserve">released</w:t>
      </w:r>
      <w:r>
        <w:t xml:space="preserve">”</w:t>
      </w:r>
    </w:p>
    <w:p>
      <w:pPr>
        <w:numPr>
          <w:ilvl w:val="0"/>
          <w:numId w:val="1018"/>
        </w:numPr>
        <w:pStyle w:val="Compact"/>
      </w:pPr>
      <w:r>
        <w:rPr>
          <w:bCs/>
          <w:b/>
        </w:rPr>
        <w:t xml:space="preserve">Response</w:t>
      </w:r>
      <w:r>
        <w:t xml:space="preserve">: Changed to</w:t>
      </w:r>
      <w:r>
        <w:t xml:space="preserve"> </w:t>
      </w:r>
      <w:r>
        <w:t xml:space="preserve">“</w:t>
      </w:r>
      <w:r>
        <w:t xml:space="preserve">released under FDEP authorization.</w:t>
      </w:r>
      <w:r>
        <w:t xml:space="preserve">”</w:t>
      </w:r>
    </w:p>
    <w:p>
      <w:pPr>
        <w:pStyle w:val="FirstParagraph"/>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19"/>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numPr>
          <w:ilvl w:val="0"/>
          <w:numId w:val="1020"/>
        </w:numPr>
      </w:pPr>
      <w:r>
        <w:rPr>
          <w:bCs/>
          <w:b/>
        </w:rPr>
        <w:t xml:space="preserve">Response</w:t>
      </w:r>
      <w:r>
        <w:t xml:space="preserve">: Agreed, we have revised this statement to include additional citations and explanation:</w:t>
      </w:r>
    </w:p>
    <w:p>
      <w:pPr>
        <w:numPr>
          <w:ilvl w:val="0"/>
          <w:numId w:val="1000"/>
        </w:numPr>
      </w:pPr>
      <w:r>
        <w:t xml:space="preserve">“</w:t>
      </w:r>
      <w:r>
        <w:t xml:space="preserve">Numerous studies, as well as the successful nutrient management paradigm for Tampa Bay,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pStyle w:val="FirstParagraph"/>
      </w:pPr>
      <w:r>
        <w:t xml:space="preserve">P5/L29: interesting that discharge was to Port Manatee and not Bishop Harbor like the release discussed previously.</w:t>
      </w:r>
    </w:p>
    <w:p>
      <w:pPr>
        <w:numPr>
          <w:ilvl w:val="0"/>
          <w:numId w:val="1021"/>
        </w:numPr>
        <w:pStyle w:val="Compact"/>
      </w:pPr>
      <w:r>
        <w:rPr>
          <w:bCs/>
          <w:b/>
        </w:rPr>
        <w:t xml:space="preserve">Response</w:t>
      </w:r>
      <w:r>
        <w:t xml:space="preserve">: Yes, we believe the intent was to minimize impacts to sensitive back-bay habitats that were observed in previous releases, although we have no information to verify this claim and have not included it in the text.</w:t>
      </w:r>
    </w:p>
    <w:p>
      <w:pPr>
        <w:pStyle w:val="FirstParagraph"/>
      </w:pPr>
      <w:r>
        <w:t xml:space="preserve">P6/L24-39: that is an impressive and extensive list of agencies and partners; any potential drawbacks to so many data streams?</w:t>
      </w:r>
    </w:p>
    <w:p>
      <w:pPr>
        <w:numPr>
          <w:ilvl w:val="0"/>
          <w:numId w:val="1022"/>
        </w:numPr>
        <w:pStyle w:val="Compact"/>
      </w:pPr>
      <w:r>
        <w:rPr>
          <w:bCs/>
          <w:b/>
        </w:rPr>
        <w:t xml:space="preserve">Response</w:t>
      </w:r>
      <w:r>
        <w:t xml:space="preserve">: Data quality assurance and control was a primary concern with multiple partners collecting information. We have included additional information about the data collection procedures and how the Tampa Bay Estuary Program worked to facilitate quality of the data. Please see the additions starting on line xxx.</w:t>
      </w:r>
    </w:p>
    <w:p>
      <w:pPr>
        <w:pStyle w:val="FirstParagraph"/>
      </w:pPr>
      <w:r>
        <w:t xml:space="preserve">P6/L54-65: is it routine to take water samples directly from the surface? Ultimately, were the authors worried about any potential stratification, particularly of Karenia brevis.</w:t>
      </w:r>
    </w:p>
    <w:p>
      <w:pPr>
        <w:numPr>
          <w:ilvl w:val="0"/>
          <w:numId w:val="1023"/>
        </w:numPr>
        <w:pStyle w:val="Compact"/>
      </w:pPr>
      <w:r>
        <w:rPr>
          <w:bCs/>
          <w:b/>
        </w:rPr>
        <w:t xml:space="preserve">Response</w:t>
      </w:r>
      <w: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w:t>
      </w:r>
      <w:r>
        <w:t xml:space="preserve"> </w:t>
      </w:r>
      <w:r>
        <w:rPr>
          <w:iCs/>
          <w:i/>
        </w:rPr>
        <w:t xml:space="preserve">K. brevis</w:t>
      </w:r>
      <w:r>
        <w:t xml:space="preserve"> </w:t>
      </w:r>
      <w:r>
        <w:t xml:space="preserve">was present throughout the water column, although we have very little quantitative data to describe the vertical distribution. Please see the addition of information on</w:t>
      </w:r>
      <w:r>
        <w:t xml:space="preserve"> </w:t>
      </w:r>
      <w:r>
        <w:rPr>
          <w:iCs/>
          <w:i/>
        </w:rPr>
        <w:t xml:space="preserve">K. brevis</w:t>
      </w:r>
      <w:r>
        <w:t xml:space="preserve"> </w:t>
      </w:r>
      <w:r>
        <w:t xml:space="preserve">sampling on line xxx provided in response to reviewer 1.</w:t>
      </w:r>
    </w:p>
    <w:p>
      <w:pPr>
        <w:pStyle w:val="FirstParagraph"/>
      </w:pPr>
      <w:r>
        <w:t xml:space="preserve">P7/L32-37: why get data from Tampa Airport and the Airfield in St. Petersburg? There is an NWS location not far from Piney Point.</w:t>
      </w:r>
    </w:p>
    <w:p>
      <w:pPr>
        <w:numPr>
          <w:ilvl w:val="0"/>
          <w:numId w:val="1024"/>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using data from Tampa was a longer period of record. However, we have revised the historical baseline in the plot to include only years 2006 to 2020, consistent with our comparison of the water quality data with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numPr>
          <w:ilvl w:val="0"/>
          <w:numId w:val="1025"/>
        </w:numPr>
        <w:pStyle w:val="Compact"/>
      </w:pPr>
      <w:r>
        <w:rPr>
          <w:bCs/>
          <w:b/>
        </w:rPr>
        <w:t xml:space="preserve">Response</w:t>
      </w:r>
      <w:r>
        <w:t xml:space="preserve">: The weekly aggregation was only done to allow plotting and comparison between variables on a common scale (e.g., Figure 7 and 8). None of the statistical tests used data with fixed sample dates. We removed the text because the statement is inaccurate and somewhat misleading.</w:t>
      </w:r>
    </w:p>
    <w:p>
      <w:pPr>
        <w:pStyle w:val="FirstParagraph"/>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numPr>
          <w:ilvl w:val="0"/>
          <w:numId w:val="1026"/>
        </w:numPr>
      </w:pPr>
      <w:r>
        <w:rPr>
          <w:bCs/>
          <w:b/>
        </w:rPr>
        <w:t xml:space="preserve">Response</w:t>
      </w:r>
      <w:r>
        <w:t xml:space="preserve">: No, these tests were meant to compare all observations post-release to help identify periods of time when observations differed, e.g., when chlorophyll was at its maximum. The text was revised for clarity.</w:t>
      </w:r>
    </w:p>
    <w:p>
      <w:pPr>
        <w:numPr>
          <w:ilvl w:val="0"/>
          <w:numId w:val="1000"/>
        </w:numPr>
      </w:pPr>
      <w:r>
        <w:t xml:space="preserve">“</w:t>
      </w:r>
      <w:r>
        <w:t xml:space="preserve">Differences in observations between months for April to September for water quality, seagrass, and macroalgae within each area (Figure</w:t>
      </w:r>
      <w:r>
        <w:t xml:space="preserve"> </w:t>
      </w:r>
      <w:r>
        <w:t xml:space="preserve">??</w:t>
      </w:r>
      <w:r>
        <w:t xml:space="preserve">a) were evaluated using a Kruskal-Wallis one-way analysis of variance (ANOVA) followed by multiple comparisons using 2-sided Mann-Whitney U tests</w:t>
      </w:r>
      <w:r>
        <w:t xml:space="preserve"> </w:t>
      </w:r>
      <w:r>
        <w:t xml:space="preserve">(</w:t>
      </w:r>
      <w:hyperlink w:anchor="ref-Hollander13">
        <w:r>
          <w:rPr>
            <w:rStyle w:val="Hyperlink"/>
          </w:rPr>
          <w:t xml:space="preserve">Hollander, Wolfe, and Chicken 2013</w:t>
        </w:r>
      </w:hyperlink>
      <w:r>
        <w:t xml:space="preserve">)</w:t>
      </w:r>
      <w:r>
        <w:t xml:space="preserve">. These tests were used to statistically characterize the temporal progression of changes in the bay following release from Piney Point.</w:t>
      </w:r>
      <w:r>
        <w:t xml:space="preserve">”</w:t>
      </w:r>
    </w:p>
    <w:p>
      <w:pPr>
        <w:pStyle w:val="FirstParagraph"/>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numPr>
          <w:ilvl w:val="0"/>
          <w:numId w:val="1027"/>
        </w:numPr>
        <w:pStyle w:val="Compact"/>
      </w:pPr>
      <w:r>
        <w:rPr>
          <w:bCs/>
          <w:b/>
        </w:rPr>
        <w:t xml:space="preserve">Response</w:t>
      </w:r>
      <w:r>
        <w:t xml:space="preserve">: The first section of the results describing the timeline was removed and text was placed in the appropriate sections that followed. The timeline is now referenced in the first paragraph of the discussion to provide a synthesis of the main results that were described.</w:t>
      </w:r>
    </w:p>
    <w:p>
      <w:pPr>
        <w:pStyle w:val="FirstParagraph"/>
      </w:pPr>
      <w:r>
        <w:t xml:space="preserve">P11/L20-: this first part of the results has a choppy structure</w:t>
      </w:r>
    </w:p>
    <w:p>
      <w:pPr>
        <w:numPr>
          <w:ilvl w:val="0"/>
          <w:numId w:val="1028"/>
        </w:numPr>
        <w:pStyle w:val="Compact"/>
      </w:pPr>
      <w:r>
        <w:rPr>
          <w:bCs/>
          <w:b/>
        </w:rPr>
        <w:t xml:space="preserve">Response</w:t>
      </w:r>
      <w:r>
        <w:t xml:space="preserve">: Please see the response to the previous comment.</w:t>
      </w:r>
    </w:p>
    <w:p>
      <w:pPr>
        <w:pStyle w:val="FirstParagraph"/>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numPr>
          <w:ilvl w:val="0"/>
          <w:numId w:val="1029"/>
        </w:numPr>
      </w:pPr>
      <w:r>
        <w:rPr>
          <w:bCs/>
          <w:b/>
        </w:rPr>
        <w:t xml:space="preserve">Response</w:t>
      </w:r>
      <w:r>
        <w:t xml:space="preserve">: Yes, red tide was observed in the Gulf of Mexico prior to the occurrence in Tampa Bay. Content in the red tide section was edited to make this clear (line xxx):</w:t>
      </w:r>
    </w:p>
    <w:p>
      <w:pPr>
        <w:numPr>
          <w:ilvl w:val="0"/>
          <w:numId w:val="1000"/>
        </w:numPr>
      </w:pPr>
      <w:r>
        <w:t xml:space="preserve">“</w:t>
      </w:r>
      <w:r>
        <w:t xml:space="preserve">This first Tampa Bay influx originated from an ongoing coastal bloom in the Gulf of Mexico, as is common when red tide is observed in the bay</w:t>
      </w:r>
      <w:r>
        <w:t xml:space="preserve"> </w:t>
      </w:r>
      <w:r>
        <w:t xml:space="preserve">(</w:t>
      </w:r>
      <w:hyperlink w:anchor="ref-Steidinger72">
        <w:r>
          <w:rPr>
            <w:rStyle w:val="Hyperlink"/>
          </w:rPr>
          <w:t xml:space="preserve">Steidinger and Ingle 1972</w:t>
        </w:r>
      </w:hyperlink>
      <w:r>
        <w:t xml:space="preserve">;</w:t>
      </w:r>
      <w:r>
        <w:t xml:space="preserve"> </w:t>
      </w:r>
      <w:hyperlink w:anchor="ref-Flaherty11">
        <w:r>
          <w:rPr>
            <w:rStyle w:val="Hyperlink"/>
          </w:rPr>
          <w:t xml:space="preserve">Flaherty and Landsberg 2011</w:t>
        </w:r>
      </w:hyperlink>
      <w:r>
        <w:t xml:space="preserve">)</w:t>
      </w:r>
      <w:r>
        <w:t xml:space="preserve">.</w:t>
      </w:r>
      <w:r>
        <w:t xml:space="preserve">”</w:t>
      </w:r>
    </w:p>
    <w:p>
      <w:pPr>
        <w:numPr>
          <w:ilvl w:val="0"/>
          <w:numId w:val="1000"/>
        </w:numPr>
      </w:pPr>
      <w:r>
        <w:t xml:space="preserve">Blooms in Tampa Bay originate from</w:t>
      </w:r>
      <w:r>
        <w:t xml:space="preserve"> </w:t>
      </w:r>
      <w:r>
        <w:rPr>
          <w:iCs/>
          <w:i/>
        </w:rPr>
        <w:t xml:space="preserve">K. brevis</w:t>
      </w:r>
      <w:r>
        <w:t xml:space="preserve"> </w:t>
      </w:r>
      <w:r>
        <w:t xml:space="preserve">that is transported in from the Gulf of Mexico. An important distinction that we make in this paper is that, although blooms in Tampa Bay are not uncommon, the severity of the 2021 bloom was very likely related to the favorable conditions in the bay prior to July. These favorable conditons were related to 1) nutrient availability from Piney Point, and 2) high salinity conditions from low rainfall. The passage of tropical storm Elsa was also a confounding factor. It is nearly impossible to identify a single factor causing the observed conditions, but we describe the considerations in the discussion (lines xxx to xxx).</w:t>
      </w:r>
    </w:p>
    <w:p>
      <w:pPr>
        <w:pStyle w:val="FirstParagraph"/>
      </w:pPr>
      <w:r>
        <w:t xml:space="preserve">P16/L26: not sure I see the rationale for analyzing the data using Braun Blanquet estimates, which, in my impression, was developed as a rapid assessment</w:t>
      </w:r>
    </w:p>
    <w:p>
      <w:pPr>
        <w:numPr>
          <w:ilvl w:val="0"/>
          <w:numId w:val="1030"/>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routine monitoring is the transect length, which is typically much longer than the 50m used in the 2021 rapid design. This shorter distance was chosen to allow for quicker sampling times and greater coverage in response to the rapidly changing conditions in 2021. Thus, we consider the rapid design as providing data that are of similar quality to the long-term data, with notable exceptions indicated in the mansucript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numPr>
          <w:ilvl w:val="0"/>
          <w:numId w:val="1031"/>
        </w:numPr>
        <w:pStyle w:val="Compact"/>
      </w:pPr>
      <w:r>
        <w:rPr>
          <w:bCs/>
          <w:b/>
        </w:rPr>
        <w:t xml:space="preserve">Response</w:t>
      </w:r>
      <w:r>
        <w:t xml:space="preserve">: This section was moved to the discussion, please see the response to your general comment above.</w:t>
      </w:r>
    </w:p>
    <w:p>
      <w:pPr>
        <w:pStyle w:val="FirstParagraph"/>
      </w:pPr>
      <w:r>
        <w:t xml:space="preserve">P18/L18: or a shift in the relative availability, N:P</w:t>
      </w:r>
    </w:p>
    <w:p>
      <w:pPr>
        <w:numPr>
          <w:ilvl w:val="0"/>
          <w:numId w:val="1032"/>
        </w:numPr>
        <w:pStyle w:val="Compact"/>
      </w:pPr>
      <w:r>
        <w:rPr>
          <w:bCs/>
          <w:b/>
        </w:rPr>
        <w:t xml:space="preserve">Response</w:t>
      </w:r>
      <w:r>
        <w:t xml:space="preserve">: Added text</w:t>
      </w:r>
      <w:r>
        <w:t xml:space="preserve"> </w:t>
      </w:r>
      <w:r>
        <w:t xml:space="preserve">“</w:t>
      </w:r>
      <w:r>
        <w:t xml:space="preserve">…or changing availability of nutrient ratios.</w:t>
      </w:r>
      <w:r>
        <w:t xml:space="preserve">”</w:t>
      </w:r>
    </w:p>
    <w:bookmarkEnd w:id="21"/>
    <w:bookmarkStart w:id="31"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33"/>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34"/>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chlorohpyll measurements in the vicinity of Port Manataee and cell concentrations enumerated to taxa from laboratory analysis. The word limit for the abstract prevents these details, but they are presented in text (i.e., line xxx and xxx).</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35"/>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2">
        <w:r>
          <w:rPr>
            <w:rStyle w:val="Hyperlink"/>
          </w:rPr>
          <w:t xml:space="preserve">a</w:t>
        </w:r>
      </w:hyperlink>
      <w:r>
        <w:t xml:space="preserve">,</w:t>
      </w:r>
      <w:hyperlink r:id="rId23">
        <w:r>
          <w:rPr>
            <w:rStyle w:val="Hyperlink"/>
          </w:rPr>
          <w:t xml:space="preserve">b</w:t>
        </w:r>
      </w:hyperlink>
      <w:r>
        <w:t xml:space="preserve">,</w:t>
      </w:r>
      <w:hyperlink r:id="rId24">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5">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6">
        <w:r>
          <w:rPr>
            <w:rStyle w:val="Hyperlink"/>
          </w:rPr>
          <w:t xml:space="preserve">http://ocgweb.marine.usf.edu/~liu/Tracer/</w:t>
        </w:r>
      </w:hyperlink>
      <w:r>
        <w:t xml:space="preserve">) served as the principal guidance for coordinating the data collection during the event. Preliminary model results were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36"/>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7">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8">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37"/>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38"/>
        </w:numPr>
        <w:pStyle w:val="Compact"/>
      </w:pPr>
      <w:r>
        <w:rPr>
          <w:bCs/>
          <w:b/>
        </w:rPr>
        <w:t xml:space="preserve">Response</w:t>
      </w:r>
      <w:r>
        <w:t xml:space="preserve">: Our methods for estimating inflows into Tampa Bay are based on methods that are similarly presented in a technical report published by the Tampa Bay Estuary Program in 2012</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to the bay. We have provided a citation to this report in the paper.</w:t>
      </w:r>
    </w:p>
    <w:p>
      <w:pPr>
        <w:pStyle w:val="FirstParagraph"/>
      </w:pPr>
      <w:r>
        <w:t xml:space="preserve">Page 11, Line 30 - Need to put Anna Maria Sound on the map. Likewise for Port Manatee.</w:t>
      </w:r>
    </w:p>
    <w:p>
      <w:pPr>
        <w:numPr>
          <w:ilvl w:val="0"/>
          <w:numId w:val="1039"/>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40"/>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41"/>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line xxx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(line xxx). However, this does not provide an assessment of biomass or coverage. Weight data were collected for select macroalgae samples during the 2021 surveys and a preliminary analysis (see the Seagrass -&gt; Biomass estimates tab</w:t>
      </w:r>
      <w:r>
        <w:t xml:space="preserve"> </w:t>
      </w:r>
      <w:hyperlink r:id="rId29">
        <w:r>
          <w:rPr>
            <w:rStyle w:val="Hyperlink"/>
          </w:rPr>
          <w:t xml:space="preserve">here</w:t>
        </w:r>
      </w:hyperlink>
      <w:r>
        <w:t xml:space="preserve">) suggested similar trends as the frequnecy occurrence results. Because we did not have comparable weight data for seagrasses, the analysis was not included. It is also worth mentioning that coverage estimates are obtained every two years for Tampa Bay as an annual snapshot (noted on line xxx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line xxx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42"/>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0">
        <w:r>
          <w:rPr>
            <w:rStyle w:val="Hyperlink"/>
          </w:rPr>
          <w:t xml:space="preserve">here</w:t>
        </w:r>
      </w:hyperlink>
      <w:r>
        <w:t xml:space="preserve">). However, this was not included due to differences in reporting methods that have changed over time. Online reporting became an option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43"/>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44"/>
        </w:numPr>
        <w:pStyle w:val="Compact"/>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pPr>
        <w:pStyle w:val="FirstParagraph"/>
      </w:pPr>
      <w:r>
        <w:t xml:space="preserve">Page 20, Line 22 - Ammonium, not ammonia. Or was pH such that ammonia would be the dominant form?</w:t>
      </w:r>
    </w:p>
    <w:p>
      <w:pPr>
        <w:numPr>
          <w:ilvl w:val="0"/>
          <w:numId w:val="1045"/>
        </w:numPr>
        <w:pStyle w:val="Compact"/>
      </w:pPr>
      <w:r>
        <w:rPr>
          <w:bCs/>
          <w:b/>
        </w:rPr>
        <w:t xml:space="preserve">Response</w:t>
      </w:r>
      <w:r>
        <w:t xml:space="preserve">: This is in reference to total ammonia nitrogen, as was provided by the water quality sampling. We have made a note on line xxx in the methods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46"/>
        </w:numPr>
      </w:pPr>
      <w:r>
        <w:rPr>
          <w:bCs/>
          <w:b/>
        </w:rPr>
        <w:t xml:space="preserve">Response</w:t>
      </w:r>
      <w:r>
        <w:t xml:space="preserve">: Previous content in the discussion below this paragraph provided some historical context on red tide events in the region. Specifically, starting on line xxx:</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47"/>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48"/>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49"/>
        </w:numPr>
        <w:pStyle w:val="Compact"/>
      </w:pPr>
      <w:r>
        <w:rPr>
          <w:bCs/>
          <w:b/>
        </w:rPr>
        <w:t xml:space="preserve">Response</w:t>
      </w:r>
      <w:r>
        <w:t xml:space="preserve">: The paragraph was removed for brevity.</w:t>
      </w:r>
    </w:p>
    <w:bookmarkEnd w:id="31"/>
    <w:bookmarkStart w:id="61" w:name="references"/>
    <w:p>
      <w:pPr>
        <w:pStyle w:val="Heading1"/>
      </w:pPr>
      <w:r>
        <w:t xml:space="preserve">References</w:t>
      </w:r>
    </w:p>
    <w:bookmarkStart w:id="60" w:name="refs"/>
    <w:bookmarkStart w:id="33"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2">
        <w:r>
          <w:rPr>
            <w:rStyle w:val="Hyperlink"/>
          </w:rPr>
          <w:t xml:space="preserve">https://doi.org/10.4031/MTSJ.52.3.6</w:t>
        </w:r>
      </w:hyperlink>
      <w:r>
        <w:t xml:space="preserve">.</w:t>
      </w:r>
    </w:p>
    <w:bookmarkEnd w:id="33"/>
    <w:bookmarkStart w:id="35"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4">
        <w:r>
          <w:rPr>
            <w:rStyle w:val="Hyperlink"/>
          </w:rPr>
          <w:t xml:space="preserve">https://doi.org/10.1029/2018JC014890</w:t>
        </w:r>
      </w:hyperlink>
      <w:r>
        <w:t xml:space="preserve">.</w:t>
      </w:r>
    </w:p>
    <w:bookmarkEnd w:id="35"/>
    <w:bookmarkStart w:id="37" w:name="ref-Flaherty11"/>
    <w:p>
      <w:pPr>
        <w:pStyle w:val="Bibliography"/>
      </w:pPr>
      <w:r>
        <w:t xml:space="preserve">Flaherty, Kerry E., and Jan H. Landsberg. 2011.</w:t>
      </w:r>
      <w:r>
        <w:t xml:space="preserve"> </w:t>
      </w:r>
      <w:r>
        <w:t xml:space="preserve">“Effects of a Persistent Red Tide</w:t>
      </w:r>
      <w:r>
        <w:t xml:space="preserve"> </w:t>
      </w:r>
      <w:r>
        <w:rPr>
          <w:iCs/>
          <w:i/>
        </w:rPr>
        <w:t xml:space="preserve">K</w:t>
      </w:r>
      <w:r>
        <w:rPr>
          <w:iCs/>
          <w:i/>
        </w:rPr>
        <w:t xml:space="preserve">arenia Brevis</w:t>
      </w:r>
      <w:r>
        <w:t xml:space="preserve"> </w:t>
      </w:r>
      <w:r>
        <w:t xml:space="preserve">Bloom on Community Structure and Species-Specific Relative Abundance of Nekton in a</w:t>
      </w:r>
      <w:r>
        <w:t xml:space="preserve"> </w:t>
      </w:r>
      <w:r>
        <w:t xml:space="preserve">G</w:t>
      </w:r>
      <w:r>
        <w:t xml:space="preserve">ulf of</w:t>
      </w:r>
      <w:r>
        <w:t xml:space="preserve"> </w:t>
      </w:r>
      <w:r>
        <w:t xml:space="preserve">M</w:t>
      </w:r>
      <w:r>
        <w:t xml:space="preserve">exico Estuary.”</w:t>
      </w:r>
      <w:r>
        <w:t xml:space="preserve"> </w:t>
      </w:r>
      <w:r>
        <w:rPr>
          <w:iCs/>
          <w:i/>
        </w:rPr>
        <w:t xml:space="preserve">Estuaries and Coasts</w:t>
      </w:r>
      <w:r>
        <w:t xml:space="preserve"> </w:t>
      </w:r>
      <w:r>
        <w:t xml:space="preserve">34: 417–39.</w:t>
      </w:r>
      <w:r>
        <w:t xml:space="preserve"> </w:t>
      </w:r>
      <w:hyperlink r:id="rId36">
        <w:r>
          <w:rPr>
            <w:rStyle w:val="Hyperlink"/>
          </w:rPr>
          <w:t xml:space="preserve">https://doi.org/10.1007/s12237-010-9350-x</w:t>
        </w:r>
      </w:hyperlink>
      <w:r>
        <w:t xml:space="preserve">.</w:t>
      </w:r>
    </w:p>
    <w:bookmarkEnd w:id="37"/>
    <w:bookmarkStart w:id="39"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38">
        <w:r>
          <w:rPr>
            <w:rStyle w:val="Hyperlink"/>
          </w:rPr>
          <w:t xml:space="preserve">https://doi.org/10.1007/s00267-005-0079-4</w:t>
        </w:r>
      </w:hyperlink>
      <w:r>
        <w:t xml:space="preserve">.</w:t>
      </w:r>
    </w:p>
    <w:bookmarkEnd w:id="39"/>
    <w:bookmarkStart w:id="41"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40">
        <w:r>
          <w:rPr>
            <w:rStyle w:val="Hyperlink"/>
          </w:rPr>
          <w:t xml:space="preserve">https://doi.org/10.1016/j.ecss.2014.10.003</w:t>
        </w:r>
      </w:hyperlink>
      <w:r>
        <w:t xml:space="preserve">.</w:t>
      </w:r>
    </w:p>
    <w:bookmarkEnd w:id="41"/>
    <w:bookmarkStart w:id="42" w:name="ref-Hollander13"/>
    <w:p>
      <w:pPr>
        <w:pStyle w:val="Bibliography"/>
      </w:pPr>
      <w:r>
        <w:t xml:space="preserve">Hollander, Myles, Douglas A Wolfe, and Eric Chicken. 2013.</w:t>
      </w:r>
      <w:r>
        <w:t xml:space="preserve"> </w:t>
      </w:r>
      <w:r>
        <w:rPr>
          <w:iCs/>
          <w:i/>
        </w:rPr>
        <w:t xml:space="preserve">Nonparametric Statistical Methods</w:t>
      </w:r>
      <w:r>
        <w:t xml:space="preserve">. Vol. 751. John Wiley &amp; Sons.</w:t>
      </w:r>
    </w:p>
    <w:bookmarkEnd w:id="42"/>
    <w:bookmarkStart w:id="44"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3">
        <w:r>
          <w:rPr>
            <w:rStyle w:val="Hyperlink"/>
          </w:rPr>
          <w:t xml:space="preserve">https://drive.google.com/file/d/1C6Arwat9IxYs8jeTZpcmBB6WBTpeQ2nw/view?usp=drivesdk</w:t>
        </w:r>
      </w:hyperlink>
      <w:r>
        <w:t xml:space="preserve">.</w:t>
      </w:r>
    </w:p>
    <w:bookmarkEnd w:id="44"/>
    <w:bookmarkStart w:id="46"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5">
        <w:r>
          <w:rPr>
            <w:rStyle w:val="Hyperlink"/>
          </w:rPr>
          <w:t xml:space="preserve">https://drive.google.com/file/d/1Z_8L9sYQWSl1hon1tP1Y8zBo7MHQK9zC/view?usp=drivesdk</w:t>
        </w:r>
      </w:hyperlink>
      <w:r>
        <w:t xml:space="preserve">.</w:t>
      </w:r>
    </w:p>
    <w:bookmarkEnd w:id="46"/>
    <w:bookmarkStart w:id="47"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47"/>
    <w:bookmarkStart w:id="49"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48">
        <w:r>
          <w:rPr>
            <w:rStyle w:val="Hyperlink"/>
          </w:rPr>
          <w:t xml:space="preserve">https://drive.google.com/file/d/1DyA0PNHV8rEXGMwGiyS7sXY1ECLYpJJO/view?usp=sharing</w:t>
        </w:r>
      </w:hyperlink>
      <w:r>
        <w:t xml:space="preserve">.</w:t>
      </w:r>
    </w:p>
    <w:bookmarkEnd w:id="49"/>
    <w:bookmarkStart w:id="51"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50">
        <w:r>
          <w:rPr>
            <w:rStyle w:val="Hyperlink"/>
          </w:rPr>
          <w:t xml:space="preserve">https://doi.org/10.1353/sgo.2017.0026</w:t>
        </w:r>
      </w:hyperlink>
      <w:r>
        <w:t xml:space="preserve">.</w:t>
      </w:r>
    </w:p>
    <w:bookmarkEnd w:id="51"/>
    <w:bookmarkStart w:id="53"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52">
        <w:r>
          <w:rPr>
            <w:rStyle w:val="Hyperlink"/>
          </w:rPr>
          <w:t xml:space="preserve">https://doi.org/10.1016/j.hal.2021.102118</w:t>
        </w:r>
      </w:hyperlink>
      <w:r>
        <w:t xml:space="preserve">.</w:t>
      </w:r>
    </w:p>
    <w:bookmarkEnd w:id="53"/>
    <w:bookmarkStart w:id="55" w:name="ref-Steidinger72"/>
    <w:p>
      <w:pPr>
        <w:pStyle w:val="Bibliography"/>
      </w:pPr>
      <w:r>
        <w:t xml:space="preserve">Steidinger, Karen A, and Robert M Ingle. 1972.</w:t>
      </w:r>
      <w:r>
        <w:t xml:space="preserve"> </w:t>
      </w:r>
      <w:r>
        <w:t xml:space="preserve">“Observations on the 1971 Summer Red Tide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Environmental Letters</w:t>
      </w:r>
      <w:r>
        <w:t xml:space="preserve"> </w:t>
      </w:r>
      <w:r>
        <w:t xml:space="preserve">3 (4): 271–78.</w:t>
      </w:r>
      <w:r>
        <w:t xml:space="preserve"> </w:t>
      </w:r>
      <w:hyperlink r:id="rId54">
        <w:r>
          <w:rPr>
            <w:rStyle w:val="Hyperlink"/>
          </w:rPr>
          <w:t xml:space="preserve">https://doi.org/10.1080/00139307209435473</w:t>
        </w:r>
      </w:hyperlink>
      <w:r>
        <w:t xml:space="preserve">.</w:t>
      </w:r>
    </w:p>
    <w:bookmarkEnd w:id="55"/>
    <w:bookmarkStart w:id="57"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6">
        <w:r>
          <w:rPr>
            <w:rStyle w:val="Hyperlink"/>
          </w:rPr>
          <w:t xml:space="preserve">https://doi.org/10.1007/BF02798661</w:t>
        </w:r>
      </w:hyperlink>
      <w:r>
        <w:t xml:space="preserve">.</w:t>
      </w:r>
    </w:p>
    <w:bookmarkEnd w:id="57"/>
    <w:bookmarkStart w:id="59"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58">
        <w:r>
          <w:rPr>
            <w:rStyle w:val="Hyperlink"/>
          </w:rPr>
          <w:t xml:space="preserve">https://doi.org/10.1006/ecss.1999.0490</w:t>
        </w:r>
      </w:hyperlink>
      <w:r>
        <w:t xml:space="preserve">.</w:t>
      </w:r>
    </w:p>
    <w:bookmarkEnd w:id="59"/>
    <w:bookmarkEnd w:id="60"/>
    <w:bookmarkEnd w:id="61"/>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8" Target="https://doi.org/10.1006/ecss.1999.0490" TargetMode="External" /><Relationship Type="http://schemas.openxmlformats.org/officeDocument/2006/relationships/hyperlink" Id="rId56" Target="https://doi.org/10.1007/BF02798661" TargetMode="External" /><Relationship Type="http://schemas.openxmlformats.org/officeDocument/2006/relationships/hyperlink" Id="rId38" Target="https://doi.org/10.1007/s00267-005-0079-4" TargetMode="External" /><Relationship Type="http://schemas.openxmlformats.org/officeDocument/2006/relationships/hyperlink" Id="rId36" Target="https://doi.org/10.1007/s12237-010-9350-x"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40" Target="https://doi.org/10.1016/j.ecss.2014.10.003" TargetMode="External" /><Relationship Type="http://schemas.openxmlformats.org/officeDocument/2006/relationships/hyperlink" Id="rId52"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54" Target="https://doi.org/10.1080/00139307209435473" TargetMode="External" /><Relationship Type="http://schemas.openxmlformats.org/officeDocument/2006/relationships/hyperlink" Id="rId50"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3" Target="https://drive.google.com/file/d/1C6Arwat9IxYs8jeTZpcmBB6WBTpeQ2nw/view?usp=drivesdk" TargetMode="External" /><Relationship Type="http://schemas.openxmlformats.org/officeDocument/2006/relationships/hyperlink" Id="rId48" Target="https://drive.google.com/file/d/1DyA0PNHV8rEXGMwGiyS7sXY1ECLYpJJO/view?usp=sharing" TargetMode="External" /><Relationship Type="http://schemas.openxmlformats.org/officeDocument/2006/relationships/hyperlink" Id="rId45"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8" Target="https://doi.org/10.1006/ecss.1999.0490" TargetMode="External" /><Relationship Type="http://schemas.openxmlformats.org/officeDocument/2006/relationships/hyperlink" Id="rId56" Target="https://doi.org/10.1007/BF02798661" TargetMode="External" /><Relationship Type="http://schemas.openxmlformats.org/officeDocument/2006/relationships/hyperlink" Id="rId38" Target="https://doi.org/10.1007/s00267-005-0079-4" TargetMode="External" /><Relationship Type="http://schemas.openxmlformats.org/officeDocument/2006/relationships/hyperlink" Id="rId36" Target="https://doi.org/10.1007/s12237-010-9350-x"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40" Target="https://doi.org/10.1016/j.ecss.2014.10.003" TargetMode="External" /><Relationship Type="http://schemas.openxmlformats.org/officeDocument/2006/relationships/hyperlink" Id="rId52"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54" Target="https://doi.org/10.1080/00139307209435473" TargetMode="External" /><Relationship Type="http://schemas.openxmlformats.org/officeDocument/2006/relationships/hyperlink" Id="rId50"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3" Target="https://drive.google.com/file/d/1C6Arwat9IxYs8jeTZpcmBB6WBTpeQ2nw/view?usp=drivesdk" TargetMode="External" /><Relationship Type="http://schemas.openxmlformats.org/officeDocument/2006/relationships/hyperlink" Id="rId48" Target="https://drive.google.com/file/d/1DyA0PNHV8rEXGMwGiyS7sXY1ECLYpJJO/view?usp=sharing" TargetMode="External" /><Relationship Type="http://schemas.openxmlformats.org/officeDocument/2006/relationships/hyperlink" Id="rId45"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2022-01-30T16:26:40Z</dcterms:created>
  <dcterms:modified xsi:type="dcterms:W3CDTF">2022-01-30T16:26:40Z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