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Please see the details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numPr>
          <w:ilvl w:val="0"/>
          <w:numId w:val="1004"/>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5"/>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6"/>
        </w:numPr>
        <w:pStyle w:val="Compact"/>
      </w:pPr>
      <w:r>
        <w:rPr>
          <w:bCs/>
          <w:b/>
        </w:rPr>
        <w:t xml:space="preserve">Response</w:t>
      </w:r>
      <w:r>
        <w:t xml:space="preserve">: We have removed this from the text.</w:t>
      </w:r>
    </w:p>
    <w:p>
      <w:pPr>
        <w:pStyle w:val="FirstParagraph"/>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07"/>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08"/>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numPr>
          <w:ilvl w:val="0"/>
          <w:numId w:val="1009"/>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including Tampa was a longer period of record. However, we have revised the historical baseline in the plot to include only years 2006 to 2020, consistent with our comparison of the water quality data with the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numPr>
          <w:ilvl w:val="0"/>
          <w:numId w:val="1010"/>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29"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11"/>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pStyle w:val="BodyText"/>
      </w:pPr>
      <w:r>
        <w:t xml:space="preserve">*</w:t>
      </w: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absract prevents these details, but they are presented in text (i.e., line xxx and xxx).</w:t>
      </w:r>
    </w:p>
    <w:p>
      <w:pPr>
        <w:pStyle w:val="BodyText"/>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12"/>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13"/>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14"/>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15"/>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in to the bay. We have provided a citation to this report in the paper.</w:t>
      </w:r>
    </w:p>
    <w:p>
      <w:pPr>
        <w:pStyle w:val="FirstParagraph"/>
      </w:pPr>
      <w:r>
        <w:t xml:space="preserve">Page 11, Line 30 - Need to put Anna Maria Sound on the map. Likewise for Port Manatee.</w:t>
      </w:r>
    </w:p>
    <w:p>
      <w:pPr>
        <w:numPr>
          <w:ilvl w:val="0"/>
          <w:numId w:val="1016"/>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17"/>
        </w:numPr>
        <w:pStyle w:val="Compact"/>
      </w:pPr>
      <w:r>
        <w:rPr>
          <w:bCs/>
          <w:b/>
        </w:rPr>
        <w:t xml:space="preserve">Response</w:t>
      </w:r>
      <w:r>
        <w:t xml:space="preserve">: As noted in the red tide section and discussion, Tropical Storm Elsa was considered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18"/>
        </w:numPr>
        <w:pStyle w:val="Compact"/>
      </w:pPr>
      <w:r>
        <w:rPr>
          <w:bCs/>
          <w:b/>
        </w:rPr>
        <w:t xml:space="preserve">Response</w:t>
      </w:r>
      <w:r>
        <w:t xml:space="preserve">:</w:t>
      </w:r>
    </w:p>
    <w:p>
      <w:pPr>
        <w:pStyle w:val="FirstParagraph"/>
      </w:pPr>
      <w:r>
        <w:t xml:space="preserve">Page 17, Lines 17-20 - How did the 2021 fish kills compare to historical kill spatial-temporal trends?</w:t>
      </w:r>
    </w:p>
    <w:p>
      <w:pPr>
        <w:numPr>
          <w:ilvl w:val="0"/>
          <w:numId w:val="1019"/>
        </w:numPr>
        <w:pStyle w:val="Compact"/>
      </w:pPr>
      <w:r>
        <w:rPr>
          <w:bCs/>
          <w:b/>
        </w:rPr>
        <w:t xml:space="preserve">Response</w:t>
      </w:r>
      <w:r>
        <w:t xml:space="preserve">: We were also interested in this question and had included a long-term trend plot in an earlier draft, with results as early as 1995. However, this was not included due to differences in reporting methods that have changed over time. For example, online reporting iculties in comparing the long-term trend to current results</w:t>
      </w:r>
    </w:p>
    <w:p>
      <w:pPr>
        <w:pStyle w:val="FirstParagraph"/>
      </w:pPr>
      <w:r>
        <w:t xml:space="preserve">Page 17, Lines 37-40 - Could there have been a role for low D.O. in the post-storm fish kills?</w:t>
      </w:r>
    </w:p>
    <w:p>
      <w:pPr>
        <w:numPr>
          <w:ilvl w:val="0"/>
          <w:numId w:val="1020"/>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21"/>
        </w:numPr>
      </w:pPr>
      <w:r>
        <w:rPr>
          <w:bCs/>
          <w:b/>
        </w:rPr>
        <w:t xml:space="preserve">Response</w:t>
      </w:r>
      <w:r>
        <w:t xml:space="preserve">: We agree that this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numPr>
          <w:ilvl w:val="0"/>
          <w:numId w:val="1000"/>
        </w:numPr>
      </w:pPr>
      <w:r>
        <w:t xml:space="preserve">We also note that phosphorus trends are included in the supplement.</w:t>
      </w:r>
    </w:p>
    <w:p>
      <w:pPr>
        <w:pStyle w:val="FirstParagraph"/>
      </w:pPr>
      <w:r>
        <w:t xml:space="preserve">Page 20, Line 22 - Ammonium, not ammonia. Or was pH such that ammonia would be the dominant form?</w:t>
      </w:r>
    </w:p>
    <w:p>
      <w:pPr>
        <w:numPr>
          <w:ilvl w:val="0"/>
          <w:numId w:val="1022"/>
        </w:numPr>
        <w:pStyle w:val="Compact"/>
      </w:pPr>
      <w:r>
        <w:rPr>
          <w:bCs/>
          <w:b/>
        </w:rPr>
        <w:t xml:space="preserve">Response</w:t>
      </w:r>
      <w:r>
        <w:t xml:space="preserve">:</w:t>
      </w:r>
    </w:p>
    <w:p>
      <w:pPr>
        <w:pStyle w:val="FirstParagraph"/>
      </w:pPr>
      <w:r>
        <w:t xml:space="preserve">Page 20, Line 39 - Might be worth having a separate paragraph that talks about the timing/duration of the K. brevis bloom in 2021 compared to historic conditions.</w:t>
      </w:r>
    </w:p>
    <w:p>
      <w:pPr>
        <w:numPr>
          <w:ilvl w:val="0"/>
          <w:numId w:val="1023"/>
        </w:numPr>
        <w:pStyle w:val="Compact"/>
      </w:pPr>
      <w:r>
        <w:rPr>
          <w:bCs/>
          <w:b/>
        </w:rPr>
        <w:t xml:space="preserve">Response</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24"/>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25"/>
        </w:numPr>
        <w:pStyle w:val="Compact"/>
      </w:pPr>
      <w:r>
        <w:rPr>
          <w:bCs/>
          <w:b/>
        </w:rPr>
        <w:t xml:space="preserve">Response</w:t>
      </w:r>
      <w:r>
        <w:t xml:space="preserve">:</w:t>
      </w:r>
    </w:p>
    <w:p>
      <w:pPr>
        <w:pStyle w:val="FirstParagraph"/>
      </w:pPr>
      <w:r>
        <w:t xml:space="preserve">Page 24, Lines 17-52 - Speculative without showing methods of data collection or the actual data.</w:t>
      </w:r>
    </w:p>
    <w:p>
      <w:pPr>
        <w:numPr>
          <w:ilvl w:val="0"/>
          <w:numId w:val="1026"/>
        </w:numPr>
        <w:pStyle w:val="Compact"/>
      </w:pPr>
      <w:r>
        <w:rPr>
          <w:bCs/>
          <w:b/>
        </w:rPr>
        <w:t xml:space="preserve">Response</w:t>
      </w:r>
      <w:r>
        <w:t xml:space="preserve">:</w:t>
      </w:r>
    </w:p>
    <w:bookmarkEnd w:id="29"/>
    <w:bookmarkStart w:id="50" w:name="references"/>
    <w:p>
      <w:pPr>
        <w:pStyle w:val="Heading1"/>
      </w:pPr>
      <w:r>
        <w:t xml:space="preserve">References</w:t>
      </w:r>
    </w:p>
    <w:bookmarkStart w:id="49" w:name="refs"/>
    <w:bookmarkStart w:id="31"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0">
        <w:r>
          <w:rPr>
            <w:rStyle w:val="Hyperlink"/>
          </w:rPr>
          <w:t xml:space="preserve">https://doi.org/10.4031/MTSJ.52.3.6</w:t>
        </w:r>
      </w:hyperlink>
      <w:r>
        <w:t xml:space="preserve">.</w:t>
      </w:r>
    </w:p>
    <w:bookmarkEnd w:id="31"/>
    <w:bookmarkStart w:id="33"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2">
        <w:r>
          <w:rPr>
            <w:rStyle w:val="Hyperlink"/>
          </w:rPr>
          <w:t xml:space="preserve">https://doi.org/10.1029/2018JC014890</w:t>
        </w:r>
      </w:hyperlink>
      <w:r>
        <w:t xml:space="preserve">.</w:t>
      </w:r>
    </w:p>
    <w:bookmarkEnd w:id="33"/>
    <w:bookmarkStart w:id="35"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4">
        <w:r>
          <w:rPr>
            <w:rStyle w:val="Hyperlink"/>
          </w:rPr>
          <w:t xml:space="preserve">https://doi.org/10.1007/s00267-005-0079-4</w:t>
        </w:r>
      </w:hyperlink>
      <w:r>
        <w:t xml:space="preserve">.</w:t>
      </w:r>
    </w:p>
    <w:bookmarkEnd w:id="35"/>
    <w:bookmarkStart w:id="37"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36">
        <w:r>
          <w:rPr>
            <w:rStyle w:val="Hyperlink"/>
          </w:rPr>
          <w:t xml:space="preserve">https://doi.org/10.1016/j.ecss.2014.10.003</w:t>
        </w:r>
      </w:hyperlink>
      <w:r>
        <w:t xml:space="preserve">.</w:t>
      </w:r>
    </w:p>
    <w:bookmarkEnd w:id="37"/>
    <w:bookmarkStart w:id="39"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38">
        <w:r>
          <w:rPr>
            <w:rStyle w:val="Hyperlink"/>
          </w:rPr>
          <w:t xml:space="preserve">https://drive.google.com/file/d/1C6Arwat9IxYs8jeTZpcmBB6WBTpeQ2nw/view?usp=drivesdk</w:t>
        </w:r>
      </w:hyperlink>
      <w:r>
        <w:t xml:space="preserve">.</w:t>
      </w:r>
    </w:p>
    <w:bookmarkEnd w:id="39"/>
    <w:bookmarkStart w:id="40"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0"/>
    <w:bookmarkStart w:id="42"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1">
        <w:r>
          <w:rPr>
            <w:rStyle w:val="Hyperlink"/>
          </w:rPr>
          <w:t xml:space="preserve">https://drive.google.com/file/d/1DyA0PNHV8rEXGMwGiyS7sXY1ECLYpJJO/view?usp=sharing</w:t>
        </w:r>
      </w:hyperlink>
      <w:r>
        <w:t xml:space="preserve">.</w:t>
      </w:r>
    </w:p>
    <w:bookmarkEnd w:id="42"/>
    <w:bookmarkStart w:id="44"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43">
        <w:r>
          <w:rPr>
            <w:rStyle w:val="Hyperlink"/>
          </w:rPr>
          <w:t xml:space="preserve">https://doi.org/10.1353/sgo.2017.0026</w:t>
        </w:r>
      </w:hyperlink>
      <w:r>
        <w:t xml:space="preserve">.</w:t>
      </w:r>
    </w:p>
    <w:bookmarkEnd w:id="44"/>
    <w:bookmarkStart w:id="46"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45">
        <w:r>
          <w:rPr>
            <w:rStyle w:val="Hyperlink"/>
          </w:rPr>
          <w:t xml:space="preserve">https://doi.org/10.1007/BF02798661</w:t>
        </w:r>
      </w:hyperlink>
      <w:r>
        <w:t xml:space="preserve">.</w:t>
      </w:r>
    </w:p>
    <w:bookmarkEnd w:id="46"/>
    <w:bookmarkStart w:id="48"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47">
        <w:r>
          <w:rPr>
            <w:rStyle w:val="Hyperlink"/>
          </w:rPr>
          <w:t xml:space="preserve">https://doi.org/10.1006/ecss.1999.0490</w:t>
        </w:r>
      </w:hyperlink>
      <w:r>
        <w:t xml:space="preserve">.</w:t>
      </w:r>
    </w:p>
    <w:bookmarkEnd w:id="48"/>
    <w:bookmarkEnd w:id="49"/>
    <w:bookmarkEnd w:id="50"/>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47" Target="https://doi.org/10.1006/ecss.1999.0490" TargetMode="External" /><Relationship Type="http://schemas.openxmlformats.org/officeDocument/2006/relationships/hyperlink" Id="rId45" Target="https://doi.org/10.1007/BF02798661" TargetMode="External" /><Relationship Type="http://schemas.openxmlformats.org/officeDocument/2006/relationships/hyperlink" Id="rId34"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6" Target="https://doi.org/10.1016/j.ecss.2014.10.003" TargetMode="External" /><Relationship Type="http://schemas.openxmlformats.org/officeDocument/2006/relationships/hyperlink" Id="rId32" Target="https://doi.org/10.1029/2018JC014890" TargetMode="External" /><Relationship Type="http://schemas.openxmlformats.org/officeDocument/2006/relationships/hyperlink" Id="rId43" Target="https://doi.org/10.1353/sgo.2017.0026" TargetMode="External" /><Relationship Type="http://schemas.openxmlformats.org/officeDocument/2006/relationships/hyperlink" Id="rId30"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38" Target="https://drive.google.com/file/d/1C6Arwat9IxYs8jeTZpcmBB6WBTpeQ2nw/view?usp=drivesdk" TargetMode="External" /><Relationship Type="http://schemas.openxmlformats.org/officeDocument/2006/relationships/hyperlink" Id="rId41" Target="https://drive.google.com/file/d/1DyA0PNHV8rEXGMwGiyS7sXY1ECLYpJJO/view?usp=sharing"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47" Target="https://doi.org/10.1006/ecss.1999.0490" TargetMode="External" /><Relationship Type="http://schemas.openxmlformats.org/officeDocument/2006/relationships/hyperlink" Id="rId45" Target="https://doi.org/10.1007/BF02798661" TargetMode="External" /><Relationship Type="http://schemas.openxmlformats.org/officeDocument/2006/relationships/hyperlink" Id="rId34"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6" Target="https://doi.org/10.1016/j.ecss.2014.10.003" TargetMode="External" /><Relationship Type="http://schemas.openxmlformats.org/officeDocument/2006/relationships/hyperlink" Id="rId32" Target="https://doi.org/10.1029/2018JC014890" TargetMode="External" /><Relationship Type="http://schemas.openxmlformats.org/officeDocument/2006/relationships/hyperlink" Id="rId43" Target="https://doi.org/10.1353/sgo.2017.0026" TargetMode="External" /><Relationship Type="http://schemas.openxmlformats.org/officeDocument/2006/relationships/hyperlink" Id="rId30"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38" Target="https://drive.google.com/file/d/1C6Arwat9IxYs8jeTZpcmBB6WBTpeQ2nw/view?usp=drivesdk" TargetMode="External" /><Relationship Type="http://schemas.openxmlformats.org/officeDocument/2006/relationships/hyperlink" Id="rId41" Target="https://drive.google.com/file/d/1DyA0PNHV8rEXGMwGiyS7sXY1ECLYpJJO/view?usp=sharing"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2022-01-27T22:43:43Z</dcterms:created>
  <dcterms:modified xsi:type="dcterms:W3CDTF">2022-01-27T22:43:43Z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