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numerouis edits to improve the writing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Note that many of the edits in response to the specific comments from the other reviewers are used to address some of the comments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numPr>
          <w:ilvl w:val="0"/>
          <w:numId w:val="1004"/>
        </w:numPr>
        <w:pStyle w:val="Compact"/>
      </w:pPr>
      <w:r>
        <w:rPr>
          <w:bCs/>
          <w:b/>
        </w:rPr>
        <w:t xml:space="preserve">Response</w:t>
      </w:r>
      <w:r>
        <w:t xml:space="preserve">: Abstract was edited.</w:t>
      </w:r>
    </w:p>
    <w:p>
      <w:pPr>
        <w:pStyle w:val="FirstParagraph"/>
      </w:pPr>
      <w:r>
        <w:t xml:space="preserve">Introduction- needs a complete rewrite- it takes more than 3 pages to get to the point that there was a spill. The general background is interesting but you need to grab the readers attention first.</w:t>
      </w:r>
    </w:p>
    <w:p>
      <w:pPr>
        <w:numPr>
          <w:ilvl w:val="0"/>
          <w:numId w:val="1005"/>
        </w:numPr>
        <w:pStyle w:val="Compact"/>
      </w:pPr>
      <w:r>
        <w:rPr>
          <w:bCs/>
          <w:b/>
        </w:rPr>
        <w:t xml:space="preserve">Response</w:t>
      </w:r>
      <w:r>
        <w:t xml:space="preserve">: Introduction was shortened and edits were made to improve clarity.</w:t>
      </w:r>
    </w:p>
    <w:p>
      <w:pPr>
        <w:pStyle w:val="FirstParagraph"/>
      </w:pPr>
      <w:r>
        <w:t xml:space="preserve">p. 5- inadequate explanation for why the focus on N. Why not both?</w:t>
      </w:r>
    </w:p>
    <w:p>
      <w:pPr>
        <w:numPr>
          <w:ilvl w:val="0"/>
          <w:numId w:val="1006"/>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7"/>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8"/>
        </w:numPr>
        <w:pStyle w:val="Compact"/>
      </w:pPr>
      <w:r>
        <w:rPr>
          <w:bCs/>
          <w:b/>
        </w:rPr>
        <w:t xml:space="preserve">Response</w:t>
      </w:r>
      <w:r>
        <w:t xml:space="preserve">: We have removed this from the text.</w:t>
      </w:r>
    </w:p>
    <w:p>
      <w:pPr>
        <w:pStyle w:val="FirstParagraph"/>
      </w:pPr>
      <w:r>
        <w:t xml:space="preserve">stats section- poorly written, confusing, wordy</w:t>
      </w:r>
    </w:p>
    <w:p>
      <w:pPr>
        <w:numPr>
          <w:ilvl w:val="0"/>
          <w:numId w:val="1009"/>
        </w:numPr>
        <w:pStyle w:val="Compact"/>
      </w:pPr>
      <w:r>
        <w:rPr>
          <w:bCs/>
          <w:b/>
        </w:rPr>
        <w:t xml:space="preserve">Response</w:t>
      </w:r>
      <w:r>
        <w:t xml:space="preserve">: Please see the responses to reviewer 2.</w:t>
      </w:r>
    </w:p>
    <w:p>
      <w:pPr>
        <w:pStyle w:val="FirstParagraph"/>
      </w:pPr>
      <w:r>
        <w:t xml:space="preserve">Results- rambling, disorganized and non-quantitative. Paragraphs don’t make sense (try using topic sentences and structuring concepts accordingly)</w:t>
      </w:r>
    </w:p>
    <w:p>
      <w:pPr>
        <w:numPr>
          <w:ilvl w:val="0"/>
          <w:numId w:val="1010"/>
        </w:numPr>
        <w:pStyle w:val="Compact"/>
      </w:pPr>
      <w:r>
        <w:rPr>
          <w:bCs/>
          <w:b/>
        </w:rPr>
        <w:t xml:space="preserve">Response</w:t>
      </w:r>
      <w:r>
        <w:t xml:space="preserve">: Please see the responses to reviewer 2, particularly regarding the first section of the results.</w:t>
      </w:r>
    </w:p>
    <w:p>
      <w:pPr>
        <w:pStyle w:val="FirstParagraph"/>
      </w:pPr>
      <w:r>
        <w:t xml:space="preserve">Discussion- I was left wondering what I learned. No conclusions drawn</w:t>
      </w:r>
    </w:p>
    <w:p>
      <w:pPr>
        <w:numPr>
          <w:ilvl w:val="0"/>
          <w:numId w:val="1011"/>
        </w:numPr>
        <w:pStyle w:val="Compact"/>
      </w:pPr>
      <w:r>
        <w:rPr>
          <w:bCs/>
          <w:b/>
        </w:rPr>
        <w:t xml:space="preserve">Response</w:t>
      </w:r>
      <w:r>
        <w:t xml:space="preserve">: Please see the responses to reviewer 2, particularly regarding the edits to the discussion sections.</w:t>
      </w:r>
    </w:p>
    <w:p>
      <w:pPr>
        <w:pStyle w:val="FirstParagraph"/>
      </w:pPr>
      <w:r>
        <w:t xml:space="preserve">In all, it seemed like an interesting exercise to describe all the patterns, but this does not make a quality manuscript that will stand the test of time.</w:t>
      </w:r>
    </w:p>
    <w:p>
      <w:pPr>
        <w:numPr>
          <w:ilvl w:val="0"/>
          <w:numId w:val="1012"/>
        </w:numPr>
        <w:pStyle w:val="Compact"/>
      </w:pPr>
      <w:r>
        <w:rPr>
          <w:bCs/>
          <w:b/>
        </w:rPr>
        <w:t xml:space="preserve">Response</w:t>
      </w:r>
      <w:r>
        <w:t xml:space="preserve">: We are confident that the edits made in response to your comments and those from the other reviewers have made this manuscript a more compelling and valuable contribution.</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13"/>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14"/>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15"/>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6"/>
        </w:numPr>
        <w:pStyle w:val="Compact"/>
      </w:pPr>
      <w:r>
        <w:rPr>
          <w:bCs/>
          <w:b/>
        </w:rPr>
        <w:t xml:space="preserve">Response</w:t>
      </w:r>
      <w:r>
        <w:t xml:space="preserve">: Thank you for this comment. We agree this section is important, although it is definitely speculative without more quantitative results that more definitively link the pieces. As such, we have moved the content to the discussion and amended to text to include a more nuanced description of the trends, including what information may be needed to support the narrative. This includes information from the final paragraph of the discussion, which was shortened and combined with the prior paragraph. The new section is included from lines xxx to xxx.</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7"/>
        </w:numPr>
        <w:pStyle w:val="Compact"/>
      </w:pPr>
      <w:r>
        <w:rPr>
          <w:bCs/>
          <w:b/>
        </w:rPr>
        <w:t xml:space="preserve">Response</w:t>
      </w:r>
      <w:r>
        <w:t xml:space="preserve">: Our point was to suggest that mining products in Florida are generally exported and have little benefit for the local communities, aside from localized economic benefits.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8"/>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19"/>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20"/>
        </w:numPr>
        <w:pStyle w:val="Compact"/>
      </w:pPr>
      <w:r>
        <w:rPr>
          <w:bCs/>
          <w:b/>
        </w:rPr>
        <w:t xml:space="preserve">Response</w:t>
      </w:r>
      <w:r>
        <w:t xml:space="preserve">: Changed to</w:t>
      </w:r>
      <w:r>
        <w:t xml:space="preserve"> </w:t>
      </w:r>
      <w:r>
        <w:t xml:space="preserve">“</w:t>
      </w:r>
      <w:r>
        <w:t xml:space="preserve">released under FDEP authorization.</w:t>
      </w:r>
      <w:r>
        <w:t xml:space="preserve">”</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21"/>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22"/>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23"/>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24"/>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line xxx.</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25"/>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 Please see the addition of information on</w:t>
      </w:r>
      <w:r>
        <w:t xml:space="preserve"> </w:t>
      </w:r>
      <w:r>
        <w:rPr>
          <w:iCs/>
          <w:i/>
        </w:rPr>
        <w:t xml:space="preserve">K. brevis</w:t>
      </w:r>
      <w:r>
        <w:t xml:space="preserve"> </w:t>
      </w:r>
      <w:r>
        <w:t xml:space="preserve">sampling on line xxx provided in response to reviewer 1.</w:t>
      </w:r>
    </w:p>
    <w:p>
      <w:pPr>
        <w:pStyle w:val="FirstParagraph"/>
      </w:pPr>
      <w:r>
        <w:t xml:space="preserve">P7/L32-37: why get data from Tampa Airport and the Airfield in St. Petersburg? There is an NWS location not far from Piney Point.</w:t>
      </w:r>
    </w:p>
    <w:p>
      <w:pPr>
        <w:numPr>
          <w:ilvl w:val="0"/>
          <w:numId w:val="1026"/>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with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7"/>
        </w:numPr>
        <w:pStyle w:val="Compact"/>
      </w:pPr>
      <w:r>
        <w:rPr>
          <w:bCs/>
          <w:b/>
        </w:rPr>
        <w:t xml:space="preserve">Response</w:t>
      </w:r>
      <w:r>
        <w:t xml:space="preserve">: The weekly aggregation was only done to allow plotting and comparison between variables on a common scale (e.g., Figure 7 and 8). None of the statistical tests used data with fixed sample dates. We removed the text because the statement is inaccurate and somewhat misleading.</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8"/>
        </w:numPr>
      </w:pPr>
      <w:r>
        <w:rPr>
          <w:bCs/>
          <w:b/>
        </w:rPr>
        <w:t xml:space="preserve">Response</w:t>
      </w:r>
      <w:r>
        <w:t xml:space="preserve">: No, these tests were meant to compare all observations post-release to help identify periods of time when observations differed, e.g., when chlorophyll was at its maximum. The text was revised for clarity.</w:t>
      </w:r>
    </w:p>
    <w:p>
      <w:pPr>
        <w:numPr>
          <w:ilvl w:val="0"/>
          <w:numId w:val="1000"/>
        </w:numPr>
      </w:pPr>
      <w:r>
        <w:t xml:space="preserve">“</w:t>
      </w:r>
      <w:r>
        <w:t xml:space="preserve">Differences in observations between months for April to September for water quality, seagrass, and macroalgae within each area (Figure</w:t>
      </w:r>
      <w:r>
        <w:t xml:space="preserve"> </w:t>
      </w:r>
      <w:r>
        <w:t xml:space="preserve">??</w:t>
      </w:r>
      <w:r>
        <w:t xml:space="preserve">a) were evaluated using a Kruskal-Wallis one-way analysis of variance (ANOVA) followed by multiple comparisons using 2-sided Mann-Whitney U tests</w:t>
      </w:r>
      <w:r>
        <w:t xml:space="preserve"> </w:t>
      </w:r>
      <w:r>
        <w:t xml:space="preserve">(</w:t>
      </w:r>
      <w:hyperlink w:anchor="ref-Hollander13">
        <w:r>
          <w:rPr>
            <w:rStyle w:val="Hyperlink"/>
          </w:rPr>
          <w:t xml:space="preserve">Hollander, Wolfe, and Chicken 2013</w:t>
        </w:r>
      </w:hyperlink>
      <w:r>
        <w:t xml:space="preserve">)</w:t>
      </w:r>
      <w:r>
        <w:t xml:space="preserve">. These tests were used to statistically characterize the temporal progression of changes in the bay following release from Piney Point.</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29"/>
        </w:numPr>
        <w:pStyle w:val="Compact"/>
      </w:pPr>
      <w:r>
        <w:rPr>
          <w:bCs/>
          <w:b/>
        </w:rPr>
        <w:t xml:space="preserve">Response</w:t>
      </w:r>
      <w:r>
        <w:t xml:space="preserve">: The first section of the results describing the timeline was removed and text was placed in the appropriate sections that followed. The timeline is now referenced in the first paragraph of the discussion to provide a synthesis of the main results that were described.</w:t>
      </w:r>
    </w:p>
    <w:p>
      <w:pPr>
        <w:pStyle w:val="FirstParagraph"/>
      </w:pPr>
      <w:r>
        <w:t xml:space="preserve">P11/L20-: this first part of the results has a choppy structure</w:t>
      </w:r>
    </w:p>
    <w:p>
      <w:pPr>
        <w:numPr>
          <w:ilvl w:val="0"/>
          <w:numId w:val="1030"/>
        </w:numPr>
        <w:pStyle w:val="Compact"/>
      </w:pPr>
      <w:r>
        <w:rPr>
          <w:bCs/>
          <w:b/>
        </w:rPr>
        <w:t xml:space="preserve">Response</w:t>
      </w:r>
      <w:r>
        <w:t xml:space="preserve">: Please see the response to the previous comment.</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31"/>
        </w:numPr>
      </w:pPr>
      <w:r>
        <w:rPr>
          <w:bCs/>
          <w:b/>
        </w:rPr>
        <w:t xml:space="preserve">Response</w:t>
      </w:r>
      <w:r>
        <w:t xml:space="preserve">: Yes, red tide was observed in the Gulf of Mexico prior to the occurrence in Tampa Bay. Content in the red tide section was edited to make this clear (line xxx):</w:t>
      </w:r>
    </w:p>
    <w:p>
      <w:pPr>
        <w:numPr>
          <w:ilvl w:val="0"/>
          <w:numId w:val="1000"/>
        </w:numPr>
      </w:pPr>
      <w:r>
        <w:t xml:space="preserve">“</w:t>
      </w:r>
      <w:r>
        <w:t xml:space="preserve">This first Tampa Bay influx originated from an ongoing coastal bloom in the Gulf of Mexico, as is common when red tide is observed in the bay</w:t>
      </w:r>
      <w:r>
        <w:t xml:space="preserve"> </w:t>
      </w:r>
      <w:r>
        <w:t xml:space="preserve">(</w:t>
      </w:r>
      <w:hyperlink w:anchor="ref-Steidinger72">
        <w:r>
          <w:rPr>
            <w:rStyle w:val="Hyperlink"/>
          </w:rPr>
          <w:t xml:space="preserve">Steidinger and Ingle 1972</w:t>
        </w:r>
      </w:hyperlink>
      <w:r>
        <w:t xml:space="preserve">;</w:t>
      </w:r>
      <w:r>
        <w:t xml:space="preserve"> </w:t>
      </w:r>
      <w:hyperlink w:anchor="ref-Flaherty11">
        <w:r>
          <w:rPr>
            <w:rStyle w:val="Hyperlink"/>
          </w:rPr>
          <w:t xml:space="preserve">Flaherty and Landsberg 2011</w:t>
        </w:r>
      </w:hyperlink>
      <w:r>
        <w:t xml:space="preserve">)</w:t>
      </w:r>
      <w:r>
        <w:t xml:space="preserve">.</w:t>
      </w:r>
      <w:r>
        <w:t xml:space="preserve">”</w:t>
      </w:r>
    </w:p>
    <w:p>
      <w:pPr>
        <w:numPr>
          <w:ilvl w:val="0"/>
          <w:numId w:val="1000"/>
        </w:numPr>
      </w:pPr>
      <w:r>
        <w:t xml:space="preserve">Blooms in Tampa Bay originate from</w:t>
      </w:r>
      <w:r>
        <w:t xml:space="preserve"> </w:t>
      </w:r>
      <w:r>
        <w:rPr>
          <w:iCs/>
          <w:i/>
        </w:rPr>
        <w:t xml:space="preserve">K. brevis</w:t>
      </w:r>
      <w:r>
        <w:t xml:space="preserve"> </w:t>
      </w:r>
      <w:r>
        <w:t xml:space="preserve">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conditons were related to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(lines xxx to xxx).</w:t>
      </w:r>
    </w:p>
    <w:p>
      <w:pPr>
        <w:pStyle w:val="FirstParagraph"/>
      </w:pPr>
      <w:r>
        <w:t xml:space="preserve">P16/L26: not sure I see the rationale for analyzing the data using Braun Blanquet estimates, which, in my impression, was developed as a rapid assessment</w:t>
      </w:r>
    </w:p>
    <w:p>
      <w:pPr>
        <w:numPr>
          <w:ilvl w:val="0"/>
          <w:numId w:val="1032"/>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33"/>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34"/>
        </w:numPr>
        <w:pStyle w:val="Compact"/>
      </w:pPr>
      <w:r>
        <w:rPr>
          <w:bCs/>
          <w:b/>
        </w:rPr>
        <w:t xml:space="preserve">Response</w:t>
      </w:r>
      <w:r>
        <w:t xml:space="preserve">: Added text</w:t>
      </w:r>
      <w:r>
        <w:t xml:space="preserve"> </w:t>
      </w:r>
      <w:r>
        <w:t xml:space="preserve">“</w:t>
      </w:r>
      <w:r>
        <w:t xml:space="preserve">…or changing availability of nutrient ratios.</w:t>
      </w:r>
      <w:r>
        <w:t xml:space="preserve">”</w:t>
      </w:r>
    </w:p>
    <w:bookmarkEnd w:id="21"/>
    <w:bookmarkStart w:id="31"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35"/>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6"/>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abstract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7"/>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8"/>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39"/>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40"/>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41"/>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42"/>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43"/>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29">
        <w:r>
          <w:rPr>
            <w:rStyle w:val="Hyperlink"/>
          </w:rPr>
          <w:t xml:space="preserve">here</w:t>
        </w:r>
      </w:hyperlink>
      <w:r>
        <w:t xml:space="preserve">) suggested similar trends as the frequnecy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44"/>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0">
        <w:r>
          <w:rPr>
            <w:rStyle w:val="Hyperlink"/>
          </w:rPr>
          <w:t xml:space="preserve">here</w:t>
        </w:r>
      </w:hyperlink>
      <w:r>
        <w:t xml:space="preserve">). However, this was not included due to differences in reporting methods that have changed over time. Online reporting became an option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45"/>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6"/>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7"/>
        </w:numPr>
        <w:pStyle w:val="Compact"/>
      </w:pPr>
      <w:r>
        <w:rPr>
          <w:bCs/>
          <w:b/>
        </w:rPr>
        <w:t xml:space="preserve">Response</w:t>
      </w:r>
      <w:r>
        <w:t xml:space="preserve">: This is in reference to total ammonia nitrogen, as was provided by the water quality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8"/>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49"/>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50"/>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51"/>
        </w:numPr>
        <w:pStyle w:val="Compact"/>
      </w:pPr>
      <w:r>
        <w:rPr>
          <w:bCs/>
          <w:b/>
        </w:rPr>
        <w:t xml:space="preserve">Response</w:t>
      </w:r>
      <w:r>
        <w:t xml:space="preserve">: The paragraph was removed for brevity.</w:t>
      </w:r>
    </w:p>
    <w:bookmarkEnd w:id="31"/>
    <w:bookmarkStart w:id="61" w:name="references"/>
    <w:p>
      <w:pPr>
        <w:pStyle w:val="Heading1"/>
      </w:pPr>
      <w:r>
        <w:t xml:space="preserve">References</w:t>
      </w:r>
    </w:p>
    <w:bookmarkStart w:id="60" w:name="refs"/>
    <w:bookmarkStart w:id="33"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2">
        <w:r>
          <w:rPr>
            <w:rStyle w:val="Hyperlink"/>
          </w:rPr>
          <w:t xml:space="preserve">https://doi.org/10.4031/MTSJ.52.3.6</w:t>
        </w:r>
      </w:hyperlink>
      <w:r>
        <w:t xml:space="preserve">.</w:t>
      </w:r>
    </w:p>
    <w:bookmarkEnd w:id="33"/>
    <w:bookmarkStart w:id="35"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4">
        <w:r>
          <w:rPr>
            <w:rStyle w:val="Hyperlink"/>
          </w:rPr>
          <w:t xml:space="preserve">https://doi.org/10.1029/2018JC014890</w:t>
        </w:r>
      </w:hyperlink>
      <w:r>
        <w:t xml:space="preserve">.</w:t>
      </w:r>
    </w:p>
    <w:bookmarkEnd w:id="35"/>
    <w:bookmarkStart w:id="37" w:name="ref-Flaherty11"/>
    <w:p>
      <w:pPr>
        <w:pStyle w:val="Bibliography"/>
      </w:pPr>
      <w:r>
        <w:t xml:space="preserve">Flaherty, Kerry E., and Jan H. Landsberg. 2011.</w:t>
      </w:r>
      <w:r>
        <w:t xml:space="preserve"> </w:t>
      </w:r>
      <w:r>
        <w:t xml:space="preserve">“Effects of a Persistent Red Tide</w:t>
      </w:r>
      <w:r>
        <w:t xml:space="preserve"> </w:t>
      </w:r>
      <w:r>
        <w:rPr>
          <w:iCs/>
          <w:i/>
        </w:rPr>
        <w:t xml:space="preserve">K</w:t>
      </w:r>
      <w:r>
        <w:rPr>
          <w:iCs/>
          <w:i/>
        </w:rPr>
        <w:t xml:space="preserve">arenia Brevis</w:t>
      </w:r>
      <w:r>
        <w:t xml:space="preserve"> </w:t>
      </w:r>
      <w:r>
        <w:t xml:space="preserve">Bloom on Community Structure and Species-Specific Relative Abundance of Nekton in a</w:t>
      </w:r>
      <w:r>
        <w:t xml:space="preserve"> </w:t>
      </w:r>
      <w:r>
        <w:t xml:space="preserve">G</w:t>
      </w:r>
      <w:r>
        <w:t xml:space="preserve">ulf of</w:t>
      </w:r>
      <w:r>
        <w:t xml:space="preserve"> </w:t>
      </w:r>
      <w:r>
        <w:t xml:space="preserve">M</w:t>
      </w:r>
      <w:r>
        <w:t xml:space="preserve">exico Estuary.”</w:t>
      </w:r>
      <w:r>
        <w:t xml:space="preserve"> </w:t>
      </w:r>
      <w:r>
        <w:rPr>
          <w:iCs/>
          <w:i/>
        </w:rPr>
        <w:t xml:space="preserve">Estuaries and Coasts</w:t>
      </w:r>
      <w:r>
        <w:t xml:space="preserve"> </w:t>
      </w:r>
      <w:r>
        <w:t xml:space="preserve">34: 417–39.</w:t>
      </w:r>
      <w:r>
        <w:t xml:space="preserve"> </w:t>
      </w:r>
      <w:hyperlink r:id="rId36">
        <w:r>
          <w:rPr>
            <w:rStyle w:val="Hyperlink"/>
          </w:rPr>
          <w:t xml:space="preserve">https://doi.org/10.1007/s12237-010-9350-x</w:t>
        </w:r>
      </w:hyperlink>
      <w:r>
        <w:t xml:space="preserve">.</w:t>
      </w:r>
    </w:p>
    <w:bookmarkEnd w:id="37"/>
    <w:bookmarkStart w:id="39"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8">
        <w:r>
          <w:rPr>
            <w:rStyle w:val="Hyperlink"/>
          </w:rPr>
          <w:t xml:space="preserve">https://doi.org/10.1007/s00267-005-0079-4</w:t>
        </w:r>
      </w:hyperlink>
      <w:r>
        <w:t xml:space="preserve">.</w:t>
      </w:r>
    </w:p>
    <w:bookmarkEnd w:id="39"/>
    <w:bookmarkStart w:id="41"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40">
        <w:r>
          <w:rPr>
            <w:rStyle w:val="Hyperlink"/>
          </w:rPr>
          <w:t xml:space="preserve">https://doi.org/10.1016/j.ecss.2014.10.003</w:t>
        </w:r>
      </w:hyperlink>
      <w:r>
        <w:t xml:space="preserve">.</w:t>
      </w:r>
    </w:p>
    <w:bookmarkEnd w:id="41"/>
    <w:bookmarkStart w:id="42" w:name="ref-Hollander13"/>
    <w:p>
      <w:pPr>
        <w:pStyle w:val="Bibliography"/>
      </w:pPr>
      <w:r>
        <w:t xml:space="preserve">Hollander, Myles, Douglas A Wolfe, and Eric Chicken. 2013.</w:t>
      </w:r>
      <w:r>
        <w:t xml:space="preserve"> </w:t>
      </w:r>
      <w:r>
        <w:rPr>
          <w:iCs/>
          <w:i/>
        </w:rPr>
        <w:t xml:space="preserve">Nonparametric Statistical Methods</w:t>
      </w:r>
      <w:r>
        <w:t xml:space="preserve">. Vol. 751. John Wiley &amp; Sons.</w:t>
      </w:r>
    </w:p>
    <w:bookmarkEnd w:id="42"/>
    <w:bookmarkStart w:id="44"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3">
        <w:r>
          <w:rPr>
            <w:rStyle w:val="Hyperlink"/>
          </w:rPr>
          <w:t xml:space="preserve">https://drive.google.com/file/d/1C6Arwat9IxYs8jeTZpcmBB6WBTpeQ2nw/view?usp=drivesdk</w:t>
        </w:r>
      </w:hyperlink>
      <w:r>
        <w:t xml:space="preserve">.</w:t>
      </w:r>
    </w:p>
    <w:bookmarkEnd w:id="44"/>
    <w:bookmarkStart w:id="46"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5">
        <w:r>
          <w:rPr>
            <w:rStyle w:val="Hyperlink"/>
          </w:rPr>
          <w:t xml:space="preserve">https://drive.google.com/file/d/1Z_8L9sYQWSl1hon1tP1Y8zBo7MHQK9zC/view?usp=drivesdk</w:t>
        </w:r>
      </w:hyperlink>
      <w:r>
        <w:t xml:space="preserve">.</w:t>
      </w:r>
    </w:p>
    <w:bookmarkEnd w:id="46"/>
    <w:bookmarkStart w:id="47"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7"/>
    <w:bookmarkStart w:id="49"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8">
        <w:r>
          <w:rPr>
            <w:rStyle w:val="Hyperlink"/>
          </w:rPr>
          <w:t xml:space="preserve">https://drive.google.com/file/d/1DyA0PNHV8rEXGMwGiyS7sXY1ECLYpJJO/view?usp=sharing</w:t>
        </w:r>
      </w:hyperlink>
      <w:r>
        <w:t xml:space="preserve">.</w:t>
      </w:r>
    </w:p>
    <w:bookmarkEnd w:id="49"/>
    <w:bookmarkStart w:id="51"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50">
        <w:r>
          <w:rPr>
            <w:rStyle w:val="Hyperlink"/>
          </w:rPr>
          <w:t xml:space="preserve">https://doi.org/10.1353/sgo.2017.0026</w:t>
        </w:r>
      </w:hyperlink>
      <w:r>
        <w:t xml:space="preserve">.</w:t>
      </w:r>
    </w:p>
    <w:bookmarkEnd w:id="51"/>
    <w:bookmarkStart w:id="53"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52">
        <w:r>
          <w:rPr>
            <w:rStyle w:val="Hyperlink"/>
          </w:rPr>
          <w:t xml:space="preserve">https://doi.org/10.1016/j.hal.2021.102118</w:t>
        </w:r>
      </w:hyperlink>
      <w:r>
        <w:t xml:space="preserve">.</w:t>
      </w:r>
    </w:p>
    <w:bookmarkEnd w:id="53"/>
    <w:bookmarkStart w:id="55" w:name="ref-Steidinger72"/>
    <w:p>
      <w:pPr>
        <w:pStyle w:val="Bibliography"/>
      </w:pPr>
      <w:r>
        <w:t xml:space="preserve">Steidinger, Karen A, and Robert M Ingle. 1972.</w:t>
      </w:r>
      <w:r>
        <w:t xml:space="preserve"> </w:t>
      </w:r>
      <w:r>
        <w:t xml:space="preserve">“Observations on the 1971 Summer Red Tide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Environmental Letters</w:t>
      </w:r>
      <w:r>
        <w:t xml:space="preserve"> </w:t>
      </w:r>
      <w:r>
        <w:t xml:space="preserve">3 (4): 271–78.</w:t>
      </w:r>
      <w:r>
        <w:t xml:space="preserve"> </w:t>
      </w:r>
      <w:hyperlink r:id="rId54">
        <w:r>
          <w:rPr>
            <w:rStyle w:val="Hyperlink"/>
          </w:rPr>
          <w:t xml:space="preserve">https://doi.org/10.1080/00139307209435473</w:t>
        </w:r>
      </w:hyperlink>
      <w:r>
        <w:t xml:space="preserve">.</w:t>
      </w:r>
    </w:p>
    <w:bookmarkEnd w:id="55"/>
    <w:bookmarkStart w:id="57"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6">
        <w:r>
          <w:rPr>
            <w:rStyle w:val="Hyperlink"/>
          </w:rPr>
          <w:t xml:space="preserve">https://doi.org/10.1007/BF02798661</w:t>
        </w:r>
      </w:hyperlink>
      <w:r>
        <w:t xml:space="preserve">.</w:t>
      </w:r>
    </w:p>
    <w:bookmarkEnd w:id="57"/>
    <w:bookmarkStart w:id="59"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58">
        <w:r>
          <w:rPr>
            <w:rStyle w:val="Hyperlink"/>
          </w:rPr>
          <w:t xml:space="preserve">https://doi.org/10.1006/ecss.1999.0490</w:t>
        </w:r>
      </w:hyperlink>
      <w:r>
        <w:t xml:space="preserve">.</w:t>
      </w:r>
    </w:p>
    <w:bookmarkEnd w:id="59"/>
    <w:bookmarkEnd w:id="60"/>
    <w:bookmarkEnd w:id="6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2022-01-31T22:33:51Z</dcterms:created>
  <dcterms:modified xsi:type="dcterms:W3CDTF">2022-01-31T22:33:51Z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