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 In general, most of the revisions address concerns raised by all three reviewers, including 1) numerous edits to improve the writing for clarity and brevity, and 2) additional information on sampling methods. We have also addressed concerns of Reviewer 2 about potential nutrient cycling by adding and expanding a section in the discussion and concerns of Reviewer 4 regarding additional detail on the simulation modelling.</w:t>
      </w:r>
    </w:p>
    <w:p>
      <w:pPr>
        <w:pStyle w:val="BodyText"/>
      </w:pPr>
      <w:r>
        <w:t xml:space="preserve">All page and line numbers in the reviewer comments refer to the original submission. Page numbers noted in our response refer to the revised submission.</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numPr>
          <w:ilvl w:val="0"/>
          <w:numId w:val="1001"/>
        </w:numPr>
        <w:pStyle w:val="Compact"/>
      </w:pPr>
      <w:r>
        <w:rPr>
          <w:bCs/>
          <w:b/>
        </w:rPr>
        <w:t xml:space="preserve">Response</w:t>
      </w:r>
      <w:r>
        <w:t xml:space="preserve">: Thank you for your comments. We have made revisions to improve the writing, by reducing length in many locations and making additional edits where noted. Many of the edits in response to the specific comments from the other reviewers are used to address some of the comments below.</w:t>
      </w:r>
    </w:p>
    <w:p>
      <w:pPr>
        <w:pStyle w:val="FirstParagraph"/>
      </w:pPr>
      <w:r>
        <w:t xml:space="preserve">graphic abstract- much too complicated; fonts too tiny, too much text</w:t>
      </w:r>
    </w:p>
    <w:p>
      <w:pPr>
        <w:numPr>
          <w:ilvl w:val="0"/>
          <w:numId w:val="1002"/>
        </w:numPr>
        <w:pStyle w:val="Compact"/>
      </w:pPr>
      <w:r>
        <w:rPr>
          <w:bCs/>
          <w:b/>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numPr>
          <w:ilvl w:val="0"/>
          <w:numId w:val="1003"/>
        </w:numPr>
        <w:pStyle w:val="Compact"/>
      </w:pPr>
      <w:r>
        <w:rPr>
          <w:bCs/>
          <w:b/>
        </w:rPr>
        <w:t xml:space="preserve">Response</w:t>
      </w:r>
      <w:r>
        <w:t xml:space="preserve">: The first highlight was changed to</w:t>
      </w:r>
      <w:r>
        <w:t xml:space="preserve"> </w:t>
      </w:r>
      <w:r>
        <w:t xml:space="preserve">“</w:t>
      </w:r>
      <w:r>
        <w:t xml:space="preserve">186 metric tons of total nitrogen from wastewater were added to Tampa Bay.</w:t>
      </w:r>
      <w:r>
        <w:t xml:space="preserve">”</w:t>
      </w:r>
    </w:p>
    <w:p>
      <w:pPr>
        <w:pStyle w:val="FirstParagraph"/>
      </w:pPr>
      <w:r>
        <w:t xml:space="preserve">abstract- poorly written</w:t>
      </w:r>
    </w:p>
    <w:p>
      <w:pPr>
        <w:numPr>
          <w:ilvl w:val="0"/>
          <w:numId w:val="1004"/>
        </w:numPr>
        <w:pStyle w:val="Compact"/>
      </w:pPr>
      <w:r>
        <w:rPr>
          <w:bCs/>
          <w:b/>
        </w:rPr>
        <w:t xml:space="preserve">Response</w:t>
      </w:r>
      <w:r>
        <w:t xml:space="preserve">: Abstract was edited.</w:t>
      </w:r>
    </w:p>
    <w:p>
      <w:pPr>
        <w:pStyle w:val="FirstParagraph"/>
      </w:pPr>
      <w:r>
        <w:t xml:space="preserve">Introduction- needs a complete rewrite- it takes more than 3 pages to get to the point that there was a spill. The general background is interesting but you need to grab the readers attention first.</w:t>
      </w:r>
    </w:p>
    <w:p>
      <w:pPr>
        <w:numPr>
          <w:ilvl w:val="0"/>
          <w:numId w:val="1005"/>
        </w:numPr>
        <w:pStyle w:val="Compact"/>
      </w:pPr>
      <w:r>
        <w:rPr>
          <w:bCs/>
          <w:b/>
        </w:rPr>
        <w:t xml:space="preserve">Response</w:t>
      </w:r>
      <w:r>
        <w:t xml:space="preserve">: Introduction was shortened and edits were made to improve clarity.</w:t>
      </w:r>
    </w:p>
    <w:p>
      <w:pPr>
        <w:pStyle w:val="FirstParagraph"/>
      </w:pPr>
      <w:r>
        <w:t xml:space="preserve">p. 5- inadequate explanation for why the focus on N. Why not both?</w:t>
      </w:r>
    </w:p>
    <w:p>
      <w:pPr>
        <w:numPr>
          <w:ilvl w:val="0"/>
          <w:numId w:val="1006"/>
        </w:numPr>
        <w:pStyle w:val="Compact"/>
      </w:pPr>
      <w:r>
        <w:rPr>
          <w:bCs/>
          <w:b/>
        </w:rPr>
        <w:t xml:space="preserve">Response</w:t>
      </w:r>
      <w:r>
        <w:t xml:space="preserve">: Please see our response to a similar comment from reviewer 4. Many studies, as well as the successful nutrient management paradigm for Tampa Bay, have demonstrated that Tampa Bay is nitrogen-limited. Phosphorus trends are also provided in the supplement.</w:t>
      </w:r>
    </w:p>
    <w:p>
      <w:pPr>
        <w:pStyle w:val="FirstParagraph"/>
      </w:pPr>
      <w:r>
        <w:t xml:space="preserve">Methods-</w:t>
      </w:r>
      <w:r>
        <w:t xml:space="preserve"> </w:t>
      </w:r>
      <w:r>
        <w:t xml:space="preserve">the first paragraph on monitoring is all about modeling, not monitoring</w:t>
      </w:r>
    </w:p>
    <w:p>
      <w:pPr>
        <w:numPr>
          <w:ilvl w:val="0"/>
          <w:numId w:val="1007"/>
        </w:numPr>
        <w:pStyle w:val="Compact"/>
      </w:pPr>
      <w:r>
        <w:rPr>
          <w:bCs/>
          <w:b/>
        </w:rPr>
        <w:t xml:space="preserve">Response</w:t>
      </w:r>
      <w:r>
        <w:t xml:space="preserve">: We have added a</w:t>
      </w:r>
      <w:r>
        <w:t xml:space="preserve"> </w:t>
      </w:r>
      <w:r>
        <w:t xml:space="preserve">“</w:t>
      </w:r>
      <w:r>
        <w:t xml:space="preserve">Modeling</w:t>
      </w:r>
      <w:r>
        <w:t xml:space="preserve">”</w:t>
      </w:r>
      <w:r>
        <w:t xml:space="preserve"> </w:t>
      </w:r>
      <w:r>
        <w:t xml:space="preserve">sub-section at the beginning of the methods.</w:t>
      </w:r>
    </w:p>
    <w:p>
      <w:pPr>
        <w:pStyle w:val="FirstParagraph"/>
      </w:pPr>
      <w:r>
        <w:t xml:space="preserve">p. 7- how were the Karenia data quantified…they didn’t just appear in a database.</w:t>
      </w:r>
    </w:p>
    <w:p>
      <w:pPr>
        <w:numPr>
          <w:ilvl w:val="0"/>
          <w:numId w:val="1008"/>
        </w:numPr>
        <w:pStyle w:val="Compact"/>
      </w:pPr>
      <w:r>
        <w:rPr>
          <w:bCs/>
          <w:b/>
        </w:rPr>
        <w:t xml:space="preserve">Response</w:t>
      </w:r>
      <w:r>
        <w:t xml:space="preserve">: Text was added:</w:t>
      </w:r>
      <w:r>
        <w:t xml:space="preserve"> </w:t>
      </w:r>
      <w:r>
        <w:t xml:space="preserve">“</w:t>
      </w:r>
      <w:r>
        <w:t xml:space="preserve">HAB sampling typically occurs in response to bloom events or fish kills with extensive quality control of cell counts conducted by FWC-FWRI</w:t>
      </w:r>
      <w:r>
        <w:t xml:space="preserve"> </w:t>
      </w:r>
      <w:r>
        <w:t xml:space="preserve">(additional details in</w:t>
      </w:r>
      <w:r>
        <w:t xml:space="preserve"> </w:t>
      </w:r>
      <w:hyperlink w:anchor="ref-Stumpf22">
        <w:r>
          <w:rPr>
            <w:rStyle w:val="Hyperlink"/>
          </w:rPr>
          <w:t xml:space="preserve">Stumpf et al. 2022</w:t>
        </w:r>
      </w:hyperlink>
      <w:r>
        <w:t xml:space="preserve">)</w:t>
      </w:r>
      <w:r>
        <w:t xml:space="preserve">. HAB data were restricted to Tampa Bay boundaries and over 90% of the samples were collected within one meter of the surface.</w:t>
      </w:r>
      <w:r>
        <w:t xml:space="preserve">”</w:t>
      </w:r>
    </w:p>
    <w:p>
      <w:pPr>
        <w:pStyle w:val="FirstParagraph"/>
      </w:pPr>
      <w:r>
        <w:t xml:space="preserve">p. 7 - eyes on seagrass is meaningless (except for locals)</w:t>
      </w:r>
    </w:p>
    <w:p>
      <w:pPr>
        <w:numPr>
          <w:ilvl w:val="0"/>
          <w:numId w:val="1009"/>
        </w:numPr>
        <w:pStyle w:val="Compact"/>
      </w:pPr>
      <w:r>
        <w:rPr>
          <w:bCs/>
          <w:b/>
        </w:rPr>
        <w:t xml:space="preserve">Response</w:t>
      </w:r>
      <w:r>
        <w:t xml:space="preserve">: We have removed this from the text.</w:t>
      </w:r>
    </w:p>
    <w:p>
      <w:pPr>
        <w:pStyle w:val="FirstParagraph"/>
      </w:pPr>
      <w:r>
        <w:t xml:space="preserve">stats section- poorly written, confusing, wordy</w:t>
      </w:r>
    </w:p>
    <w:p>
      <w:pPr>
        <w:numPr>
          <w:ilvl w:val="0"/>
          <w:numId w:val="1010"/>
        </w:numPr>
        <w:pStyle w:val="Compact"/>
      </w:pPr>
      <w:r>
        <w:rPr>
          <w:bCs/>
          <w:b/>
        </w:rPr>
        <w:t xml:space="preserve">Response</w:t>
      </w:r>
      <w:r>
        <w:t xml:space="preserve">: Please see the responses to reviewer 2.</w:t>
      </w:r>
    </w:p>
    <w:p>
      <w:pPr>
        <w:pStyle w:val="FirstParagraph"/>
      </w:pPr>
      <w:r>
        <w:t xml:space="preserve">Results- rambling, disorganized and non-quantitative. Paragraphs don’t make sense (try using topic sentences and structuring concepts accordingly)</w:t>
      </w:r>
    </w:p>
    <w:p>
      <w:pPr>
        <w:numPr>
          <w:ilvl w:val="0"/>
          <w:numId w:val="1011"/>
        </w:numPr>
        <w:pStyle w:val="Compact"/>
      </w:pPr>
      <w:r>
        <w:rPr>
          <w:bCs/>
          <w:b/>
        </w:rPr>
        <w:t xml:space="preserve">Response</w:t>
      </w:r>
      <w:r>
        <w:t xml:space="preserve">: Please see the responses to reviewer 2, particularly regarding the first section of the results.</w:t>
      </w:r>
    </w:p>
    <w:p>
      <w:pPr>
        <w:pStyle w:val="FirstParagraph"/>
      </w:pPr>
      <w:r>
        <w:t xml:space="preserve">Discussion- I was left wondering what I learned. No conclusions drawn</w:t>
      </w:r>
    </w:p>
    <w:p>
      <w:pPr>
        <w:numPr>
          <w:ilvl w:val="0"/>
          <w:numId w:val="1012"/>
        </w:numPr>
        <w:pStyle w:val="Compact"/>
      </w:pPr>
      <w:r>
        <w:rPr>
          <w:bCs/>
          <w:b/>
        </w:rPr>
        <w:t xml:space="preserve">Response</w:t>
      </w:r>
      <w:r>
        <w:t xml:space="preserve">: Please see the responses to reviewer 2, particularly regarding the edits to the discussion sections.</w:t>
      </w:r>
    </w:p>
    <w:p>
      <w:pPr>
        <w:pStyle w:val="FirstParagraph"/>
      </w:pPr>
      <w:r>
        <w:t xml:space="preserve">In all, it seemed like an interesting exercise to describe all the patterns, but this does not make a quality manuscript that will stand the test of time.</w:t>
      </w:r>
    </w:p>
    <w:p>
      <w:pPr>
        <w:numPr>
          <w:ilvl w:val="0"/>
          <w:numId w:val="1013"/>
        </w:numPr>
        <w:pStyle w:val="Compact"/>
      </w:pPr>
      <w:r>
        <w:rPr>
          <w:bCs/>
          <w:b/>
        </w:rPr>
        <w:t xml:space="preserve">Response</w:t>
      </w:r>
      <w:r>
        <w:t xml:space="preserve">: We are confident that the edits made in response to your comments and those from the other reviewers have made this manuscript a more compelling and valuable contribution.</w:t>
      </w:r>
    </w:p>
    <w:bookmarkEnd w:id="20"/>
    <w:bookmarkStart w:id="22"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numPr>
          <w:ilvl w:val="0"/>
          <w:numId w:val="1014"/>
        </w:numPr>
        <w:pStyle w:val="Compact"/>
      </w:pPr>
      <w:r>
        <w:rPr>
          <w:bCs/>
          <w:b/>
        </w:rPr>
        <w:t xml:space="preserve">Response</w:t>
      </w:r>
      <w:r>
        <w:t xml:space="preserve">: We really appreciate your comments. Please see the detailed responses below.</w:t>
      </w:r>
    </w:p>
    <w:p>
      <w:pPr>
        <w:pStyle w:val="FirstParagraph"/>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numPr>
          <w:ilvl w:val="0"/>
          <w:numId w:val="1015"/>
        </w:numPr>
        <w:pStyle w:val="Compact"/>
      </w:pPr>
      <w:r>
        <w:rPr>
          <w:bCs/>
          <w:b/>
        </w:rPr>
        <w:t xml:space="preserve">Response</w:t>
      </w:r>
      <w:r>
        <w:t xml:space="preserve">: Thank you for pointing out the merits of this paper and providing suggestions where the writing can be improved. We have edited the sections you point out for brevity and clarity.</w:t>
      </w:r>
    </w:p>
    <w:p>
      <w:pPr>
        <w:pStyle w:val="FirstParagraph"/>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w:t>
      </w:r>
    </w:p>
    <w:p>
      <w:pPr>
        <w:numPr>
          <w:ilvl w:val="0"/>
          <w:numId w:val="1016"/>
        </w:numPr>
        <w:pStyle w:val="Compact"/>
      </w:pPr>
      <w:r>
        <w:rPr>
          <w:bCs/>
          <w:b/>
        </w:rPr>
        <w:t xml:space="preserve">Response</w:t>
      </w:r>
      <w:r>
        <w:t xml:space="preserve">: Unfortunately, the line numbers are generated automatically by the journal submission system and we have no control over how they are presented. We appreciate your use of both page and line numbers in your comments to reference text locations.</w:t>
      </w:r>
    </w:p>
    <w:p>
      <w:pPr>
        <w:pStyle w:val="FirstParagraph"/>
      </w:pPr>
      <w:r>
        <w:t xml:space="preserve">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numPr>
          <w:ilvl w:val="0"/>
          <w:numId w:val="1017"/>
        </w:numPr>
        <w:pStyle w:val="Compact"/>
      </w:pPr>
      <w:r>
        <w:rPr>
          <w:bCs/>
          <w:b/>
        </w:rPr>
        <w:t xml:space="preserve">Response</w:t>
      </w:r>
      <w:r>
        <w:t xml:space="preserve">: Thank you for this comment. We agree this section is important, although it is definitely speculative without more quantitative results that definitively link the pieces. As such, we have moved the content to the discussion and expanded to text to include a more nuanced description of the trends, including what information may be needed to support the narrative. This includes information from the final paragraph of the discussion, which was shortened and combined with the prior paragraph. The new section begins on page 18.</w:t>
      </w:r>
    </w:p>
    <w:p>
      <w:pPr>
        <w:pStyle w:val="FirstParagraph"/>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t>
      </w:r>
      <w:r>
        <w:t xml:space="preserve">When I read that passage it seems to suggest a broader critique, one that is more political. That may not have been your intention, but that was how I read it.</w:t>
      </w:r>
    </w:p>
    <w:p>
      <w:pPr>
        <w:numPr>
          <w:ilvl w:val="0"/>
          <w:numId w:val="1018"/>
        </w:numPr>
        <w:pStyle w:val="Compact"/>
      </w:pPr>
      <w:r>
        <w:rPr>
          <w:bCs/>
          <w:b/>
        </w:rPr>
        <w:t xml:space="preserve">Response</w:t>
      </w:r>
      <w:r>
        <w:t xml:space="preserve">: Our point was to suggest that mining products in Florida are generally exported and have little benefit for the local communities. However, this may be a bit editorialized and was removed.</w:t>
      </w:r>
    </w:p>
    <w:p>
      <w:pPr>
        <w:pStyle w:val="FirstParagraph"/>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w:t>
      </w:r>
      <w:r>
        <w:t xml:space="preserve">This regulated discharge seemed to occur after extensive consultation with the EPA.</w:t>
      </w:r>
    </w:p>
    <w:p>
      <w:pPr>
        <w:numPr>
          <w:ilvl w:val="0"/>
          <w:numId w:val="1019"/>
        </w:numPr>
        <w:pStyle w:val="Compact"/>
      </w:pPr>
      <w:r>
        <w:rPr>
          <w:bCs/>
          <w:b/>
        </w:rPr>
        <w:t xml:space="preserve">Response</w:t>
      </w:r>
      <w:r>
        <w:t xml:space="preserve">: Agreed, we have removed</w:t>
      </w:r>
      <w:r>
        <w:t xml:space="preserve"> </w:t>
      </w:r>
      <w:r>
        <w:t xml:space="preserve">“</w:t>
      </w:r>
      <w:r>
        <w:t xml:space="preserve">unanticipated.</w:t>
      </w:r>
      <w:r>
        <w:t xml:space="preserve">”</w:t>
      </w:r>
      <w:r>
        <w:t xml:space="preserve"> </w:t>
      </w:r>
      <w:r>
        <w:t xml:space="preserve">We agree that the releases often occur after consultation or approval from regulatory bodies, but they are generally unanticipated in that long-term site management has not planned for these events, nor the potential impacts on the environment.</w:t>
      </w:r>
    </w:p>
    <w:p>
      <w:pPr>
        <w:pStyle w:val="FirstParagraph"/>
      </w:pPr>
      <w:r>
        <w:t xml:space="preserve">P4/L51: worth indicating that these concentrations, especially for TP, are several orders of magnitude greater than typical surface waters?</w:t>
      </w:r>
    </w:p>
    <w:p>
      <w:pPr>
        <w:numPr>
          <w:ilvl w:val="0"/>
          <w:numId w:val="1020"/>
        </w:numPr>
        <w:pStyle w:val="Compact"/>
      </w:pPr>
      <w:r>
        <w:rPr>
          <w:bCs/>
          <w:b/>
        </w:rPr>
        <w:t xml:space="preserve">Response</w:t>
      </w:r>
      <w:r>
        <w:t xml:space="preserve">: The sentence was edited:</w:t>
      </w:r>
      <w:r>
        <w:t xml:space="preserve"> </w:t>
      </w:r>
      <w:r>
        <w:t xml:space="preserve">“</w:t>
      </w:r>
      <w:r>
        <w:t xml:space="preserve">Water quality of NGS-S measured in 2019 showed total phosphorus (160 mg/L) and total nitrogen (230 mg/L) were approximately three orders of magnitude higher than typical concentrations in Tampa Bay.</w:t>
      </w:r>
      <w:r>
        <w:t xml:space="preserve">”</w:t>
      </w:r>
    </w:p>
    <w:p>
      <w:pPr>
        <w:pStyle w:val="FirstParagraph"/>
      </w:pPr>
      <w:r>
        <w:t xml:space="preserve">P4/L56: deliberately</w:t>
      </w:r>
      <w:r>
        <w:t xml:space="preserve"> </w:t>
      </w:r>
      <w:r>
        <w:t xml:space="preserve">“</w:t>
      </w:r>
      <w:r>
        <w:t xml:space="preserve">released</w:t>
      </w:r>
      <w:r>
        <w:t xml:space="preserve">”</w:t>
      </w:r>
    </w:p>
    <w:p>
      <w:pPr>
        <w:numPr>
          <w:ilvl w:val="0"/>
          <w:numId w:val="1021"/>
        </w:numPr>
        <w:pStyle w:val="Compact"/>
      </w:pPr>
      <w:r>
        <w:rPr>
          <w:bCs/>
          <w:b/>
        </w:rPr>
        <w:t xml:space="preserve">Response</w:t>
      </w:r>
      <w:r>
        <w:t xml:space="preserve">: Changed to</w:t>
      </w:r>
      <w:r>
        <w:t xml:space="preserve"> </w:t>
      </w:r>
      <w:r>
        <w:t xml:space="preserve">“</w:t>
      </w:r>
      <w:r>
        <w:t xml:space="preserve">From March 30th to April 9th, approximately 814 million liters (215 million gallons) of stack water were released to lower Tampa Bay following an</w:t>
      </w:r>
      <w:r>
        <w:t xml:space="preserve"> </w:t>
      </w:r>
      <w:hyperlink r:id="rId21">
        <w:r>
          <w:rPr>
            <w:rStyle w:val="Hyperlink"/>
          </w:rPr>
          <w:t xml:space="preserve">emergency order</w:t>
        </w:r>
      </w:hyperlink>
      <w:r>
        <w:t xml:space="preserve"> </w:t>
      </w:r>
      <w:r>
        <w:t xml:space="preserve">authorized by the Florida Department of Environmental Protection (FDEP).</w:t>
      </w:r>
      <w:r>
        <w:t xml:space="preserve">”</w:t>
      </w:r>
      <w:r>
        <w:t xml:space="preserve"> </w:t>
      </w:r>
      <w:r>
        <w:t xml:space="preserve">A similar, redundant sentence earlier in the paragraph was removed.</w:t>
      </w:r>
    </w:p>
    <w:p>
      <w:pPr>
        <w:pStyle w:val="FirstParagraph"/>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numPr>
          <w:ilvl w:val="0"/>
          <w:numId w:val="1022"/>
        </w:numPr>
        <w:pStyle w:val="Compact"/>
      </w:pPr>
      <w:r>
        <w:rPr>
          <w:bCs/>
          <w:b/>
        </w:rPr>
        <w:t xml:space="preserve">Response</w:t>
      </w:r>
      <w:r>
        <w:t xml:space="preserve">: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pPr>
        <w:pStyle w:val="FirstParagraph"/>
      </w:pPr>
      <w:r>
        <w:t xml:space="preserve">P5/L22-27: I think a citation may be warranted here; while predictable, numerous studies ultimately supported the statement that nitrogen is limiting in Tampa Bay.</w:t>
      </w:r>
    </w:p>
    <w:p>
      <w:pPr>
        <w:numPr>
          <w:ilvl w:val="0"/>
          <w:numId w:val="1023"/>
        </w:numPr>
      </w:pPr>
      <w:r>
        <w:rPr>
          <w:bCs/>
          <w:b/>
        </w:rPr>
        <w:t xml:space="preserve">Response</w:t>
      </w:r>
      <w:r>
        <w:t xml:space="preserve">: Agreed, we have revised this statement to include additional citations and explanation:</w:t>
      </w:r>
    </w:p>
    <w:p>
      <w:pPr>
        <w:numPr>
          <w:ilvl w:val="0"/>
          <w:numId w:val="1000"/>
        </w:numPr>
      </w:pPr>
      <w:r>
        <w:t xml:space="preserve">“</w:t>
      </w:r>
      <w:r>
        <w:t xml:space="preserve">Numerous studies, as well as the successful nutrient management paradigm, have demonstrated nitrogen-limitation in Tampa Bay and the system is generally considered phosphorus enriched</w:t>
      </w:r>
      <w:r>
        <w:t xml:space="preserve"> </w:t>
      </w:r>
      <w:r>
        <w:t xml:space="preserve">(</w:t>
      </w:r>
      <w:hyperlink w:anchor="ref-Wang99">
        <w:r>
          <w:rPr>
            <w:rStyle w:val="Hyperlink"/>
          </w:rPr>
          <w:t xml:space="preserve">Wang, Martin, and Morrison 1999</w:t>
        </w:r>
      </w:hyperlink>
      <w:r>
        <w:t xml:space="preserve">;</w:t>
      </w:r>
      <w:r>
        <w:t xml:space="preserve"> </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w:t>
      </w:r>
      <w:r>
        <w:t xml:space="preserve">. As such, we focus on nitrogen in our analyses as the identified limiting nutrient for Tampa Bay and its potential to create water quality conditions unfavorable for seagrass growth due to enhanced algal production.</w:t>
      </w:r>
      <w:r>
        <w:t xml:space="preserve">”</w:t>
      </w:r>
    </w:p>
    <w:p>
      <w:pPr>
        <w:pStyle w:val="FirstParagraph"/>
      </w:pPr>
      <w:r>
        <w:t xml:space="preserve">P5/L29: interesting that discharge was to Port Manatee and not Bishop Harbor like the release discussed previously.</w:t>
      </w:r>
    </w:p>
    <w:p>
      <w:pPr>
        <w:numPr>
          <w:ilvl w:val="0"/>
          <w:numId w:val="1024"/>
        </w:numPr>
        <w:pStyle w:val="Compact"/>
      </w:pPr>
      <w:r>
        <w:rPr>
          <w:bCs/>
          <w:b/>
        </w:rPr>
        <w:t xml:space="preserve">Response</w:t>
      </w:r>
      <w:r>
        <w:t xml:space="preserve">: Yes, we believe the intent was to minimize impacts to sensitive back-bay habitats that were observed in previous releases, although we have no information to verify this claim and have not included it in the text.</w:t>
      </w:r>
    </w:p>
    <w:p>
      <w:pPr>
        <w:pStyle w:val="FirstParagraph"/>
      </w:pPr>
      <w:r>
        <w:t xml:space="preserve">P6/L24-39: that is an impressive and extensive list of agencies and partners; any potential drawbacks to so many data streams?</w:t>
      </w:r>
    </w:p>
    <w:p>
      <w:pPr>
        <w:numPr>
          <w:ilvl w:val="0"/>
          <w:numId w:val="1025"/>
        </w:numPr>
        <w:pStyle w:val="Compact"/>
      </w:pPr>
      <w:r>
        <w:rPr>
          <w:bCs/>
          <w:b/>
        </w:rPr>
        <w:t xml:space="preserve">Response</w:t>
      </w:r>
      <w:r>
        <w:t xml:space="preserve">: Data quality assurance and control was a primary concern with multiple partners collecting information. We have included additional information about the data collection procedures and how the Tampa Bay Estuary Program worked to facilitate quality of the data. Please see the additions starting on page 6.</w:t>
      </w:r>
    </w:p>
    <w:p>
      <w:pPr>
        <w:pStyle w:val="FirstParagraph"/>
      </w:pPr>
      <w:r>
        <w:t xml:space="preserve">P6/L54-65: is it routine to take water samples directly from the surface? Ultimately, were the authors worried about any potential stratification, particularly of Karenia brevis.</w:t>
      </w:r>
    </w:p>
    <w:p>
      <w:pPr>
        <w:numPr>
          <w:ilvl w:val="0"/>
          <w:numId w:val="1026"/>
        </w:numPr>
        <w:pStyle w:val="Compact"/>
      </w:pPr>
      <w:r>
        <w:rPr>
          <w:bCs/>
          <w:b/>
        </w:rPr>
        <w:t xml:space="preserve">Response</w:t>
      </w:r>
      <w:r>
        <w:t xml:space="preserve">: Most of the water quality and phytoplankton samples were surface collections following standard sampling methods used by our partners (see the text addition about sampling). Tampa Bay also has a very shallow average depth of just over 3m and is not strongly stratified for most of the year. So, we feel confident that the majority of samples used in our analyses were generally representative of conditions in the water column. Anecdotally, benthic fishes were observed during the fish kills (e.g., eels, rays), so it is likely that</w:t>
      </w:r>
      <w:r>
        <w:t xml:space="preserve"> </w:t>
      </w:r>
      <w:r>
        <w:rPr>
          <w:iCs/>
          <w:i/>
        </w:rPr>
        <w:t xml:space="preserve">K. brevis</w:t>
      </w:r>
      <w:r>
        <w:t xml:space="preserve"> </w:t>
      </w:r>
      <w:r>
        <w:t xml:space="preserve">was present throughout the water column, although we have very little quantitative data to describe the vertical distribution. Please see the addition of information on</w:t>
      </w:r>
      <w:r>
        <w:t xml:space="preserve"> </w:t>
      </w:r>
      <w:r>
        <w:rPr>
          <w:iCs/>
          <w:i/>
        </w:rPr>
        <w:t xml:space="preserve">K. brevis</w:t>
      </w:r>
      <w:r>
        <w:t xml:space="preserve"> </w:t>
      </w:r>
      <w:r>
        <w:t xml:space="preserve">sampling at the top of page 7 in response to reviewer 1.</w:t>
      </w:r>
    </w:p>
    <w:p>
      <w:pPr>
        <w:pStyle w:val="FirstParagraph"/>
      </w:pPr>
      <w:r>
        <w:t xml:space="preserve">P7/L32-37: why get data from Tampa Airport and the Airfield in St. Petersburg? There is an NWS location not far from Piney Point.</w:t>
      </w:r>
    </w:p>
    <w:p>
      <w:pPr>
        <w:numPr>
          <w:ilvl w:val="0"/>
          <w:numId w:val="1027"/>
        </w:numPr>
        <w:pStyle w:val="Compact"/>
      </w:pPr>
      <w:r>
        <w:rPr>
          <w:bCs/>
          <w:b/>
        </w:rPr>
        <w:t xml:space="preserve">Response</w:t>
      </w:r>
      <w:r>
        <w:t xml:space="preserve">: We have updated our weather data to include wind and precipitation from Albert Whitted Field in St. Petersburg and have excluded the precipitation data from Tampa International Airport. Our initial rationale for using data from Tampa was a longer period of record. However, we have revised the historical baseline in the plot to include only years 2006 to 2020, consistent with our comparison of the water quality data to historical observations. Also, the NWS location is in Ruskin, Florida and is farther from the bay proper than the location in St. Petersburg.</w:t>
      </w:r>
    </w:p>
    <w:p>
      <w:pPr>
        <w:pStyle w:val="FirstParagraph"/>
      </w:pPr>
      <w:r>
        <w:t xml:space="preserve">P9/L27-29: not sure what to make of the aggregating data to weeks or months; isn’t there a way to maintain the actual sampling regime?</w:t>
      </w:r>
    </w:p>
    <w:p>
      <w:pPr>
        <w:numPr>
          <w:ilvl w:val="0"/>
          <w:numId w:val="1028"/>
        </w:numPr>
        <w:pStyle w:val="Compact"/>
      </w:pPr>
      <w:r>
        <w:rPr>
          <w:bCs/>
          <w:b/>
        </w:rPr>
        <w:t xml:space="preserve">Response</w:t>
      </w:r>
      <w:r>
        <w:t xml:space="preserve">: The weekly aggregation was only done to allow plotting and comparison between variables on a common scale (e.g., Figure 6 and 8 in the revised text). None of the statistical tests used data with fixed sample dates. We removed the text because the statement is inaccurate and somewhat misleading.</w:t>
      </w:r>
    </w:p>
    <w:p>
      <w:pPr>
        <w:pStyle w:val="FirstParagraph"/>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numPr>
          <w:ilvl w:val="0"/>
          <w:numId w:val="1029"/>
        </w:numPr>
      </w:pPr>
      <w:r>
        <w:rPr>
          <w:bCs/>
          <w:b/>
        </w:rPr>
        <w:t xml:space="preserve">Response</w:t>
      </w:r>
      <w:r>
        <w:t xml:space="preserve">: No, these tests were meant to compare all observations post-release to help identify periods of time when observations differed, e.g., when chlorophyll was at its maximum. The text was revised for clarity.</w:t>
      </w:r>
    </w:p>
    <w:p>
      <w:pPr>
        <w:numPr>
          <w:ilvl w:val="0"/>
          <w:numId w:val="1000"/>
        </w:numPr>
      </w:pPr>
      <w:r>
        <w:t xml:space="preserve">“</w:t>
      </w:r>
      <w:r>
        <w:t xml:space="preserve">Differences in observations between months for April to September for water quality, seagrass, and macroalgae within each area (Figure 1a) were evaluated using a Kruskal-Wallis one-way analysis of variance (ANOVA) followed by multiple comparisons using 2-sided Mann-Whitney U tests</w:t>
      </w:r>
      <w:r>
        <w:t xml:space="preserve"> </w:t>
      </w:r>
      <w:r>
        <w:t xml:space="preserve">(</w:t>
      </w:r>
      <w:hyperlink w:anchor="ref-Hollander13">
        <w:r>
          <w:rPr>
            <w:rStyle w:val="Hyperlink"/>
          </w:rPr>
          <w:t xml:space="preserve">Hollander, Wolfe, and Chicken 2013</w:t>
        </w:r>
      </w:hyperlink>
      <w:r>
        <w:t xml:space="preserve">)</w:t>
      </w:r>
      <w:r>
        <w:t xml:space="preserve">. These tests were used to statistically characterize the temporal progression of changes in the bay following release from Piney Point, e.g., were July conditions significantly different from April?</w:t>
      </w:r>
      <w:r>
        <w:t xml:space="preserve">”</w:t>
      </w:r>
    </w:p>
    <w:p>
      <w:pPr>
        <w:pStyle w:val="FirstParagraph"/>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numPr>
          <w:ilvl w:val="0"/>
          <w:numId w:val="1030"/>
        </w:numPr>
        <w:pStyle w:val="Compact"/>
      </w:pPr>
      <w:r>
        <w:rPr>
          <w:bCs/>
          <w:b/>
        </w:rPr>
        <w:t xml:space="preserve">Response</w:t>
      </w:r>
      <w:r>
        <w:t xml:space="preserve">: The first section of the results describing the timeline was removed and text was placed in the appropriate sections that followed. The timeline is now referenced in the first paragraph of the discussion to provide a synthesis of the main results that were described.</w:t>
      </w:r>
    </w:p>
    <w:p>
      <w:pPr>
        <w:pStyle w:val="FirstParagraph"/>
      </w:pPr>
      <w:r>
        <w:t xml:space="preserve">P11/L20-: this first part of the results has a choppy structure</w:t>
      </w:r>
    </w:p>
    <w:p>
      <w:pPr>
        <w:numPr>
          <w:ilvl w:val="0"/>
          <w:numId w:val="1031"/>
        </w:numPr>
        <w:pStyle w:val="Compact"/>
      </w:pPr>
      <w:r>
        <w:rPr>
          <w:bCs/>
          <w:b/>
        </w:rPr>
        <w:t xml:space="preserve">Response</w:t>
      </w:r>
      <w:r>
        <w:t xml:space="preserve">: Please see the response to the previous comment.</w:t>
      </w:r>
    </w:p>
    <w:p>
      <w:pPr>
        <w:pStyle w:val="FirstParagraph"/>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numPr>
          <w:ilvl w:val="0"/>
          <w:numId w:val="1032"/>
        </w:numPr>
      </w:pPr>
      <w:r>
        <w:rPr>
          <w:bCs/>
          <w:b/>
        </w:rPr>
        <w:t xml:space="preserve">Response</w:t>
      </w:r>
      <w:r>
        <w:t xml:space="preserve">: Yes, red tide was observed in the Gulf of Mexico prior to the occurrence in Tampa Bay. Content in the red tide section was edited to make this clear (page 15):</w:t>
      </w:r>
    </w:p>
    <w:p>
      <w:pPr>
        <w:numPr>
          <w:ilvl w:val="0"/>
          <w:numId w:val="1000"/>
        </w:numPr>
      </w:pPr>
      <w:r>
        <w:t xml:space="preserve">“</w:t>
      </w:r>
      <w:r>
        <w:t xml:space="preserve">This first Tampa Bay influx originated from an ongoing coastal bloom in the Gulf of Mexico, as is common when red tide is observed in the bay</w:t>
      </w:r>
      <w:r>
        <w:t xml:space="preserve"> </w:t>
      </w:r>
      <w:r>
        <w:t xml:space="preserve">(</w:t>
      </w:r>
      <w:hyperlink w:anchor="ref-Steidinger72">
        <w:r>
          <w:rPr>
            <w:rStyle w:val="Hyperlink"/>
          </w:rPr>
          <w:t xml:space="preserve">Steidinger and Ingle 1972</w:t>
        </w:r>
      </w:hyperlink>
      <w:r>
        <w:t xml:space="preserve">;</w:t>
      </w:r>
      <w:r>
        <w:t xml:space="preserve"> </w:t>
      </w:r>
      <w:hyperlink w:anchor="ref-Flaherty11">
        <w:r>
          <w:rPr>
            <w:rStyle w:val="Hyperlink"/>
          </w:rPr>
          <w:t xml:space="preserve">Flaherty and Landsberg 2011</w:t>
        </w:r>
      </w:hyperlink>
      <w:r>
        <w:t xml:space="preserve">)</w:t>
      </w:r>
      <w:r>
        <w:t xml:space="preserve">.</w:t>
      </w:r>
      <w:r>
        <w:t xml:space="preserve">”</w:t>
      </w:r>
    </w:p>
    <w:p>
      <w:pPr>
        <w:numPr>
          <w:ilvl w:val="0"/>
          <w:numId w:val="1000"/>
        </w:numPr>
      </w:pPr>
      <w:r>
        <w:t xml:space="preserve">Blooms in Tampa Bay originate from</w:t>
      </w:r>
      <w:r>
        <w:t xml:space="preserve"> </w:t>
      </w:r>
      <w:r>
        <w:rPr>
          <w:iCs/>
          <w:i/>
        </w:rPr>
        <w:t xml:space="preserve">K. brevis</w:t>
      </w:r>
      <w:r>
        <w:t xml:space="preserve"> </w:t>
      </w:r>
      <w:r>
        <w:t xml:space="preserve">that is transported in from the Gulf of Mexico. An important distinction that we make in this paper is that, although blooms in Tampa Bay are not uncommon, the severity of the 2021 bloom was very likely related to the favorable conditions in the bay prior to July. These favorable conditions were described in the paper as 1) nutrient availability from Piney Point, and 2) high salinity conditions from low rainfall. The passage of tropical storm Elsa was also a confounding factor. It is nearly impossible to identify a single factor causing the observed conditions, but we describe the considerations in the discussion (page 23).</w:t>
      </w:r>
    </w:p>
    <w:p>
      <w:pPr>
        <w:pStyle w:val="FirstParagraph"/>
      </w:pPr>
      <w:r>
        <w:t xml:space="preserve">P16/L26: not sure I see the rationale for analyzing the data using Braun Blanquet estimates, which, in my impression, was developed as a rapid assessment</w:t>
      </w:r>
    </w:p>
    <w:p>
      <w:pPr>
        <w:numPr>
          <w:ilvl w:val="0"/>
          <w:numId w:val="1033"/>
        </w:numPr>
      </w:pPr>
      <w:r>
        <w:rPr>
          <w:bCs/>
          <w:b/>
        </w:rPr>
        <w:t xml:space="preserve">Response</w:t>
      </w:r>
      <w:r>
        <w:t xml:space="preserve">: Seagrass transect monitoring in Tampa Bay has occurred annually since the mid-1990s using similar methods as in this paper</w:t>
      </w:r>
      <w:r>
        <w:t xml:space="preserve"> </w:t>
      </w:r>
      <w:r>
        <w:t xml:space="preserve">(i.e.,</w:t>
      </w:r>
      <w:r>
        <w:t xml:space="preserve"> </w:t>
      </w:r>
      <w:hyperlink w:anchor="ref-Sherwood17">
        <w:r>
          <w:rPr>
            <w:rStyle w:val="Hyperlink"/>
          </w:rPr>
          <w:t xml:space="preserve">E. Sherwood et al. 2017</w:t>
        </w:r>
      </w:hyperlink>
      <w:r>
        <w:t xml:space="preserve">)</w:t>
      </w:r>
      <w:r>
        <w:t xml:space="preserve">. The primary difference for the annual monitoring is the transect length, which is typically much longer than the 50m used in the 2021 rapid design. This shorter distance was chosen to allow for quicker sampling times and greater coverage in response to the rapidly changing conditions in 2021. Thus, the rapid design provides data that are similar quality to the long-term data, with notable exceptions indicated in the manuscript (i.e., no seasonal estimates). Our rationale for evaluating Braun Blanquet coverage was to verify the results obtained evaluating frequency occurrence estimates. The text was modified to make this clear (page 15):</w:t>
      </w:r>
    </w:p>
    <w:p>
      <w:pPr>
        <w:numPr>
          <w:ilvl w:val="0"/>
          <w:numId w:val="1000"/>
        </w:numPr>
      </w:pPr>
      <w:r>
        <w:t xml:space="preserve">“</w:t>
      </w:r>
      <w:r>
        <w:t xml:space="preserve">Tests using Braun Blanquet cover estimates confirmed the results from the frequency occurrence estimates (Tables S3, S4).</w:t>
      </w:r>
      <w:r>
        <w:t xml:space="preserve">”</w:t>
      </w:r>
    </w:p>
    <w:p>
      <w:pPr>
        <w:pStyle w:val="FirstParagraph"/>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numPr>
          <w:ilvl w:val="0"/>
          <w:numId w:val="1034"/>
        </w:numPr>
        <w:pStyle w:val="Compact"/>
      </w:pPr>
      <w:r>
        <w:rPr>
          <w:bCs/>
          <w:b/>
        </w:rPr>
        <w:t xml:space="preserve">Response</w:t>
      </w:r>
      <w:r>
        <w:t xml:space="preserve">: This section was moved to the discussion, please see the response to your general comment above.</w:t>
      </w:r>
    </w:p>
    <w:p>
      <w:pPr>
        <w:pStyle w:val="FirstParagraph"/>
      </w:pPr>
      <w:r>
        <w:t xml:space="preserve">P18/L18: or a shift in the relative availability, N:P</w:t>
      </w:r>
    </w:p>
    <w:p>
      <w:pPr>
        <w:numPr>
          <w:ilvl w:val="0"/>
          <w:numId w:val="1035"/>
        </w:numPr>
        <w:pStyle w:val="Compact"/>
      </w:pPr>
      <w:r>
        <w:rPr>
          <w:bCs/>
          <w:b/>
        </w:rPr>
        <w:t xml:space="preserve">Response</w:t>
      </w:r>
      <w:r>
        <w:t xml:space="preserve">: Added text</w:t>
      </w:r>
      <w:r>
        <w:t xml:space="preserve"> </w:t>
      </w:r>
      <w:r>
        <w:t xml:space="preserve">“</w:t>
      </w:r>
      <w:r>
        <w:t xml:space="preserve">…or changing availability of nutrient ratios creating favorable conditions for macroalgae growth</w:t>
      </w:r>
      <w:r>
        <w:t xml:space="preserve"> </w:t>
      </w:r>
      <w:r>
        <w:t xml:space="preserve">(</w:t>
      </w:r>
      <w:hyperlink w:anchor="ref-Valiela97">
        <w:r>
          <w:rPr>
            <w:rStyle w:val="Hyperlink"/>
          </w:rPr>
          <w:t xml:space="preserve">Valiela et al. 1997</w:t>
        </w:r>
      </w:hyperlink>
      <w:r>
        <w:t xml:space="preserve">;</w:t>
      </w:r>
      <w:r>
        <w:t xml:space="preserve"> </w:t>
      </w:r>
      <w:hyperlink w:anchor="ref-Cohen06">
        <w:r>
          <w:rPr>
            <w:rStyle w:val="Hyperlink"/>
          </w:rPr>
          <w:t xml:space="preserve">Cohen and Fong 2006</w:t>
        </w:r>
      </w:hyperlink>
      <w:r>
        <w:t xml:space="preserve">)</w:t>
      </w:r>
      <w:r>
        <w:t xml:space="preserve">.</w:t>
      </w:r>
      <w:r>
        <w:t xml:space="preserve">”</w:t>
      </w:r>
    </w:p>
    <w:bookmarkEnd w:id="22"/>
    <w:bookmarkStart w:id="32"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numPr>
          <w:ilvl w:val="0"/>
          <w:numId w:val="1036"/>
        </w:numPr>
        <w:pStyle w:val="Compact"/>
      </w:pPr>
      <w:r>
        <w:rPr>
          <w:bCs/>
          <w:b/>
        </w:rPr>
        <w:t xml:space="preserve">Response</w:t>
      </w:r>
      <w:r>
        <w:t xml:space="preserve">: Thank you for your constructive comments. Please see the detailed responses below.</w:t>
      </w:r>
    </w:p>
    <w:p>
      <w:pPr>
        <w:pStyle w:val="FirstParagraph"/>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numPr>
          <w:ilvl w:val="0"/>
          <w:numId w:val="1037"/>
        </w:numPr>
        <w:pStyle w:val="Compact"/>
      </w:pPr>
      <w:r>
        <w:rPr>
          <w:bCs/>
          <w:b/>
        </w:rPr>
        <w:t xml:space="preserve">Response</w:t>
      </w:r>
      <w:r>
        <w:t xml:space="preserve">: This line was changed to</w:t>
      </w:r>
      <w:r>
        <w:t xml:space="preserve"> </w:t>
      </w:r>
      <w:r>
        <w:t xml:space="preserve">“</w:t>
      </w:r>
      <w:r>
        <w:t xml:space="preserve">An initial phytoplankton bloom (non-harmful diatoms) was first observed….</w:t>
      </w:r>
      <w:r>
        <w:t xml:space="preserve">”</w:t>
      </w:r>
      <w:r>
        <w:t xml:space="preserve"> </w:t>
      </w:r>
      <w:r>
        <w:t xml:space="preserve">This was based on chlorophyll measurements in the vicinity of Port Manatee and cell concentrations enumerated to taxa from laboratory analysis. The word limit for the abstract prevents these details, but they are presented in text (page 18).</w:t>
      </w:r>
    </w:p>
    <w:p>
      <w:pPr>
        <w:pStyle w:val="FirstParagraph"/>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numPr>
          <w:ilvl w:val="0"/>
          <w:numId w:val="1038"/>
        </w:numPr>
      </w:pPr>
      <w:r>
        <w:rPr>
          <w:bCs/>
          <w:b/>
        </w:rPr>
        <w:t xml:space="preserve">Response</w:t>
      </w:r>
      <w:r>
        <w:t xml:space="preserve">: TBCOM was previously tested for veracity against in situ observations</w:t>
      </w:r>
      <w:r>
        <w:t xml:space="preserve"> </w:t>
      </w:r>
      <w:r>
        <w:t xml:space="preserve">(e.g.,</w:t>
      </w:r>
      <w:r>
        <w:t xml:space="preserve"> </w:t>
      </w:r>
      <w:hyperlink w:anchor="ref-Chen18">
        <w:r>
          <w:rPr>
            <w:rStyle w:val="Hyperlink"/>
          </w:rPr>
          <w:t xml:space="preserve">Chen et al. 2018</w:t>
        </w:r>
      </w:hyperlink>
      <w:r>
        <w:t xml:space="preserve">)</w:t>
      </w:r>
      <w:r>
        <w:t xml:space="preserve">. A prior version upon which TBCOM was constructed was also veracity tested and used in several studies</w:t>
      </w:r>
      <w:r>
        <w:t xml:space="preserve"> </w:t>
      </w:r>
      <w:r>
        <w:t xml:space="preserve">(Zhu et al., 2015</w:t>
      </w:r>
      <w:hyperlink r:id="rId23">
        <w:r>
          <w:rPr>
            <w:rStyle w:val="Hyperlink"/>
          </w:rPr>
          <w:t xml:space="preserve">a</w:t>
        </w:r>
      </w:hyperlink>
      <w:r>
        <w:t xml:space="preserve">,</w:t>
      </w:r>
      <w:hyperlink r:id="rId24">
        <w:r>
          <w:rPr>
            <w:rStyle w:val="Hyperlink"/>
          </w:rPr>
          <w:t xml:space="preserve">b</w:t>
        </w:r>
      </w:hyperlink>
      <w:r>
        <w:t xml:space="preserve">,</w:t>
      </w:r>
      <w:hyperlink r:id="rId25">
        <w:r>
          <w:rPr>
            <w:rStyle w:val="Hyperlink"/>
          </w:rPr>
          <w:t xml:space="preserve">c</w:t>
        </w:r>
      </w:hyperlink>
      <w:r>
        <w:t xml:space="preserve">, and</w:t>
      </w:r>
      <w:r>
        <w:t xml:space="preserve"> </w:t>
      </w:r>
      <w:hyperlink w:anchor="ref-Chen19">
        <w:r>
          <w:rPr>
            <w:rStyle w:val="Hyperlink"/>
          </w:rPr>
          <w:t xml:space="preserve">Chen et al. 2019</w:t>
        </w:r>
      </w:hyperlink>
      <w:r>
        <w:t xml:space="preserve">)</w:t>
      </w:r>
      <w:r>
        <w:t xml:space="preserve"> </w:t>
      </w:r>
      <w:r>
        <w:t xml:space="preserve">More systematic model/data comparisons were also reported in a recent PhD dissertation (J. Chen, Univ. of South Florida, 2021). Thus, prior to this application, TBCOM was found to perform well in simulating the circulation in the Tampa Bay, and TBCOM has provided publicly available, daily nowcast/forecasts (</w:t>
      </w:r>
      <w:hyperlink r:id="rId26">
        <w:r>
          <w:rPr>
            <w:rStyle w:val="Hyperlink"/>
          </w:rPr>
          <w:t xml:space="preserve">http://ocgweb.marine.usf.edu/~tbm/index.html</w:t>
        </w:r>
      </w:hyperlink>
      <w:r>
        <w:t xml:space="preserve">) for the past four years.</w:t>
      </w:r>
    </w:p>
    <w:p>
      <w:pPr>
        <w:numPr>
          <w:ilvl w:val="0"/>
          <w:numId w:val="1000"/>
        </w:numPr>
      </w:pPr>
      <w:r>
        <w:t xml:space="preserve">More detailed model description or analysis is beyond the scope this work. A dedicated manuscript is being prepared to document the TBCOM tracer model as a rapid response to the Piney Point event. Preliminary results can be found in CERF and AGU presentations:</w:t>
      </w:r>
    </w:p>
    <w:p>
      <w:pPr>
        <w:numPr>
          <w:ilvl w:val="0"/>
          <w:numId w:val="1000"/>
        </w:numPr>
      </w:pPr>
      <w:r>
        <w:t xml:space="preserve">Liu, Y., Weisberg, R.H., Zheng, L., Sun, Y., Chen, J. (2021), Nowcast/Forecast of the Tampa Bay, Piney Point Effluent Plume: A Rapid Response, Abstract (OS35B-1036) presented at AGU Fall Meeting, New Orleans, Louisiana, December 2021.</w:t>
      </w:r>
    </w:p>
    <w:p>
      <w:pPr>
        <w:numPr>
          <w:ilvl w:val="0"/>
          <w:numId w:val="1000"/>
        </w:numPr>
      </w:pPr>
      <w:r>
        <w:t xml:space="preserve">Liu, Y., Weisberg, R.H., Zheng, L., Sun, Y., Chen, J. (2021), Nowcast/Forecast of the Tampa Bay, Piney Point Effluent Plume: A Rapid Response, Coastal and Estuarine Research Federation (CERF) 2021 Virtual Meeting, November 2021.</w:t>
      </w:r>
    </w:p>
    <w:p>
      <w:pPr>
        <w:numPr>
          <w:ilvl w:val="0"/>
          <w:numId w:val="1000"/>
        </w:numPr>
      </w:pPr>
      <w:r>
        <w:t xml:space="preserve">The main text was edited to include some of the above details (page 5):</w:t>
      </w:r>
      <w:r>
        <w:t xml:space="preserve"> </w:t>
      </w:r>
      <w:r>
        <w:t xml:space="preserve">“</w:t>
      </w:r>
      <w:r>
        <w:t xml:space="preserve">The modeled plume evolution web product (</w:t>
      </w:r>
      <w:hyperlink r:id="rId27">
        <w:r>
          <w:rPr>
            <w:rStyle w:val="Hyperlink"/>
          </w:rPr>
          <w:t xml:space="preserve">http://ocgweb.marine.usf.edu/~liu/Tracer/</w:t>
        </w:r>
      </w:hyperlink>
      <w:r>
        <w:t xml:space="preserve">) served as the principal guidance for coordinating the data collection during the event. Preliminary model results for Piney Point are reported in</w:t>
      </w:r>
      <w:r>
        <w:t xml:space="preserve"> </w:t>
      </w:r>
      <w:hyperlink w:anchor="ref-Liu21">
        <w:r>
          <w:rPr>
            <w:rStyle w:val="Hyperlink"/>
          </w:rPr>
          <w:t xml:space="preserve">Liu et al.</w:t>
        </w:r>
      </w:hyperlink>
      <w:r>
        <w:t xml:space="preserve"> </w:t>
      </w:r>
      <w:r>
        <w:t xml:space="preserve">(</w:t>
      </w:r>
      <w:hyperlink w:anchor="ref-Liu21">
        <w:r>
          <w:rPr>
            <w:rStyle w:val="Hyperlink"/>
          </w:rPr>
          <w:t xml:space="preserve">2021</w:t>
        </w:r>
      </w:hyperlink>
      <w:r>
        <w:t xml:space="preserve">)</w:t>
      </w:r>
      <w:r>
        <w:t xml:space="preserve"> </w:t>
      </w:r>
      <w:r>
        <w:t xml:space="preserve">and previous model veracity testing was described in</w:t>
      </w:r>
      <w:r>
        <w:t xml:space="preserve"> </w:t>
      </w:r>
      <w:hyperlink w:anchor="ref-Chen18">
        <w:r>
          <w:rPr>
            <w:rStyle w:val="Hyperlink"/>
          </w:rPr>
          <w:t xml:space="preserve">Chen et al.</w:t>
        </w:r>
      </w:hyperlink>
      <w:r>
        <w:t xml:space="preserve"> </w:t>
      </w:r>
      <w:r>
        <w:t xml:space="preserve">(</w:t>
      </w:r>
      <w:hyperlink w:anchor="ref-Chen18">
        <w:r>
          <w:rPr>
            <w:rStyle w:val="Hyperlink"/>
          </w:rPr>
          <w:t xml:space="preserve">2018</w:t>
        </w:r>
      </w:hyperlink>
      <w:r>
        <w:t xml:space="preserve">)</w:t>
      </w:r>
      <w:r>
        <w:t xml:space="preserve"> </w:t>
      </w:r>
      <w:r>
        <w:t xml:space="preserve">and</w:t>
      </w:r>
      <w:r>
        <w:t xml:space="preserve"> </w:t>
      </w:r>
      <w:hyperlink w:anchor="ref-Chen19">
        <w:r>
          <w:rPr>
            <w:rStyle w:val="Hyperlink"/>
          </w:rPr>
          <w:t xml:space="preserve">Chen et al.</w:t>
        </w:r>
      </w:hyperlink>
      <w:r>
        <w:t xml:space="preserve"> </w:t>
      </w:r>
      <w:r>
        <w:t xml:space="preserve">(</w:t>
      </w:r>
      <w:hyperlink w:anchor="ref-Chen19">
        <w:r>
          <w:rPr>
            <w:rStyle w:val="Hyperlink"/>
          </w:rPr>
          <w:t xml:space="preserve">2019</w:t>
        </w:r>
      </w:hyperlink>
      <w:r>
        <w:t xml:space="preserve">)</w:t>
      </w:r>
      <w:r>
        <w:t xml:space="preserve"> </w:t>
      </w:r>
      <w:r>
        <w:t xml:space="preserve">(and references therein)</w:t>
      </w:r>
      <w:r>
        <w:t xml:space="preserve">”</w:t>
      </w:r>
    </w:p>
    <w:p>
      <w:pPr>
        <w:pStyle w:val="FirstParagraph"/>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numPr>
          <w:ilvl w:val="0"/>
          <w:numId w:val="1039"/>
        </w:numPr>
      </w:pPr>
      <w:r>
        <w:rPr>
          <w:bCs/>
          <w:b/>
        </w:rPr>
        <w:t xml:space="preserve">Response</w:t>
      </w:r>
      <w:r>
        <w:t xml:space="preserve">: Our initial submission included supplement material that described the sample collection and processing in more detail. We have moved that content from the supplement to the main text, beginning on page 6:</w:t>
      </w:r>
    </w:p>
    <w:p>
      <w:pPr>
        <w:numPr>
          <w:ilvl w:val="0"/>
          <w:numId w:val="1000"/>
        </w:numPr>
      </w:pPr>
      <w:r>
        <w:t xml:space="preserve">“</w:t>
      </w:r>
      <w:r>
        <w:t xml:space="preserve">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w:t>
      </w:r>
      <w:r>
        <w:t xml:space="preserve"> </w:t>
      </w:r>
      <w:hyperlink r:id="rId28">
        <w:r>
          <w:rPr>
            <w:rStyle w:val="Hyperlink"/>
          </w:rPr>
          <w:t xml:space="preserve">Interagency Monitoring Project Plan</w:t>
        </w:r>
      </w:hyperlink>
      <w:r>
        <w:t xml:space="preserve"> </w:t>
      </w:r>
      <w:r>
        <w:t xml:space="preserve">maintained by the TBEP and those of the inter-agency partners. Data quality objectives followed guidelines outlined in the USEPA-approved TBEP Data Quality Management Plan</w:t>
      </w:r>
      <w:r>
        <w:t xml:space="preserve"> </w:t>
      </w:r>
      <w:r>
        <w:t xml:space="preserve">(</w:t>
      </w:r>
      <w:hyperlink w:anchor="ref-tbep1620">
        <w:r>
          <w:rPr>
            <w:rStyle w:val="Hyperlink"/>
          </w:rPr>
          <w:t xml:space="preserve">E. T. Sherwood et al. 2020</w:t>
        </w:r>
      </w:hyperlink>
      <w:r>
        <w:t xml:space="preserve">)</w:t>
      </w:r>
      <w:r>
        <w:t xml:space="preserve">. Many of the local partners also participate in the Southwest Florida</w:t>
      </w:r>
      <w:r>
        <w:t xml:space="preserve"> </w:t>
      </w:r>
      <w:hyperlink r:id="rId29">
        <w:r>
          <w:rPr>
            <w:rStyle w:val="Hyperlink"/>
          </w:rPr>
          <w:t xml:space="preserve">Regional Ambient Monitoring Program</w:t>
        </w:r>
      </w:hyperlink>
      <w:r>
        <w:t xml:space="preserve"> </w:t>
      </w:r>
      <w:r>
        <w:t xml:space="preserve">(RAMP)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r>
        <w:t xml:space="preserve">”</w:t>
      </w:r>
    </w:p>
    <w:p>
      <w:pPr>
        <w:pStyle w:val="FirstParagraph"/>
      </w:pPr>
      <w:r>
        <w:t xml:space="preserve">Page 7, Line 22 - Were the breakpoints for K. brevis, or total phytoplankton abundance?</w:t>
      </w:r>
    </w:p>
    <w:p>
      <w:pPr>
        <w:numPr>
          <w:ilvl w:val="0"/>
          <w:numId w:val="1040"/>
        </w:numPr>
        <w:pStyle w:val="Compact"/>
      </w:pPr>
      <w:r>
        <w:rPr>
          <w:bCs/>
          <w:b/>
        </w:rPr>
        <w:t xml:space="preserve">Response</w:t>
      </w:r>
      <w:r>
        <w:t xml:space="preserve">: These were applied to K. brevis. The sentence was revised:</w:t>
      </w:r>
      <w:r>
        <w:t xml:space="preserve"> </w:t>
      </w:r>
      <w:r>
        <w:t xml:space="preserve">“</w:t>
      </w:r>
      <w:r>
        <w:t xml:space="preserve">Bloom sizes for HAB species were described qualitatively as low/medium/high concentrations…</w:t>
      </w:r>
      <w:r>
        <w:t xml:space="preserve">”</w:t>
      </w:r>
    </w:p>
    <w:p>
      <w:pPr>
        <w:pStyle w:val="FirstParagraph"/>
      </w:pPr>
      <w:r>
        <w:t xml:space="preserve">Page 7, Line 37 - What about from ungauged flows?</w:t>
      </w:r>
    </w:p>
    <w:p>
      <w:pPr>
        <w:numPr>
          <w:ilvl w:val="0"/>
          <w:numId w:val="1041"/>
        </w:numPr>
        <w:pStyle w:val="Compact"/>
      </w:pPr>
      <w:r>
        <w:rPr>
          <w:bCs/>
          <w:b/>
        </w:rPr>
        <w:t xml:space="preserve">Response</w:t>
      </w:r>
      <w:r>
        <w:t xml:space="preserve">: Our methods for estimating inflows into Tampa Bay are based on those similarly presented in a technical report published by the Tampa Bay Estuary Program</w:t>
      </w:r>
      <w:r>
        <w:t xml:space="preserve"> </w:t>
      </w:r>
      <w:r>
        <w:t xml:space="preserve">(</w:t>
      </w:r>
      <w:hyperlink w:anchor="ref-Janicki12">
        <w:r>
          <w:rPr>
            <w:rStyle w:val="Hyperlink"/>
          </w:rPr>
          <w:t xml:space="preserve">Janicki Environmental, Inc. 2012</w:t>
        </w:r>
      </w:hyperlink>
      <w:r>
        <w:t xml:space="preserve">)</w:t>
      </w:r>
      <w:r>
        <w:t xml:space="preserve">. This report provides the basis for compliance assessment of our TMDL for reporting to the Florida Department of Environmental Protection and represents our best estimate at hydrologic load inputs to the bay. We have provided a citation to this report in the paper.</w:t>
      </w:r>
    </w:p>
    <w:p>
      <w:pPr>
        <w:pStyle w:val="FirstParagraph"/>
      </w:pPr>
      <w:r>
        <w:t xml:space="preserve">Page 11, Line 30 - Need to put Anna Maria Sound on the map. Likewise for Port Manatee.</w:t>
      </w:r>
    </w:p>
    <w:p>
      <w:pPr>
        <w:numPr>
          <w:ilvl w:val="0"/>
          <w:numId w:val="1042"/>
        </w:numPr>
        <w:pStyle w:val="Compact"/>
      </w:pPr>
      <w:r>
        <w:rPr>
          <w:bCs/>
          <w:b/>
        </w:rPr>
        <w:t xml:space="preserve">Response</w:t>
      </w:r>
      <w:r>
        <w:t xml:space="preserve">: Locations were added to the map.</w:t>
      </w:r>
    </w:p>
    <w:p>
      <w:pPr>
        <w:pStyle w:val="FirstParagraph"/>
      </w:pPr>
      <w:r>
        <w:t xml:space="preserve">Page 12-14, Water quality trends section - Very little attention is given to the role of the hurricane that hit the area in early July. Would be interesting to hear more about its effects on water quality in the study area.</w:t>
      </w:r>
    </w:p>
    <w:p>
      <w:pPr>
        <w:numPr>
          <w:ilvl w:val="0"/>
          <w:numId w:val="1043"/>
        </w:numPr>
        <w:pStyle w:val="Compact"/>
      </w:pPr>
      <w:r>
        <w:rPr>
          <w:bCs/>
          <w:b/>
        </w:rPr>
        <w:t xml:space="preserve">Response</w:t>
      </w:r>
      <w:r>
        <w:t xml:space="preserve">: As noted in the red tide section and discussion, Tropical Storm Elsa was a confounding factor when interpreting drivers of the red tide event. It is challenging to disentangle an isolated effect of the storm on the red tide and the same could be said for the broader suite of parameters that were used to assess water quality. For example, a clear chlorophyll spike in early July coincided with the red tide peak, which also coincided with passage of the storm. A lack of continuous monitoring in the bay also prevented a more comprehensive assessment of potential storm effects. However, water quality conditions were changing rapidly from the red tide, preceding the arrival of the storm by several days, and we consider the water quality conditions at the time of passage to be driven primarily by the</w:t>
      </w:r>
      <w:r>
        <w:t xml:space="preserve"> </w:t>
      </w:r>
      <w:r>
        <w:rPr>
          <w:iCs/>
          <w:i/>
        </w:rPr>
        <w:t xml:space="preserve">K. brevis</w:t>
      </w:r>
      <w:r>
        <w:t xml:space="preserve"> </w:t>
      </w:r>
      <w:r>
        <w:t xml:space="preserve">bloom in the bay. We have added some additional text describing these interpretations in response to your comment below about dissolved oxygen and fish kills.</w:t>
      </w:r>
    </w:p>
    <w:p>
      <w:pPr>
        <w:pStyle w:val="FirstParagraph"/>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numPr>
          <w:ilvl w:val="0"/>
          <w:numId w:val="1044"/>
        </w:numPr>
      </w:pPr>
      <w:r>
        <w:rPr>
          <w:bCs/>
          <w:b/>
        </w:rPr>
        <w:t xml:space="preserve">Response</w:t>
      </w:r>
      <w:r>
        <w:t xml:space="preserve">: Frequency occurrence is a routine reporting metric used by the Tampa Bay Estuary Program to summarize the long-term annual transect monitoring</w:t>
      </w:r>
      <w:r>
        <w:t xml:space="preserve"> </w:t>
      </w:r>
      <w:r>
        <w:t xml:space="preserve">(see</w:t>
      </w:r>
      <w:r>
        <w:t xml:space="preserve"> </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 Additional text on page 10 was added to make this clear:</w:t>
      </w:r>
    </w:p>
    <w:p>
      <w:pPr>
        <w:numPr>
          <w:ilvl w:val="0"/>
          <w:numId w:val="1000"/>
        </w:numPr>
      </w:pPr>
      <w:r>
        <w:t xml:space="preserve">“</w:t>
      </w:r>
      <w:r>
        <w:t xml:space="preserve">Frequency occurrence estimates were used to evaluate macroalgae and seagrasses as a standard metric used in previous analyses in Tampa Bay</w:t>
      </w:r>
      <w:r>
        <w:t xml:space="preserve"> </w:t>
      </w:r>
      <w:r>
        <w:t xml:space="preserve">(</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w:t>
      </w:r>
      <w:r>
        <w:t xml:space="preserve">”</w:t>
      </w:r>
    </w:p>
    <w:p>
      <w:pPr>
        <w:numPr>
          <w:ilvl w:val="0"/>
          <w:numId w:val="1000"/>
        </w:numPr>
      </w:pPr>
      <w:r>
        <w:t xml:space="preserve">We realize that additional metrics could have been used to summarize the data and we presented trend assessments using the Braun-Blanquet abundance estimates as confirmation for the results from the frequency occurrence analyses (Tables S3 and S4). However, this does not provide an assessment of biomass or coverage. Weight data were collected for select macroalgae samples during the 2021 surveys and a preliminary analysis (see the Seagrass -&gt; Biomass estimates tab</w:t>
      </w:r>
      <w:r>
        <w:t xml:space="preserve"> </w:t>
      </w:r>
      <w:hyperlink r:id="rId30">
        <w:r>
          <w:rPr>
            <w:rStyle w:val="Hyperlink"/>
          </w:rPr>
          <w:t xml:space="preserve">here</w:t>
        </w:r>
      </w:hyperlink>
      <w:r>
        <w:t xml:space="preserve">) suggested similar trends as the frequency occurrence results. Because we did not have comparable weight data for seagrasses, the analysis was not included. It is also worth mentioning that coverage estimates are obtained every two years for Tampa Bay as an annual snapshot (noted at the top of page 21 in the discussion), but these are not of sufficient temporal resolution to support the analyses in this paper.</w:t>
      </w:r>
    </w:p>
    <w:p>
      <w:pPr>
        <w:numPr>
          <w:ilvl w:val="0"/>
          <w:numId w:val="1000"/>
        </w:numPr>
      </w:pPr>
      <w:r>
        <w:t xml:space="preserve">There were limitations to our analysis that were noted in the original draft, primarily the lack of long-term historical data on seasonal trends for seagrasses and macroalgae. For example, page 22,line 52 in the original discussion:</w:t>
      </w:r>
      <w:r>
        <w:t xml:space="preserve"> </w:t>
      </w:r>
      <w:r>
        <w:t xml:space="preserve">“</w:t>
      </w:r>
      <w:r>
        <w:t xml:space="preserve">Long-term monitoring data describing normal seasonal variation in macroalgae are unavailable and we cannot distinguish between seasonal and interannual changes and those in potential response to the Piney Point release.</w:t>
      </w:r>
      <w:r>
        <w:t xml:space="preserve">”</w:t>
      </w:r>
    </w:p>
    <w:p>
      <w:pPr>
        <w:pStyle w:val="FirstParagraph"/>
      </w:pPr>
      <w:r>
        <w:t xml:space="preserve">Page 17, Lines 17-20 - How did the 2021 fish kills compare to historical kill spatial-temporal trends?</w:t>
      </w:r>
    </w:p>
    <w:p>
      <w:pPr>
        <w:numPr>
          <w:ilvl w:val="0"/>
          <w:numId w:val="1045"/>
        </w:numPr>
        <w:pStyle w:val="Compact"/>
      </w:pPr>
      <w:r>
        <w:rPr>
          <w:bCs/>
          <w:b/>
        </w:rPr>
        <w:t xml:space="preserve">Response</w:t>
      </w:r>
      <w:r>
        <w:t xml:space="preserve">: We were also interested in this question and had included a long-term trend plot in an earlier draft, with results as early as 1995 (see</w:t>
      </w:r>
      <w:r>
        <w:t xml:space="preserve"> </w:t>
      </w:r>
      <w:hyperlink r:id="rId31">
        <w:r>
          <w:rPr>
            <w:rStyle w:val="Hyperlink"/>
          </w:rPr>
          <w:t xml:space="preserve">here</w:t>
        </w:r>
      </w:hyperlink>
      <w:r>
        <w:t xml:space="preserve">). However, this was not included due to differences in reporting methods that have changed over time. Online reporting became available in recent years and we considered the results incomparable to the earlier data that were based on phone reporting methods.</w:t>
      </w:r>
    </w:p>
    <w:p>
      <w:pPr>
        <w:pStyle w:val="FirstParagraph"/>
      </w:pPr>
      <w:r>
        <w:t xml:space="preserve">Page 17, Lines 37-40 - Could there have been a role for low D.O. in the post-storm fish kills?</w:t>
      </w:r>
    </w:p>
    <w:p>
      <w:pPr>
        <w:numPr>
          <w:ilvl w:val="0"/>
          <w:numId w:val="1046"/>
        </w:numPr>
      </w:pPr>
      <w:r>
        <w:rPr>
          <w:bCs/>
          <w:b/>
        </w:rPr>
        <w:t xml:space="preserve">Response</w:t>
      </w:r>
      <w:r>
        <w:t xml:space="preserve">: We included some text describing this issue in the discussion.</w:t>
      </w:r>
    </w:p>
    <w:p>
      <w:pPr>
        <w:numPr>
          <w:ilvl w:val="0"/>
          <w:numId w:val="1000"/>
        </w:numPr>
      </w:pPr>
      <w:r>
        <w:t xml:space="preserve">“</w:t>
      </w:r>
      <w:r>
        <w:t xml:space="preserve">Water quality conditions before and after passage of tropical storm Elsa may have also contributed to fish kills by reducing bottom-water dissolved oxygen.</w:t>
      </w:r>
      <w:r>
        <w:t xml:space="preserve"> </w:t>
      </w:r>
      <w:hyperlink w:anchor="ref-Stevens06">
        <w:r>
          <w:rPr>
            <w:rStyle w:val="Hyperlink"/>
          </w:rPr>
          <w:t xml:space="preserve">Stevens, Blewett, and Casey</w:t>
        </w:r>
      </w:hyperlink>
      <w:r>
        <w:t xml:space="preserve"> </w:t>
      </w:r>
      <w:r>
        <w:t xml:space="preserve">(</w:t>
      </w:r>
      <w:hyperlink w:anchor="ref-Stevens06">
        <w:r>
          <w:rPr>
            <w:rStyle w:val="Hyperlink"/>
          </w:rPr>
          <w:t xml:space="preserve">2006</w:t>
        </w:r>
      </w:hyperlink>
      <w:r>
        <w:t xml:space="preserve">)</w:t>
      </w:r>
      <w:r>
        <w:t xml:space="preserve"> </w:t>
      </w:r>
      <w:r>
        <w:t xml:space="preserve">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r>
        <w:t xml:space="preserve">”</w:t>
      </w:r>
    </w:p>
    <w:p>
      <w:pPr>
        <w:pStyle w:val="FirstParagraph"/>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numPr>
          <w:ilvl w:val="0"/>
          <w:numId w:val="1047"/>
        </w:numPr>
        <w:pStyle w:val="Compact"/>
      </w:pPr>
      <w:r>
        <w:rPr>
          <w:bCs/>
          <w:b/>
        </w:rPr>
        <w:t xml:space="preserve">Response</w:t>
      </w:r>
      <w:r>
        <w:t xml:space="preserve">: We agree that the nutrient limitation needs to be clearly stated as the basis for focusing primarily on nitrogen and not phosphorus. The second paragraph in the introduction was meant to provide this justification, but this was clearly insufficient as noted in the review. We include some additional text and citations in the final paragraph of the introduction as further justification - see the response to the similar critique from reviewer 2. Also note that phosphorus summary plots were previously included in the supplement.</w:t>
      </w:r>
    </w:p>
    <w:p>
      <w:pPr>
        <w:pStyle w:val="FirstParagraph"/>
      </w:pPr>
      <w:r>
        <w:t xml:space="preserve">Page 20, Line 22 - Ammonium, not ammonia. Or was pH such that ammonia would be the dominant form?</w:t>
      </w:r>
    </w:p>
    <w:p>
      <w:pPr>
        <w:numPr>
          <w:ilvl w:val="0"/>
          <w:numId w:val="1048"/>
        </w:numPr>
        <w:pStyle w:val="Compact"/>
      </w:pPr>
      <w:r>
        <w:rPr>
          <w:bCs/>
          <w:b/>
        </w:rPr>
        <w:t xml:space="preserve">Response</w:t>
      </w:r>
      <w:r>
        <w:t xml:space="preserve">: This is in reference to total ammonia nitrogen, as was provided by the water quality sampling. We have made a note in the methods section (top of page 6) that any mention of ammonia refers to total ammonia nitrogen.</w:t>
      </w:r>
    </w:p>
    <w:p>
      <w:pPr>
        <w:pStyle w:val="FirstParagraph"/>
      </w:pPr>
      <w:r>
        <w:t xml:space="preserve">Page 20, Line 39 - Might be worth having a separate paragraph that talks about the timing/duration of the K. brevis bloom in 2021 compared to historic conditions.</w:t>
      </w:r>
    </w:p>
    <w:p>
      <w:pPr>
        <w:numPr>
          <w:ilvl w:val="0"/>
          <w:numId w:val="1049"/>
        </w:numPr>
      </w:pPr>
      <w:r>
        <w:rPr>
          <w:bCs/>
          <w:b/>
        </w:rPr>
        <w:t xml:space="preserve">Response</w:t>
      </w:r>
      <w:r>
        <w:t xml:space="preserve">: Previous content in the discussion below this paragraph provided some historical context on red tide events in the region. Specifically, on page 23:</w:t>
      </w:r>
      <w:r>
        <w:t xml:space="preserve"> </w:t>
      </w:r>
      <w:r>
        <w:t xml:space="preserve">“</w:t>
      </w:r>
      <w:r>
        <w:t xml:space="preserve">Occurrence of this species has historically been spatially distinct, with blooms originating in subsurface water offshore on the West Florida Shelf…</w:t>
      </w:r>
      <w:r>
        <w:t xml:space="preserve">”</w:t>
      </w:r>
    </w:p>
    <w:p>
      <w:pPr>
        <w:numPr>
          <w:ilvl w:val="0"/>
          <w:numId w:val="1000"/>
        </w:numPr>
      </w:pPr>
      <w:r>
        <w:t xml:space="preserve">We have added some text below the existing paragraph to provide more context:</w:t>
      </w:r>
      <w:r>
        <w:t xml:space="preserve"> </w:t>
      </w:r>
      <w:r>
        <w:t xml:space="preserve">“</w:t>
      </w:r>
      <w:r>
        <w:t xml:space="preserve">Seasonal persistence in Gulf waters in southwest Florida can vary between years, with some blooms lasting as short as a few weeks, while others have been present for longer than a year</w:t>
      </w:r>
      <w:r>
        <w:t xml:space="preserve"> </w:t>
      </w:r>
      <w:r>
        <w:t xml:space="preserve">(the 2018 bloom lasted sixteen months,</w:t>
      </w:r>
      <w:r>
        <w:t xml:space="preserve"> </w:t>
      </w:r>
      <w:hyperlink w:anchor="ref-Skripnikov21">
        <w:r>
          <w:rPr>
            <w:rStyle w:val="Hyperlink"/>
          </w:rPr>
          <w:t xml:space="preserve">Skripnikov et al. 2021</w:t>
        </w:r>
      </w:hyperlink>
      <w:r>
        <w:t xml:space="preserve">)</w:t>
      </w:r>
      <w:r>
        <w:t xml:space="preserve">. Severity in estuaries is typically less than Gulf waters as</w:t>
      </w:r>
      <w:r>
        <w:t xml:space="preserve"> </w:t>
      </w:r>
      <w:r>
        <w:rPr>
          <w:iCs/>
          <w:i/>
        </w:rPr>
        <w:t xml:space="preserve">K. brevis</w:t>
      </w:r>
      <w:r>
        <w:t xml:space="preserve"> </w:t>
      </w:r>
      <w:r>
        <w:t xml:space="preserve">is limited to higher salinity.</w:t>
      </w:r>
      <w:r>
        <w:t xml:space="preserve">”</w:t>
      </w:r>
    </w:p>
    <w:p>
      <w:pPr>
        <w:pStyle w:val="FirstParagraph"/>
      </w:pPr>
      <w:r>
        <w:t xml:space="preserve">Page 20 (last paragraph)-21 (first paragraph) - Without showing methods and/or data, I feel that it is inappropriate to introduce the nekton abundance/composition here.</w:t>
      </w:r>
    </w:p>
    <w:p>
      <w:pPr>
        <w:numPr>
          <w:ilvl w:val="0"/>
          <w:numId w:val="1050"/>
        </w:numPr>
        <w:pStyle w:val="Compact"/>
      </w:pPr>
      <w:r>
        <w:rPr>
          <w:bCs/>
          <w:b/>
        </w:rPr>
        <w:t xml:space="preserve">Response</w:t>
      </w:r>
      <w:r>
        <w:t xml:space="preserve">: Agreed, much of this content was removed.</w:t>
      </w:r>
    </w:p>
    <w:p>
      <w:pPr>
        <w:pStyle w:val="FirstParagraph"/>
      </w:pPr>
      <w:r>
        <w:t xml:space="preserve">Page 21, Lines 32-47 - Much of this text on seagrass seems speculative, and again, unclear about use of % occurrence as a metric.</w:t>
      </w:r>
    </w:p>
    <w:p>
      <w:pPr>
        <w:numPr>
          <w:ilvl w:val="0"/>
          <w:numId w:val="1051"/>
        </w:numPr>
      </w:pPr>
      <w:r>
        <w:rPr>
          <w:bCs/>
          <w:b/>
        </w:rPr>
        <w:t xml:space="preserve">Response</w:t>
      </w:r>
      <w:r>
        <w:t xml:space="preserve">: We have replaced the beginning of this paragraph with more definitive text:</w:t>
      </w:r>
    </w:p>
    <w:p>
      <w:pPr>
        <w:numPr>
          <w:ilvl w:val="0"/>
          <w:numId w:val="1000"/>
        </w:numPr>
      </w:pPr>
      <w:r>
        <w:t xml:space="preserve">“</w:t>
      </w:r>
      <w:r>
        <w:t xml:space="preserve">Previous research for Tampa Bay has identified water quality conditions that are likely to promote seagrass growth</w:t>
      </w:r>
      <w:r>
        <w:t xml:space="preserve"> </w:t>
      </w:r>
      <w:r>
        <w:t xml:space="preserve">(</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 and references therein)</w:t>
      </w:r>
      <w:r>
        <w:t xml:space="preserve">. The results observed in 2021 suggested water quality conditions were not supportive of seagrass growth, although changes were not observed and the conditions likely did not persist long enough to impact seagrasses.</w:t>
      </w:r>
      <w:r>
        <w:t xml:space="preserve">”</w:t>
      </w:r>
    </w:p>
    <w:p>
      <w:pPr>
        <w:numPr>
          <w:ilvl w:val="0"/>
          <w:numId w:val="1000"/>
        </w:numPr>
      </w:pPr>
      <w:r>
        <w:t xml:space="preserve">Also, please see our response above about frequency occurrence.</w:t>
      </w:r>
    </w:p>
    <w:p>
      <w:pPr>
        <w:pStyle w:val="FirstParagraph"/>
      </w:pPr>
      <w:r>
        <w:t xml:space="preserve">Page 24, Lines 17-52 - Speculative without showing methods of data collection or the actual data.</w:t>
      </w:r>
    </w:p>
    <w:p>
      <w:pPr>
        <w:numPr>
          <w:ilvl w:val="0"/>
          <w:numId w:val="1052"/>
        </w:numPr>
        <w:pStyle w:val="Compact"/>
      </w:pPr>
      <w:r>
        <w:rPr>
          <w:bCs/>
          <w:b/>
        </w:rPr>
        <w:t xml:space="preserve">Response</w:t>
      </w:r>
      <w:r>
        <w:t xml:space="preserve">: The paragraph was removed for brevity.</w:t>
      </w:r>
    </w:p>
    <w:bookmarkEnd w:id="32"/>
    <w:bookmarkStart w:id="68" w:name="references"/>
    <w:p>
      <w:pPr>
        <w:pStyle w:val="Heading1"/>
      </w:pPr>
      <w:r>
        <w:t xml:space="preserve">References</w:t>
      </w:r>
    </w:p>
    <w:bookmarkStart w:id="67" w:name="refs"/>
    <w:bookmarkStart w:id="34" w:name="ref-Chen18"/>
    <w:p>
      <w:pPr>
        <w:pStyle w:val="Bibliography"/>
      </w:pPr>
      <w:r>
        <w:t xml:space="preserve">Chen, Jing, Robert H Weisberg, Yonggang Liu, and Lianyuan Zheng. 2018.</w:t>
      </w:r>
      <w:r>
        <w:t xml:space="preserve"> </w:t>
      </w:r>
      <w:r>
        <w:t xml:space="preserve">“The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w:t>
      </w:r>
      <w:r>
        <w:t xml:space="preserve"> </w:t>
      </w:r>
      <w:r>
        <w:rPr>
          <w:iCs/>
          <w:i/>
        </w:rPr>
        <w:t xml:space="preserve">Marine Technology Society Journal</w:t>
      </w:r>
      <w:r>
        <w:t xml:space="preserve"> </w:t>
      </w:r>
      <w:r>
        <w:t xml:space="preserve">52 (3): 33–42.</w:t>
      </w:r>
      <w:r>
        <w:t xml:space="preserve"> </w:t>
      </w:r>
      <w:hyperlink r:id="rId33">
        <w:r>
          <w:rPr>
            <w:rStyle w:val="Hyperlink"/>
          </w:rPr>
          <w:t xml:space="preserve">https://doi.org/10.4031/MTSJ.52.3.6</w:t>
        </w:r>
      </w:hyperlink>
      <w:r>
        <w:t xml:space="preserve">.</w:t>
      </w:r>
    </w:p>
    <w:bookmarkEnd w:id="34"/>
    <w:bookmarkStart w:id="36" w:name="ref-Chen19"/>
    <w:p>
      <w:pPr>
        <w:pStyle w:val="Bibliography"/>
      </w:pPr>
      <w:r>
        <w:t xml:space="preserve">Chen, Jing, Robert H Weisberg, Yonggang Liu, Lianyuan Zheng, and Jun Zhu. 2019.</w:t>
      </w:r>
      <w:r>
        <w:t xml:space="preserve"> </w:t>
      </w:r>
      <w:r>
        <w:t xml:space="preserve">“On the Momentum Balance of Tampa Bay.”</w:t>
      </w:r>
      <w:r>
        <w:t xml:space="preserve"> </w:t>
      </w:r>
      <w:r>
        <w:rPr>
          <w:iCs/>
          <w:i/>
        </w:rPr>
        <w:t xml:space="preserve">Journal of Geophysical Research: Oceans</w:t>
      </w:r>
      <w:r>
        <w:t xml:space="preserve"> </w:t>
      </w:r>
      <w:r>
        <w:t xml:space="preserve">124 (7): 4492–4510.</w:t>
      </w:r>
      <w:r>
        <w:t xml:space="preserve"> </w:t>
      </w:r>
      <w:hyperlink r:id="rId35">
        <w:r>
          <w:rPr>
            <w:rStyle w:val="Hyperlink"/>
          </w:rPr>
          <w:t xml:space="preserve">https://doi.org/10.1029/2018JC014890</w:t>
        </w:r>
      </w:hyperlink>
      <w:r>
        <w:t xml:space="preserve">.</w:t>
      </w:r>
    </w:p>
    <w:bookmarkEnd w:id="36"/>
    <w:bookmarkStart w:id="38" w:name="ref-Cohen06"/>
    <w:p>
      <w:pPr>
        <w:pStyle w:val="Bibliography"/>
      </w:pPr>
      <w:r>
        <w:t xml:space="preserve">Cohen, Risa A, and Peggy Fong. 2006.</w:t>
      </w:r>
      <w:r>
        <w:t xml:space="preserve"> </w:t>
      </w:r>
      <w:r>
        <w:t xml:space="preserve">“Using Opportunistic Green Macroalgae as Indicators of Nitrogen Supply and Sources to Estuaries.”</w:t>
      </w:r>
      <w:r>
        <w:t xml:space="preserve"> </w:t>
      </w:r>
      <w:r>
        <w:rPr>
          <w:iCs/>
          <w:i/>
        </w:rPr>
        <w:t xml:space="preserve">Ecological Applications</w:t>
      </w:r>
      <w:r>
        <w:t xml:space="preserve"> </w:t>
      </w:r>
      <w:r>
        <w:t xml:space="preserve">16 (4): 1405–20.</w:t>
      </w:r>
      <w:r>
        <w:t xml:space="preserve"> </w:t>
      </w:r>
      <w:hyperlink r:id="rId37">
        <w:r>
          <w:rPr>
            <w:rStyle w:val="Hyperlink"/>
          </w:rPr>
          <w:t xml:space="preserve">https://doi.org/10.1890/1051-0761(2006)016[1405:UOGMAI]2.0.CO;2</w:t>
        </w:r>
      </w:hyperlink>
      <w:r>
        <w:t xml:space="preserve">.</w:t>
      </w:r>
    </w:p>
    <w:bookmarkEnd w:id="38"/>
    <w:bookmarkStart w:id="40" w:name="ref-Flaherty11"/>
    <w:p>
      <w:pPr>
        <w:pStyle w:val="Bibliography"/>
      </w:pPr>
      <w:r>
        <w:t xml:space="preserve">Flaherty, Kerry E., and Jan H. Landsberg. 2011.</w:t>
      </w:r>
      <w:r>
        <w:t xml:space="preserve"> </w:t>
      </w:r>
      <w:r>
        <w:t xml:space="preserve">“Effects of a Persistent Red Tide</w:t>
      </w:r>
      <w:r>
        <w:t xml:space="preserve"> </w:t>
      </w:r>
      <w:r>
        <w:rPr>
          <w:iCs/>
          <w:i/>
        </w:rPr>
        <w:t xml:space="preserve">K</w:t>
      </w:r>
      <w:r>
        <w:rPr>
          <w:iCs/>
          <w:i/>
        </w:rPr>
        <w:t xml:space="preserve">arenia Brevis</w:t>
      </w:r>
      <w:r>
        <w:t xml:space="preserve"> </w:t>
      </w:r>
      <w:r>
        <w:t xml:space="preserve">Bloom on Community Structure and Species-Specific Relative Abundance of Nekton in a</w:t>
      </w:r>
      <w:r>
        <w:t xml:space="preserve"> </w:t>
      </w:r>
      <w:r>
        <w:t xml:space="preserve">G</w:t>
      </w:r>
      <w:r>
        <w:t xml:space="preserve">ulf of</w:t>
      </w:r>
      <w:r>
        <w:t xml:space="preserve"> </w:t>
      </w:r>
      <w:r>
        <w:t xml:space="preserve">M</w:t>
      </w:r>
      <w:r>
        <w:t xml:space="preserve">exico Estuary.”</w:t>
      </w:r>
      <w:r>
        <w:t xml:space="preserve"> </w:t>
      </w:r>
      <w:r>
        <w:rPr>
          <w:iCs/>
          <w:i/>
        </w:rPr>
        <w:t xml:space="preserve">Estuaries and Coasts</w:t>
      </w:r>
      <w:r>
        <w:t xml:space="preserve"> </w:t>
      </w:r>
      <w:r>
        <w:t xml:space="preserve">34: 417–39.</w:t>
      </w:r>
      <w:r>
        <w:t xml:space="preserve"> </w:t>
      </w:r>
      <w:hyperlink r:id="rId39">
        <w:r>
          <w:rPr>
            <w:rStyle w:val="Hyperlink"/>
          </w:rPr>
          <w:t xml:space="preserve">https://doi.org/10.1007/s12237-010-9350-x</w:t>
        </w:r>
      </w:hyperlink>
      <w:r>
        <w:t xml:space="preserve">.</w:t>
      </w:r>
    </w:p>
    <w:bookmarkEnd w:id="40"/>
    <w:bookmarkStart w:id="42" w:name="ref-Greening06"/>
    <w:p>
      <w:pPr>
        <w:pStyle w:val="Bibliography"/>
      </w:pPr>
      <w:r>
        <w:t xml:space="preserve">Greening, H., and A. Janicki. 2006.</w:t>
      </w:r>
      <w:r>
        <w:t xml:space="preserve"> </w:t>
      </w:r>
      <w:r>
        <w:t xml:space="preserve">“Toward Reversal of Eutrophic Conditions in a Subtropical Estuary: Water Quality and Seagrass Response to Nitrogen Loading Reductions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Environmental Management</w:t>
      </w:r>
      <w:r>
        <w:t xml:space="preserve"> </w:t>
      </w:r>
      <w:r>
        <w:t xml:space="preserve">38 (2): 163–78.</w:t>
      </w:r>
      <w:r>
        <w:t xml:space="preserve"> </w:t>
      </w:r>
      <w:hyperlink r:id="rId41">
        <w:r>
          <w:rPr>
            <w:rStyle w:val="Hyperlink"/>
          </w:rPr>
          <w:t xml:space="preserve">https://doi.org/10.1007/s00267-005-0079-4</w:t>
        </w:r>
      </w:hyperlink>
      <w:r>
        <w:t xml:space="preserve">.</w:t>
      </w:r>
    </w:p>
    <w:bookmarkEnd w:id="42"/>
    <w:bookmarkStart w:id="44" w:name="ref-Greening14"/>
    <w:p>
      <w:pPr>
        <w:pStyle w:val="Bibliography"/>
      </w:pPr>
      <w:r>
        <w:t xml:space="preserve">Greening, H., A. Janicki, E. Sherwood, R. Pribble, and J. O. R. Johansson. 2014.</w:t>
      </w:r>
      <w:r>
        <w:t xml:space="preserve"> </w:t>
      </w:r>
      <w:r>
        <w:t xml:space="preserve">“</w:t>
      </w:r>
      <w:r>
        <w:t xml:space="preserve">Ecosystem responses to long-term nutrient management in an urban estuary: Tampa Bay, Florida, USA</w:t>
      </w:r>
      <w:r>
        <w:t xml:space="preserve">.”</w:t>
      </w:r>
      <w:r>
        <w:t xml:space="preserve"> </w:t>
      </w:r>
      <w:r>
        <w:rPr>
          <w:iCs/>
          <w:i/>
        </w:rPr>
        <w:t xml:space="preserve">Estuarine, Coastal and Shelf Science</w:t>
      </w:r>
      <w:r>
        <w:t xml:space="preserve"> </w:t>
      </w:r>
      <w:r>
        <w:t xml:space="preserve">151: A1–16.</w:t>
      </w:r>
      <w:r>
        <w:t xml:space="preserve"> </w:t>
      </w:r>
      <w:hyperlink r:id="rId43">
        <w:r>
          <w:rPr>
            <w:rStyle w:val="Hyperlink"/>
          </w:rPr>
          <w:t xml:space="preserve">https://doi.org/10.1016/j.ecss.2014.10.003</w:t>
        </w:r>
      </w:hyperlink>
      <w:r>
        <w:t xml:space="preserve">.</w:t>
      </w:r>
    </w:p>
    <w:bookmarkEnd w:id="44"/>
    <w:bookmarkStart w:id="45" w:name="ref-Hollander13"/>
    <w:p>
      <w:pPr>
        <w:pStyle w:val="Bibliography"/>
      </w:pPr>
      <w:r>
        <w:t xml:space="preserve">Hollander, Myles, Douglas A Wolfe, and Eric Chicken. 2013.</w:t>
      </w:r>
      <w:r>
        <w:t xml:space="preserve"> </w:t>
      </w:r>
      <w:r>
        <w:rPr>
          <w:iCs/>
          <w:i/>
        </w:rPr>
        <w:t xml:space="preserve">Nonparametric Statistical Methods</w:t>
      </w:r>
      <w:r>
        <w:t xml:space="preserve">. Vol. 751. John Wiley &amp; Sons.</w:t>
      </w:r>
    </w:p>
    <w:bookmarkEnd w:id="45"/>
    <w:bookmarkStart w:id="47" w:name="ref-Janicki12"/>
    <w:p>
      <w:pPr>
        <w:pStyle w:val="Bibliography"/>
      </w:pPr>
      <w:r>
        <w:t xml:space="preserve">Janicki Environmental, Inc. 2012.</w:t>
      </w:r>
      <w:r>
        <w:t xml:space="preserve"> </w:t>
      </w:r>
      <w:r>
        <w:t xml:space="preserve">“Development of a Screening Level Tool for Estimating Annual Hydrologic Loadings to</w:t>
      </w:r>
      <w:r>
        <w:t xml:space="preserve"> </w:t>
      </w:r>
      <w:r>
        <w:t xml:space="preserve">T</w:t>
      </w:r>
      <w:r>
        <w:t xml:space="preserve">ampa</w:t>
      </w:r>
      <w:r>
        <w:t xml:space="preserve"> </w:t>
      </w:r>
      <w:r>
        <w:t xml:space="preserve">B</w:t>
      </w:r>
      <w:r>
        <w:t xml:space="preserve">ay.”</w:t>
      </w:r>
      <w:r>
        <w:t xml:space="preserve"> </w:t>
      </w:r>
      <w:r>
        <w:t xml:space="preserve">05-12. St. Petersburg, Florida: Tampa Bay Estuary Program.</w:t>
      </w:r>
      <w:r>
        <w:t xml:space="preserve"> </w:t>
      </w:r>
      <w:hyperlink r:id="rId46">
        <w:r>
          <w:rPr>
            <w:rStyle w:val="Hyperlink"/>
          </w:rPr>
          <w:t xml:space="preserve">https://drive.google.com/file/d/1C6Arwat9IxYs8jeTZpcmBB6WBTpeQ2nw/view?usp=drivesdk</w:t>
        </w:r>
      </w:hyperlink>
      <w:r>
        <w:t xml:space="preserve">.</w:t>
      </w:r>
    </w:p>
    <w:bookmarkEnd w:id="47"/>
    <w:bookmarkStart w:id="49" w:name="ref-Johansson16"/>
    <w:p>
      <w:pPr>
        <w:pStyle w:val="Bibliography"/>
      </w:pPr>
      <w:r>
        <w:t xml:space="preserve">Johansson, R. 2016.</w:t>
      </w:r>
      <w:r>
        <w:t xml:space="preserve"> </w:t>
      </w:r>
      <w:r>
        <w:t xml:space="preserve">“Seagrass Transect Monitoring in</w:t>
      </w:r>
      <w:r>
        <w:t xml:space="preserve"> </w:t>
      </w:r>
      <w:r>
        <w:t xml:space="preserve">T</w:t>
      </w:r>
      <w:r>
        <w:t xml:space="preserve">ampa</w:t>
      </w:r>
      <w:r>
        <w:t xml:space="preserve"> </w:t>
      </w:r>
      <w:r>
        <w:t xml:space="preserve">B</w:t>
      </w:r>
      <w:r>
        <w:t xml:space="preserve">ay: A Summary of Findings from 1997 Through 2015.”</w:t>
      </w:r>
      <w:r>
        <w:t xml:space="preserve"> </w:t>
      </w:r>
      <w:r>
        <w:t xml:space="preserve">08-16. St. Petersburg, Florida: Tampa Bay Estuary Program.</w:t>
      </w:r>
      <w:r>
        <w:t xml:space="preserve"> </w:t>
      </w:r>
      <w:hyperlink r:id="rId48">
        <w:r>
          <w:rPr>
            <w:rStyle w:val="Hyperlink"/>
          </w:rPr>
          <w:t xml:space="preserve">https://drive.google.com/file/d/1Z_8L9sYQWSl1hon1tP1Y8zBo7MHQK9zC/view?usp=drivesdk</w:t>
        </w:r>
      </w:hyperlink>
      <w:r>
        <w:t xml:space="preserve">.</w:t>
      </w:r>
    </w:p>
    <w:bookmarkEnd w:id="49"/>
    <w:bookmarkStart w:id="50" w:name="ref-Liu21"/>
    <w:p>
      <w:pPr>
        <w:pStyle w:val="Bibliography"/>
      </w:pPr>
      <w:r>
        <w:t xml:space="preserve">Liu, Y., R. H. Weisberg, L. Zheng, Y. Sun, and J. Chen. 2021.</w:t>
      </w:r>
      <w:r>
        <w:t xml:space="preserve"> </w:t>
      </w:r>
      <w:r>
        <w:t xml:space="preserve">“Nowcast/Forecast of the</w:t>
      </w:r>
      <w:r>
        <w:t xml:space="preserve"> </w:t>
      </w:r>
      <w:r>
        <w:t xml:space="preserve">T</w:t>
      </w:r>
      <w:r>
        <w:t xml:space="preserve">ampa</w:t>
      </w:r>
      <w:r>
        <w:t xml:space="preserve"> </w:t>
      </w:r>
      <w:r>
        <w:t xml:space="preserve">B</w:t>
      </w:r>
      <w:r>
        <w:t xml:space="preserve">ay,</w:t>
      </w:r>
      <w:r>
        <w:t xml:space="preserve"> </w:t>
      </w:r>
      <w:r>
        <w:t xml:space="preserve">P</w:t>
      </w:r>
      <w:r>
        <w:t xml:space="preserve">iney</w:t>
      </w:r>
      <w:r>
        <w:t xml:space="preserve"> </w:t>
      </w:r>
      <w:r>
        <w:t xml:space="preserve">P</w:t>
      </w:r>
      <w:r>
        <w:t xml:space="preserve">oint Effluent Plume: A Rapid Response.”</w:t>
      </w:r>
      <w:r>
        <w:t xml:space="preserve"> </w:t>
      </w:r>
      <w:r>
        <w:t xml:space="preserve">In</w:t>
      </w:r>
      <w:r>
        <w:t xml:space="preserve"> </w:t>
      </w:r>
      <w:r>
        <w:rPr>
          <w:iCs/>
          <w:i/>
        </w:rPr>
        <w:t xml:space="preserve">Abstract (Os35b-1036) Presented at AGU Fall Meeting, December, 2021</w:t>
      </w:r>
      <w:r>
        <w:t xml:space="preserve">. New Orleans, Lousiana.</w:t>
      </w:r>
    </w:p>
    <w:bookmarkEnd w:id="50"/>
    <w:bookmarkStart w:id="52" w:name="ref-tbep1620"/>
    <w:p>
      <w:pPr>
        <w:pStyle w:val="Bibliography"/>
      </w:pPr>
      <w:r>
        <w:t xml:space="preserve">Sherwood, E. T., G. Raulerson, M. Beck, and M. Burke. 2020.</w:t>
      </w:r>
      <w:r>
        <w:t xml:space="preserve"> </w:t>
      </w:r>
      <w:r>
        <w:t xml:space="preserve">“</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Quality Management Plan.”</w:t>
      </w:r>
      <w:r>
        <w:t xml:space="preserve"> </w:t>
      </w:r>
      <w:r>
        <w:t xml:space="preserve">16-20. St. Petersburg, Florida: Tampa Bay Estuary Program.</w:t>
      </w:r>
      <w:r>
        <w:t xml:space="preserve"> </w:t>
      </w:r>
      <w:hyperlink r:id="rId51">
        <w:r>
          <w:rPr>
            <w:rStyle w:val="Hyperlink"/>
          </w:rPr>
          <w:t xml:space="preserve">https://drive.google.com/file/d/1DyA0PNHV8rEXGMwGiyS7sXY1ECLYpJJO/view?usp=sharing</w:t>
        </w:r>
      </w:hyperlink>
      <w:r>
        <w:t xml:space="preserve">.</w:t>
      </w:r>
    </w:p>
    <w:bookmarkEnd w:id="52"/>
    <w:bookmarkStart w:id="54" w:name="ref-Sherwood17"/>
    <w:p>
      <w:pPr>
        <w:pStyle w:val="Bibliography"/>
      </w:pPr>
      <w:r>
        <w:t xml:space="preserve">Sherwood, E., H. Greening, J. O. R. Johansson, K. Kaufman, and G. Raulerson. 2017.</w:t>
      </w:r>
      <w:r>
        <w:t xml:space="preserve"> </w:t>
      </w:r>
      <w:r>
        <w:t xml:space="preserve">“</w:t>
      </w:r>
      <w:r>
        <w:t xml:space="preserve">Tampa Bay (Florida, USA): Documenting seagrass recovery since the 1980’s and reviewing the benefits</w:t>
      </w:r>
      <w:r>
        <w:t xml:space="preserve">.”</w:t>
      </w:r>
      <w:r>
        <w:t xml:space="preserve"> </w:t>
      </w:r>
      <w:r>
        <w:rPr>
          <w:iCs/>
          <w:i/>
        </w:rPr>
        <w:t xml:space="preserve">Southeastern Geographer</w:t>
      </w:r>
      <w:r>
        <w:t xml:space="preserve"> </w:t>
      </w:r>
      <w:r>
        <w:t xml:space="preserve">57 (3): 294–319.</w:t>
      </w:r>
      <w:r>
        <w:t xml:space="preserve"> </w:t>
      </w:r>
      <w:hyperlink r:id="rId53">
        <w:r>
          <w:rPr>
            <w:rStyle w:val="Hyperlink"/>
          </w:rPr>
          <w:t xml:space="preserve">https://doi.org/10.1353/sgo.2017.0026</w:t>
        </w:r>
      </w:hyperlink>
      <w:r>
        <w:t xml:space="preserve">.</w:t>
      </w:r>
    </w:p>
    <w:bookmarkEnd w:id="54"/>
    <w:bookmarkStart w:id="56" w:name="ref-Skripnikov21"/>
    <w:p>
      <w:pPr>
        <w:pStyle w:val="Bibliography"/>
      </w:pPr>
      <w:r>
        <w:t xml:space="preserve">Skripnikov, A, N Wagner, J Shafer, M Beck, E Sherwood, and M Burke. 2021.</w:t>
      </w:r>
      <w:r>
        <w:t xml:space="preserve"> </w:t>
      </w:r>
      <w:r>
        <w:t xml:space="preserve">“Using Localized</w:t>
      </w:r>
      <w:r>
        <w:t xml:space="preserve"> </w:t>
      </w:r>
      <w:r>
        <w:t xml:space="preserve">T</w:t>
      </w:r>
      <w:r>
        <w:t xml:space="preserve">witter Activity to Assess Harmful Algal Bloom Impacts of</w:t>
      </w:r>
      <w:r>
        <w:t xml:space="preserve"> </w:t>
      </w:r>
      <w:r>
        <w:t xml:space="preserve">K</w:t>
      </w:r>
      <w:r>
        <w:t xml:space="preserve">arenia Brevis in</w:t>
      </w:r>
      <w:r>
        <w:t xml:space="preserve"> </w:t>
      </w:r>
      <w:r>
        <w:t xml:space="preserve">F</w:t>
      </w:r>
      <w:r>
        <w:t xml:space="preserve">lorida, USA.”</w:t>
      </w:r>
      <w:r>
        <w:t xml:space="preserve"> </w:t>
      </w:r>
      <w:r>
        <w:rPr>
          <w:iCs/>
          <w:i/>
        </w:rPr>
        <w:t xml:space="preserve">Harmful Algae</w:t>
      </w:r>
      <w:r>
        <w:t xml:space="preserve"> </w:t>
      </w:r>
      <w:r>
        <w:t xml:space="preserve">110: 102118.</w:t>
      </w:r>
      <w:r>
        <w:t xml:space="preserve"> </w:t>
      </w:r>
      <w:hyperlink r:id="rId55">
        <w:r>
          <w:rPr>
            <w:rStyle w:val="Hyperlink"/>
          </w:rPr>
          <w:t xml:space="preserve">https://doi.org/10.1016/j.hal.2021.102118</w:t>
        </w:r>
      </w:hyperlink>
      <w:r>
        <w:t xml:space="preserve">.</w:t>
      </w:r>
    </w:p>
    <w:bookmarkEnd w:id="56"/>
    <w:bookmarkStart w:id="58" w:name="ref-Steidinger72"/>
    <w:p>
      <w:pPr>
        <w:pStyle w:val="Bibliography"/>
      </w:pPr>
      <w:r>
        <w:t xml:space="preserve">Steidinger, Karen A, and Robert M Ingle. 1972.</w:t>
      </w:r>
      <w:r>
        <w:t xml:space="preserve"> </w:t>
      </w:r>
      <w:r>
        <w:t xml:space="preserve">“Observations on the 1971 Summer Red Tide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Environmental Letters</w:t>
      </w:r>
      <w:r>
        <w:t xml:space="preserve"> </w:t>
      </w:r>
      <w:r>
        <w:t xml:space="preserve">3 (4): 271–78.</w:t>
      </w:r>
      <w:r>
        <w:t xml:space="preserve"> </w:t>
      </w:r>
      <w:hyperlink r:id="rId57">
        <w:r>
          <w:rPr>
            <w:rStyle w:val="Hyperlink"/>
          </w:rPr>
          <w:t xml:space="preserve">https://doi.org/10.1080/00139307209435473</w:t>
        </w:r>
      </w:hyperlink>
      <w:r>
        <w:t xml:space="preserve">.</w:t>
      </w:r>
    </w:p>
    <w:bookmarkEnd w:id="58"/>
    <w:bookmarkStart w:id="60" w:name="ref-Stevens06"/>
    <w:p>
      <w:pPr>
        <w:pStyle w:val="Bibliography"/>
      </w:pPr>
      <w:r>
        <w:t xml:space="preserve">Stevens, Philip W, David A Blewett, and J Patrick Casey. 2006.</w:t>
      </w:r>
      <w:r>
        <w:t xml:space="preserve"> </w:t>
      </w:r>
      <w:r>
        <w:t xml:space="preserve">“Short-Term Effects of a Low Dissolved Oxygen Event on Estuarine Fish Assemblages Following the Passage of</w:t>
      </w:r>
      <w:r>
        <w:t xml:space="preserve"> </w:t>
      </w:r>
      <w:r>
        <w:t xml:space="preserve">H</w:t>
      </w:r>
      <w:r>
        <w:t xml:space="preserve">urricane</w:t>
      </w:r>
      <w:r>
        <w:t xml:space="preserve"> </w:t>
      </w:r>
      <w:r>
        <w:t xml:space="preserve">C</w:t>
      </w:r>
      <w:r>
        <w:t xml:space="preserve">harley.”</w:t>
      </w:r>
      <w:r>
        <w:t xml:space="preserve"> </w:t>
      </w:r>
      <w:r>
        <w:rPr>
          <w:iCs/>
          <w:i/>
        </w:rPr>
        <w:t xml:space="preserve">Estuaries and Coasts</w:t>
      </w:r>
      <w:r>
        <w:t xml:space="preserve"> </w:t>
      </w:r>
      <w:r>
        <w:t xml:space="preserve">29 (6): 997–1003.</w:t>
      </w:r>
      <w:r>
        <w:t xml:space="preserve"> </w:t>
      </w:r>
      <w:hyperlink r:id="rId59">
        <w:r>
          <w:rPr>
            <w:rStyle w:val="Hyperlink"/>
          </w:rPr>
          <w:t xml:space="preserve">https://doi.org/10.1007/BF02798661</w:t>
        </w:r>
      </w:hyperlink>
      <w:r>
        <w:t xml:space="preserve">.</w:t>
      </w:r>
    </w:p>
    <w:bookmarkEnd w:id="60"/>
    <w:bookmarkStart w:id="62" w:name="ref-Stumpf22"/>
    <w:p>
      <w:pPr>
        <w:pStyle w:val="Bibliography"/>
      </w:pPr>
      <w:r>
        <w:t xml:space="preserve">Stumpf, Richard P., Yizhen Li, Barbara Kirkpatrick, R. Wayne Litaker, Katherine A. Hubbard, Robert D. Currier, Katherine Kohler Harrison, and Michelle C. Tomlinson. 2022.</w:t>
      </w:r>
      <w:r>
        <w:t xml:space="preserve"> </w:t>
      </w:r>
      <w:r>
        <w:t xml:space="preserve">“Quantifying</w:t>
      </w:r>
      <w:r>
        <w:t xml:space="preserve"> </w:t>
      </w:r>
      <w:r>
        <w:rPr>
          <w:iCs/>
          <w:i/>
        </w:rPr>
        <w:t xml:space="preserve">K</w:t>
      </w:r>
      <w:r>
        <w:rPr>
          <w:iCs/>
          <w:i/>
        </w:rPr>
        <w:t xml:space="preserve">arenia Brevis</w:t>
      </w:r>
      <w:r>
        <w:t xml:space="preserve"> </w:t>
      </w:r>
      <w:r>
        <w:t xml:space="preserve">Bloom Severity and Respiratory Irritation Impact Along the Shoreline of</w:t>
      </w:r>
      <w:r>
        <w:t xml:space="preserve"> </w:t>
      </w:r>
      <w:r>
        <w:t xml:space="preserve">S</w:t>
      </w:r>
      <w:r>
        <w:t xml:space="preserve">outhwest</w:t>
      </w:r>
      <w:r>
        <w:t xml:space="preserve"> </w:t>
      </w:r>
      <w:r>
        <w:t xml:space="preserve">F</w:t>
      </w:r>
      <w:r>
        <w:t xml:space="preserve">lorida.”</w:t>
      </w:r>
      <w:r>
        <w:t xml:space="preserve"> </w:t>
      </w:r>
      <w:r>
        <w:rPr>
          <w:iCs/>
          <w:i/>
        </w:rPr>
        <w:t xml:space="preserve">PLOS ONE</w:t>
      </w:r>
      <w:r>
        <w:t xml:space="preserve"> </w:t>
      </w:r>
      <w:r>
        <w:t xml:space="preserve">17 (1): 1–31.</w:t>
      </w:r>
      <w:r>
        <w:t xml:space="preserve"> </w:t>
      </w:r>
      <w:hyperlink r:id="rId61">
        <w:r>
          <w:rPr>
            <w:rStyle w:val="Hyperlink"/>
          </w:rPr>
          <w:t xml:space="preserve">https://doi.org/10.1371/journal.pone.0260755</w:t>
        </w:r>
      </w:hyperlink>
      <w:r>
        <w:t xml:space="preserve">.</w:t>
      </w:r>
    </w:p>
    <w:bookmarkEnd w:id="62"/>
    <w:bookmarkStart w:id="64" w:name="ref-Valiela97"/>
    <w:p>
      <w:pPr>
        <w:pStyle w:val="Bibliography"/>
      </w:pPr>
      <w:r>
        <w:t xml:space="preserve">Valiela, Ivan, James McClelland, Jennifer Hauxwell, Peter J Behr, Douglas Hersh, and Kenneth Foreman. 1997.</w:t>
      </w:r>
      <w:r>
        <w:t xml:space="preserve"> </w:t>
      </w:r>
      <w:r>
        <w:t xml:space="preserve">“Macroalgal Blooms in Shallow Estuaries: Controls and Ecophysiological and Ecosystem Consequences.”</w:t>
      </w:r>
      <w:r>
        <w:t xml:space="preserve"> </w:t>
      </w:r>
      <w:r>
        <w:rPr>
          <w:iCs/>
          <w:i/>
        </w:rPr>
        <w:t xml:space="preserve">Limnology and Oceanography</w:t>
      </w:r>
      <w:r>
        <w:t xml:space="preserve"> </w:t>
      </w:r>
      <w:r>
        <w:t xml:space="preserve">42 (5part2): 1105–18.</w:t>
      </w:r>
      <w:r>
        <w:t xml:space="preserve"> </w:t>
      </w:r>
      <w:hyperlink r:id="rId63">
        <w:r>
          <w:rPr>
            <w:rStyle w:val="Hyperlink"/>
          </w:rPr>
          <w:t xml:space="preserve">https://doi.org/10.4319/lo.1997.42.5_part_2.1105</w:t>
        </w:r>
      </w:hyperlink>
      <w:r>
        <w:t xml:space="preserve">.</w:t>
      </w:r>
    </w:p>
    <w:bookmarkEnd w:id="64"/>
    <w:bookmarkStart w:id="66" w:name="ref-Wang99"/>
    <w:p>
      <w:pPr>
        <w:pStyle w:val="Bibliography"/>
      </w:pPr>
      <w:r>
        <w:t xml:space="preserve">Wang, PF, J Martin, and G Morrison. 1999.</w:t>
      </w:r>
      <w:r>
        <w:t xml:space="preserve"> </w:t>
      </w:r>
      <w:r>
        <w:t xml:space="preserve">“Water Quality and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Estuarine, Coastal and Shelf Science</w:t>
      </w:r>
      <w:r>
        <w:t xml:space="preserve"> </w:t>
      </w:r>
      <w:r>
        <w:t xml:space="preserve">49 (1): 1–20.</w:t>
      </w:r>
      <w:r>
        <w:t xml:space="preserve"> </w:t>
      </w:r>
      <w:hyperlink r:id="rId65">
        <w:r>
          <w:rPr>
            <w:rStyle w:val="Hyperlink"/>
          </w:rPr>
          <w:t xml:space="preserve">https://doi.org/10.1006/ecss.1999.0490</w:t>
        </w:r>
      </w:hyperlink>
      <w:r>
        <w:t xml:space="preserve">.</w:t>
      </w:r>
    </w:p>
    <w:bookmarkEnd w:id="66"/>
    <w:bookmarkEnd w:id="67"/>
    <w:bookmarkEnd w:id="68"/>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7" Target="http://ocgweb.marine.usf.edu/~liu/Tracer/" TargetMode="External" /><Relationship Type="http://schemas.openxmlformats.org/officeDocument/2006/relationships/hyperlink" Id="rId26" Target="http://ocgweb.marine.usf.edu/~tbm/index.html" TargetMode="External" /><Relationship Type="http://schemas.openxmlformats.org/officeDocument/2006/relationships/hyperlink" Id="rId65" Target="https://doi.org/10.1006/ecss.1999.0490" TargetMode="External" /><Relationship Type="http://schemas.openxmlformats.org/officeDocument/2006/relationships/hyperlink" Id="rId59" Target="https://doi.org/10.1007/BF02798661" TargetMode="External" /><Relationship Type="http://schemas.openxmlformats.org/officeDocument/2006/relationships/hyperlink" Id="rId41" Target="https://doi.org/10.1007/s00267-005-0079-4" TargetMode="External" /><Relationship Type="http://schemas.openxmlformats.org/officeDocument/2006/relationships/hyperlink" Id="rId39" Target="https://doi.org/10.1007/s12237-010-9350-x" TargetMode="External" /><Relationship Type="http://schemas.openxmlformats.org/officeDocument/2006/relationships/hyperlink" Id="rId24" Target="https://doi.org/10.1007/s12237-014-9793-6" TargetMode="External" /><Relationship Type="http://schemas.openxmlformats.org/officeDocument/2006/relationships/hyperlink" Id="rId23" Target="https://doi.org/10.1007/s12237-014-9815-4" TargetMode="External" /><Relationship Type="http://schemas.openxmlformats.org/officeDocument/2006/relationships/hyperlink" Id="rId25" Target="https://doi.org/10.1016/j.csr.2015.07.001" TargetMode="External" /><Relationship Type="http://schemas.openxmlformats.org/officeDocument/2006/relationships/hyperlink" Id="rId43" Target="https://doi.org/10.1016/j.ecss.2014.10.003" TargetMode="External" /><Relationship Type="http://schemas.openxmlformats.org/officeDocument/2006/relationships/hyperlink" Id="rId55" Target="https://doi.org/10.1016/j.hal.2021.102118" TargetMode="External" /><Relationship Type="http://schemas.openxmlformats.org/officeDocument/2006/relationships/hyperlink" Id="rId35" Target="https://doi.org/10.1029/2018JC014890" TargetMode="External" /><Relationship Type="http://schemas.openxmlformats.org/officeDocument/2006/relationships/hyperlink" Id="rId57" Target="https://doi.org/10.1080/00139307209435473" TargetMode="External" /><Relationship Type="http://schemas.openxmlformats.org/officeDocument/2006/relationships/hyperlink" Id="rId53" Target="https://doi.org/10.1353/sgo.2017.0026" TargetMode="External" /><Relationship Type="http://schemas.openxmlformats.org/officeDocument/2006/relationships/hyperlink" Id="rId61" Target="https://doi.org/10.1371/journal.pone.0260755" TargetMode="External" /><Relationship Type="http://schemas.openxmlformats.org/officeDocument/2006/relationships/hyperlink" Id="rId37" Target="https://doi.org/10.1890/1051-0761(2006)016[1405:UOGMAI]2.0.CO;2" TargetMode="External" /><Relationship Type="http://schemas.openxmlformats.org/officeDocument/2006/relationships/hyperlink" Id="rId33" Target="https://doi.org/10.4031/MTSJ.52.3.6" TargetMode="External" /><Relationship Type="http://schemas.openxmlformats.org/officeDocument/2006/relationships/hyperlink" Id="rId63" Target="https://doi.org/10.4319/lo.1997.42.5_part_2.1105" TargetMode="External" /><Relationship Type="http://schemas.openxmlformats.org/officeDocument/2006/relationships/hyperlink" Id="rId28" Target="https://drive.google.com/drive/u/0/folders/1oBGvjdve-Gpo4Kn3Ovn8a8-yVoP25eec" TargetMode="External" /><Relationship Type="http://schemas.openxmlformats.org/officeDocument/2006/relationships/hyperlink" Id="rId46" Target="https://drive.google.com/file/d/1C6Arwat9IxYs8jeTZpcmBB6WBTpeQ2nw/view?usp=drivesdk" TargetMode="External" /><Relationship Type="http://schemas.openxmlformats.org/officeDocument/2006/relationships/hyperlink" Id="rId51" Target="https://drive.google.com/file/d/1DyA0PNHV8rEXGMwGiyS7sXY1ECLYpJJO/view?usp=sharing" TargetMode="External" /><Relationship Type="http://schemas.openxmlformats.org/officeDocument/2006/relationships/hyperlink" Id="rId48" Target="https://drive.google.com/file/d/1Z_8L9sYQWSl1hon1tP1Y8zBo7MHQK9zC/view?usp=drivesdk" TargetMode="External" /><Relationship Type="http://schemas.openxmlformats.org/officeDocument/2006/relationships/hyperlink" Id="rId21" Target="https://floridadep.gov/sites/default/files/21-0323.pdf" TargetMode="External" /><Relationship Type="http://schemas.openxmlformats.org/officeDocument/2006/relationships/hyperlink" Id="rId31" Target="https://github.com/tbep-tech/piney-point-manu/blob/c45049af6885e1e7d29aeb414d161a0ce4bdeadb/figs/redtide.jpeg" TargetMode="External" /><Relationship Type="http://schemas.openxmlformats.org/officeDocument/2006/relationships/hyperlink" Id="rId30" Target="https://tbep-tech.github.io/piney-point-analysis/trend" TargetMode="External" /><Relationship Type="http://schemas.openxmlformats.org/officeDocument/2006/relationships/hyperlink" Id="rId29" Target="https://tbep.org/our-work/boards-committees/technical-advisory-committee/#ramp" TargetMode="External" /></Relationships>
</file>

<file path=word/_rels/footnotes.xml.rels><?xml version="1.0" encoding="UTF-8"?><Relationships xmlns="http://schemas.openxmlformats.org/package/2006/relationships"><Relationship Type="http://schemas.openxmlformats.org/officeDocument/2006/relationships/hyperlink" Id="rId27" Target="http://ocgweb.marine.usf.edu/~liu/Tracer/" TargetMode="External" /><Relationship Type="http://schemas.openxmlformats.org/officeDocument/2006/relationships/hyperlink" Id="rId26" Target="http://ocgweb.marine.usf.edu/~tbm/index.html" TargetMode="External" /><Relationship Type="http://schemas.openxmlformats.org/officeDocument/2006/relationships/hyperlink" Id="rId65" Target="https://doi.org/10.1006/ecss.1999.0490" TargetMode="External" /><Relationship Type="http://schemas.openxmlformats.org/officeDocument/2006/relationships/hyperlink" Id="rId59" Target="https://doi.org/10.1007/BF02798661" TargetMode="External" /><Relationship Type="http://schemas.openxmlformats.org/officeDocument/2006/relationships/hyperlink" Id="rId41" Target="https://doi.org/10.1007/s00267-005-0079-4" TargetMode="External" /><Relationship Type="http://schemas.openxmlformats.org/officeDocument/2006/relationships/hyperlink" Id="rId39" Target="https://doi.org/10.1007/s12237-010-9350-x" TargetMode="External" /><Relationship Type="http://schemas.openxmlformats.org/officeDocument/2006/relationships/hyperlink" Id="rId24" Target="https://doi.org/10.1007/s12237-014-9793-6" TargetMode="External" /><Relationship Type="http://schemas.openxmlformats.org/officeDocument/2006/relationships/hyperlink" Id="rId23" Target="https://doi.org/10.1007/s12237-014-9815-4" TargetMode="External" /><Relationship Type="http://schemas.openxmlformats.org/officeDocument/2006/relationships/hyperlink" Id="rId25" Target="https://doi.org/10.1016/j.csr.2015.07.001" TargetMode="External" /><Relationship Type="http://schemas.openxmlformats.org/officeDocument/2006/relationships/hyperlink" Id="rId43" Target="https://doi.org/10.1016/j.ecss.2014.10.003" TargetMode="External" /><Relationship Type="http://schemas.openxmlformats.org/officeDocument/2006/relationships/hyperlink" Id="rId55" Target="https://doi.org/10.1016/j.hal.2021.102118" TargetMode="External" /><Relationship Type="http://schemas.openxmlformats.org/officeDocument/2006/relationships/hyperlink" Id="rId35" Target="https://doi.org/10.1029/2018JC014890" TargetMode="External" /><Relationship Type="http://schemas.openxmlformats.org/officeDocument/2006/relationships/hyperlink" Id="rId57" Target="https://doi.org/10.1080/00139307209435473" TargetMode="External" /><Relationship Type="http://schemas.openxmlformats.org/officeDocument/2006/relationships/hyperlink" Id="rId53" Target="https://doi.org/10.1353/sgo.2017.0026" TargetMode="External" /><Relationship Type="http://schemas.openxmlformats.org/officeDocument/2006/relationships/hyperlink" Id="rId61" Target="https://doi.org/10.1371/journal.pone.0260755" TargetMode="External" /><Relationship Type="http://schemas.openxmlformats.org/officeDocument/2006/relationships/hyperlink" Id="rId37" Target="https://doi.org/10.1890/1051-0761(2006)016[1405:UOGMAI]2.0.CO;2" TargetMode="External" /><Relationship Type="http://schemas.openxmlformats.org/officeDocument/2006/relationships/hyperlink" Id="rId33" Target="https://doi.org/10.4031/MTSJ.52.3.6" TargetMode="External" /><Relationship Type="http://schemas.openxmlformats.org/officeDocument/2006/relationships/hyperlink" Id="rId63" Target="https://doi.org/10.4319/lo.1997.42.5_part_2.1105" TargetMode="External" /><Relationship Type="http://schemas.openxmlformats.org/officeDocument/2006/relationships/hyperlink" Id="rId28" Target="https://drive.google.com/drive/u/0/folders/1oBGvjdve-Gpo4Kn3Ovn8a8-yVoP25eec" TargetMode="External" /><Relationship Type="http://schemas.openxmlformats.org/officeDocument/2006/relationships/hyperlink" Id="rId46" Target="https://drive.google.com/file/d/1C6Arwat9IxYs8jeTZpcmBB6WBTpeQ2nw/view?usp=drivesdk" TargetMode="External" /><Relationship Type="http://schemas.openxmlformats.org/officeDocument/2006/relationships/hyperlink" Id="rId51" Target="https://drive.google.com/file/d/1DyA0PNHV8rEXGMwGiyS7sXY1ECLYpJJO/view?usp=sharing" TargetMode="External" /><Relationship Type="http://schemas.openxmlformats.org/officeDocument/2006/relationships/hyperlink" Id="rId48" Target="https://drive.google.com/file/d/1Z_8L9sYQWSl1hon1tP1Y8zBo7MHQK9zC/view?usp=drivesdk" TargetMode="External" /><Relationship Type="http://schemas.openxmlformats.org/officeDocument/2006/relationships/hyperlink" Id="rId21" Target="https://floridadep.gov/sites/default/files/21-0323.pdf" TargetMode="External" /><Relationship Type="http://schemas.openxmlformats.org/officeDocument/2006/relationships/hyperlink" Id="rId31" Target="https://github.com/tbep-tech/piney-point-manu/blob/c45049af6885e1e7d29aeb414d161a0ce4bdeadb/figs/redtide.jpeg" TargetMode="External" /><Relationship Type="http://schemas.openxmlformats.org/officeDocument/2006/relationships/hyperlink" Id="rId30" Target="https://tbep-tech.github.io/piney-point-analysis/trend" TargetMode="External" /><Relationship Type="http://schemas.openxmlformats.org/officeDocument/2006/relationships/hyperlink" Id="rId29" Target="https://tbep.org/our-work/boards-committees/technical-advisory-committee/#r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2022-02-09T14:34:17Z</dcterms:created>
  <dcterms:modified xsi:type="dcterms:W3CDTF">2022-02-09T14:34:17Z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