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 All page and line numbers in the reviewer comments refer to the revised manuscript from the previous submission.</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2"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Style w:val="Compact"/>
      </w:pPr>
      <w:r>
        <w:rPr>
          <w:bCs/>
          <w:b/>
        </w:rPr>
        <w:t xml:space="preserve">Response</w:t>
      </w:r>
      <w:r>
        <w:t xml:space="preserve">: Thank you again for your comments. We have made efforts to address your final concerns as noted below.</w:t>
      </w:r>
    </w:p>
    <w:p>
      <w:pPr>
        <w:numPr>
          <w:ilvl w:val="0"/>
          <w:numId w:val="1006"/>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1"/>
          <w:numId w:val="1007"/>
        </w:numPr>
        <w:pStyle w:val="Compact"/>
      </w:pPr>
      <w:r>
        <w:rPr>
          <w:bCs/>
          <w:b/>
        </w:rPr>
        <w:t xml:space="preserve">Response</w:t>
      </w:r>
      <w:r>
        <w:t xml:space="preserve">: The Tampa Bay Coastal Ocean Model was previously tested for sea level and velocity field veracity under extreme conditions, e.g., Hurricane Irma</w:t>
      </w:r>
      <w:r>
        <w:t xml:space="preserve"> </w:t>
      </w:r>
      <w:r>
        <w:t xml:space="preserve">(</w:t>
      </w:r>
      <w:hyperlink w:anchor="ref-Chen18">
        <w:r>
          <w:rPr>
            <w:rStyle w:val="Hyperlink"/>
          </w:rPr>
          <w:t xml:space="preserve">Chen et al., 2018</w:t>
        </w:r>
      </w:hyperlink>
      <w:r>
        <w:t xml:space="preserve">)</w:t>
      </w:r>
      <w:r>
        <w:t xml:space="preserve"> </w:t>
      </w:r>
      <w:r>
        <w:t xml:space="preserve">and under more regular variations in tide, wind and river forcing by</w:t>
      </w:r>
      <w:r>
        <w:t xml:space="preserve"> </w:t>
      </w:r>
      <w:hyperlink w:anchor="ref-Zhu15">
        <w:r>
          <w:rPr>
            <w:rStyle w:val="Hyperlink"/>
          </w:rPr>
          <w:t xml:space="preserve">Zhu et al.</w:t>
        </w:r>
      </w:hyperlink>
      <w:r>
        <w:t xml:space="preserve"> </w:t>
      </w:r>
      <w:r>
        <w:t xml:space="preserve">(</w:t>
      </w:r>
      <w:hyperlink w:anchor="ref-Zhu15">
        <w:r>
          <w:rPr>
            <w:rStyle w:val="Hyperlink"/>
          </w:rPr>
          <w:t xml:space="preserve">2015</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Model results 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 we plotted what was known to be released and compared this with the integrated amount of tracer within the Tampa Bay Coastal Ocean model simulation. Both were identical. Next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a recent conference (see Weisberg 2022,</w:t>
      </w:r>
      <w:r>
        <w:t xml:space="preserve"> </w:t>
      </w:r>
      <w:hyperlink r:id="rId21">
        <w:r>
          <w:rPr>
            <w:rStyle w:val="Hyperlink"/>
          </w:rPr>
          <w:t xml:space="preserve">BASIS7</w:t>
        </w:r>
      </w:hyperlink>
      <w:r>
        <w:t xml:space="preserve">).</w:t>
      </w:r>
    </w:p>
    <w:p>
      <w:pPr>
        <w:numPr>
          <w:ilvl w:val="0"/>
          <w:numId w:val="1006"/>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1"/>
          <w:numId w:val="1008"/>
        </w:numPr>
        <w:pStyle w:val="Compact"/>
      </w:pPr>
      <w:r>
        <w:rPr>
          <w:bCs/>
          <w:b/>
        </w:rPr>
        <w:t xml:space="preserve">Response</w:t>
      </w:r>
      <w:r>
        <w:t xml:space="preserve">: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w:t>
      </w:r>
      <w:r>
        <w:t xml:space="preserve"> </w:t>
      </w:r>
      <w:r>
        <w:t xml:space="preserve">(</w:t>
      </w:r>
      <w:hyperlink w:anchor="ref-Medina22">
        <w:r>
          <w:rPr>
            <w:rStyle w:val="Hyperlink"/>
          </w:rPr>
          <w:t xml:space="preserve">Medina et al., 2022</w:t>
        </w:r>
      </w:hyperlink>
      <w:r>
        <w:t xml:space="preserve">,</w:t>
      </w:r>
      <w:r>
        <w:t xml:space="preserve"> </w:t>
      </w:r>
      <w:hyperlink w:anchor="ref-Medina20">
        <w:r>
          <w:rPr>
            <w:rStyle w:val="Hyperlink"/>
          </w:rPr>
          <w:t xml:space="preserve">2020</w:t>
        </w:r>
      </w:hyperlink>
      <w:r>
        <w:t xml:space="preserve">)</w:t>
      </w:r>
      <w:r>
        <w:t xml:space="preserve">.</w:t>
      </w:r>
    </w:p>
    <w:p>
      <w:pPr>
        <w:numPr>
          <w:ilvl w:val="0"/>
          <w:numId w:val="1006"/>
        </w:numPr>
      </w:pPr>
      <w:r>
        <w:t xml:space="preserve">The authors argue in several locations that elevated salinities are conducive to K. brevis growth. Need references to support this.</w:t>
      </w:r>
    </w:p>
    <w:p>
      <w:pPr>
        <w:numPr>
          <w:ilvl w:val="1"/>
          <w:numId w:val="1009"/>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6"/>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1"/>
          <w:numId w:val="1010"/>
        </w:numPr>
        <w:pStyle w:val="Compact"/>
      </w:pPr>
      <w:r>
        <w:rPr>
          <w:bCs/>
          <w:b/>
        </w:rPr>
        <w:t xml:space="preserve">Response</w:t>
      </w:r>
      <w:r>
        <w:t xml:space="preserve">: This paragraph was moved to the preceding section.</w:t>
      </w:r>
    </w:p>
    <w:p>
      <w:pPr>
        <w:numPr>
          <w:ilvl w:val="0"/>
          <w:numId w:val="1006"/>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11"/>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2"/>
    <w:bookmarkStart w:id="36" w:name="references"/>
    <w:p>
      <w:pPr>
        <w:pStyle w:val="Heading1"/>
      </w:pPr>
      <w:r>
        <w:t xml:space="preserve">References</w:t>
      </w:r>
    </w:p>
    <w:bookmarkStart w:id="35" w:name="refs"/>
    <w:bookmarkStart w:id="24" w:name="ref-Chen18"/>
    <w:p>
      <w:pPr>
        <w:pStyle w:val="Bibliography"/>
      </w:pPr>
      <w:r>
        <w:t xml:space="preserve">Chen, J., Weisberg, R.H., Liu, Y., Zheng, L., 2018. 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 Marine Technology Society Journal 52, 33–42.</w:t>
      </w:r>
      <w:r>
        <w:t xml:space="preserve"> </w:t>
      </w:r>
      <w:hyperlink r:id="rId23">
        <w:r>
          <w:rPr>
            <w:rStyle w:val="Hyperlink"/>
          </w:rPr>
          <w:t xml:space="preserve">https://doi.org/10.4031/MTSJ.52.3.6</w:t>
        </w:r>
      </w:hyperlink>
    </w:p>
    <w:bookmarkEnd w:id="24"/>
    <w:bookmarkStart w:id="26" w:name="ref-Chen19"/>
    <w:p>
      <w:pPr>
        <w:pStyle w:val="Bibliography"/>
      </w:pPr>
      <w:r>
        <w:t xml:space="preserve">Chen, J., Weisberg, R.H., Liu, Y., Zheng, L., Zhu, J., 2019. On the momentum balance of tampa bay. Journal of Geophysical Research: Oceans 124, 4492–4510.</w:t>
      </w:r>
      <w:r>
        <w:t xml:space="preserve"> </w:t>
      </w:r>
      <w:hyperlink r:id="rId25">
        <w:r>
          <w:rPr>
            <w:rStyle w:val="Hyperlink"/>
          </w:rPr>
          <w:t xml:space="preserve">https://doi.org/10.1029/2018JC014890</w:t>
        </w:r>
      </w:hyperlink>
    </w:p>
    <w:bookmarkEnd w:id="26"/>
    <w:bookmarkStart w:id="28" w:name="ref-Medina20"/>
    <w:p>
      <w:pPr>
        <w:pStyle w:val="Bibliography"/>
      </w:pPr>
      <w:r>
        <w:t xml:space="preserve">Medina, M., Huffaker, R., Jawitz, J.W., Muñoz-Carpena, R., 2020. Seasonal dynamics of terrestrially sourced nitrogen influenced</w:t>
      </w:r>
      <w:r>
        <w:t xml:space="preserve"> </w:t>
      </w:r>
      <w:r>
        <w:t xml:space="preserve">K</w:t>
      </w:r>
      <w:r>
        <w:t xml:space="preserve">arenia brevis blooms off</w:t>
      </w:r>
      <w:r>
        <w:t xml:space="preserve"> </w:t>
      </w:r>
      <w:r>
        <w:t xml:space="preserve">F</w:t>
      </w:r>
      <w:r>
        <w:t xml:space="preserve">lorida’s southern</w:t>
      </w:r>
      <w:r>
        <w:t xml:space="preserve"> </w:t>
      </w:r>
      <w:r>
        <w:t xml:space="preserve">G</w:t>
      </w:r>
      <w:r>
        <w:t xml:space="preserve">ulf</w:t>
      </w:r>
      <w:r>
        <w:t xml:space="preserve"> </w:t>
      </w:r>
      <w:r>
        <w:t xml:space="preserve">C</w:t>
      </w:r>
      <w:r>
        <w:t xml:space="preserve">oast. Harmful Algae 98, 101900.</w:t>
      </w:r>
      <w:r>
        <w:t xml:space="preserve"> </w:t>
      </w:r>
      <w:hyperlink r:id="rId27">
        <w:r>
          <w:rPr>
            <w:rStyle w:val="Hyperlink"/>
          </w:rPr>
          <w:t xml:space="preserve">https://doi.org/10.1016/j.hal.2020.101900</w:t>
        </w:r>
      </w:hyperlink>
    </w:p>
    <w:bookmarkEnd w:id="28"/>
    <w:bookmarkStart w:id="30" w:name="ref-Medina22"/>
    <w:p>
      <w:pPr>
        <w:pStyle w:val="Bibliography"/>
      </w:pPr>
      <w:r>
        <w:t xml:space="preserve">Medina, M., Kaplan, D., Milbrandt, E.C., Tomasko, D., Huffaker, R., Angelini, C., 2022. Nitrogen-enriched discharges from a highly managed watershed intensify red tide (</w:t>
      </w:r>
      <w:r>
        <w:rPr>
          <w:iCs/>
          <w:i/>
        </w:rPr>
        <w:t xml:space="preserve">K</w:t>
      </w:r>
      <w:r>
        <w:rPr>
          <w:iCs/>
          <w:i/>
        </w:rPr>
        <w:t xml:space="preserve">arenia brevis</w:t>
      </w:r>
      <w:r>
        <w:t xml:space="preserve">) blooms in southwest</w:t>
      </w:r>
      <w:r>
        <w:t xml:space="preserve"> </w:t>
      </w:r>
      <w:r>
        <w:t xml:space="preserve">F</w:t>
      </w:r>
      <w:r>
        <w:t xml:space="preserve">lorida). Science of the Total Environment 154149.</w:t>
      </w:r>
      <w:r>
        <w:t xml:space="preserve"> </w:t>
      </w:r>
      <w:hyperlink r:id="rId29">
        <w:r>
          <w:rPr>
            <w:rStyle w:val="Hyperlink"/>
          </w:rPr>
          <w:t xml:space="preserve">https://doi.org/10.1016/j.scitotenv.2022.154149</w:t>
        </w:r>
      </w:hyperlink>
    </w:p>
    <w:bookmarkEnd w:id="30"/>
    <w:bookmarkStart w:id="31" w:name="ref-Steidinger98"/>
    <w:p>
      <w:pPr>
        <w:pStyle w:val="Bibliography"/>
      </w:pPr>
      <w:r>
        <w:t xml:space="preserve">Steidinger, K.A., Vargo, G.A., Tester, P.A., Tomas, C.R., 1998. Bloom dynamics and physiology of</w:t>
      </w:r>
      <w:r>
        <w:t xml:space="preserve"> </w:t>
      </w:r>
      <w:r>
        <w:rPr>
          <w:iCs/>
          <w:i/>
        </w:rPr>
        <w:t xml:space="preserve">G</w:t>
      </w:r>
      <w:r>
        <w:rPr>
          <w:iCs/>
          <w:i/>
        </w:rPr>
        <w:t xml:space="preserve">ymnodium breve</w:t>
      </w:r>
      <w:r>
        <w:t xml:space="preserve"> </w:t>
      </w:r>
      <w:r>
        <w:t xml:space="preserve">with emphasis on the</w:t>
      </w:r>
      <w:r>
        <w:t xml:space="preserve"> </w:t>
      </w:r>
      <w:r>
        <w:t xml:space="preserve">G</w:t>
      </w:r>
      <w:r>
        <w:t xml:space="preserve">ulf of</w:t>
      </w:r>
      <w:r>
        <w:t xml:space="preserve"> </w:t>
      </w:r>
      <w:r>
        <w:t xml:space="preserve">M</w:t>
      </w:r>
      <w:r>
        <w:t xml:space="preserve">exico, in: Anderson, D.M., Cembella, A.D., Hallegraeff, G. (Eds.), Physiological Ecology of Harmful Algal Blooms. Springer-Verlag, Berlin, Heidelberg, pp. 133–151.</w:t>
      </w:r>
    </w:p>
    <w:bookmarkEnd w:id="31"/>
    <w:bookmarkStart w:id="32" w:name="ref-Villac20"/>
    <w:p>
      <w:pPr>
        <w:pStyle w:val="Bibliography"/>
      </w:pPr>
      <w:r>
        <w:t xml:space="preserve">Villac, M.C., Hoeglund, A., Tilney, C., Garrett, M., Lopez, C., Hubbard, K.A., Steidinger, K.A., 2020. Ecophysiology and bloom dynamics of</w:t>
      </w:r>
      <w:r>
        <w:t xml:space="preserve"> </w:t>
      </w:r>
      <w:r>
        <w:rPr>
          <w:iCs/>
          <w:i/>
        </w:rPr>
        <w:t xml:space="preserve">K</w:t>
      </w:r>
      <w:r>
        <w:rPr>
          <w:iCs/>
          <w:i/>
        </w:rPr>
        <w:t xml:space="preserve">arenia</w:t>
      </w:r>
      <w:r>
        <w:t xml:space="preserve"> </w:t>
      </w:r>
      <w:r>
        <w:t xml:space="preserve">with emphasis on</w:t>
      </w:r>
      <w:r>
        <w:t xml:space="preserve"> </w:t>
      </w:r>
      <w:r>
        <w:rPr>
          <w:iCs/>
          <w:i/>
        </w:rPr>
        <w:t xml:space="preserve">K</w:t>
      </w:r>
      <w:r>
        <w:rPr>
          <w:iCs/>
          <w:i/>
        </w:rPr>
        <w:t xml:space="preserve">arenia brevis</w:t>
      </w:r>
      <w:r>
        <w:t xml:space="preserve"> </w:t>
      </w:r>
      <w:r>
        <w:t xml:space="preserve">in</w:t>
      </w:r>
      <w:r>
        <w:t xml:space="preserve"> </w:t>
      </w:r>
      <w:r>
        <w:t xml:space="preserve">F</w:t>
      </w:r>
      <w:r>
        <w:t xml:space="preserve">lorida waters, in: Rao, D.V.S. (Ed.), Dinoflagellates: Classification, Evolution, Physiology and Ecological Significance. Nova Science Publishers, New York, pp. 261–301.</w:t>
      </w:r>
    </w:p>
    <w:bookmarkEnd w:id="32"/>
    <w:bookmarkStart w:id="34" w:name="ref-Zhu15"/>
    <w:p>
      <w:pPr>
        <w:pStyle w:val="Bibliography"/>
      </w:pPr>
      <w:r>
        <w:t xml:space="preserve">Zhu, J., Weisberg, R.H., Zheng, L., Han, S., 2015. On the flushing of</w:t>
      </w:r>
      <w:r>
        <w:t xml:space="preserve"> </w:t>
      </w:r>
      <w:r>
        <w:t xml:space="preserve">T</w:t>
      </w:r>
      <w:r>
        <w:t xml:space="preserve">ampa</w:t>
      </w:r>
      <w:r>
        <w:t xml:space="preserve"> </w:t>
      </w:r>
      <w:r>
        <w:t xml:space="preserve">B</w:t>
      </w:r>
      <w:r>
        <w:t xml:space="preserve">ay. Estuaries and Coasts 38, 118–131.</w:t>
      </w:r>
      <w:r>
        <w:t xml:space="preserve"> </w:t>
      </w:r>
      <w:hyperlink r:id="rId33">
        <w:r>
          <w:rPr>
            <w:rStyle w:val="Hyperlink"/>
          </w:rPr>
          <w:t xml:space="preserve">https://doi.org/10.1007/s12237-014-9793-6</w:t>
        </w:r>
      </w:hyperlink>
    </w:p>
    <w:bookmarkEnd w:id="34"/>
    <w:bookmarkEnd w:id="35"/>
    <w:bookmarkEnd w:id="3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2022-03-13T17:40:49Z</dcterms:created>
  <dcterms:modified xsi:type="dcterms:W3CDTF">2022-03-13T17:40:49Z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