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82B2" w14:textId="77777777" w:rsidR="000607E2" w:rsidRPr="00244210" w:rsidRDefault="000607E2">
      <w:pPr>
        <w:spacing w:after="0"/>
        <w:rPr>
          <w:sz w:val="21"/>
          <w:szCs w:val="21"/>
        </w:rPr>
      </w:pPr>
    </w:p>
    <w:p w14:paraId="5934B3B0" w14:textId="10886FF8" w:rsidR="000607E2" w:rsidRPr="00244210" w:rsidRDefault="007E0975">
      <w:pPr>
        <w:spacing w:after="0"/>
        <w:jc w:val="both"/>
        <w:rPr>
          <w:sz w:val="21"/>
          <w:szCs w:val="21"/>
        </w:rPr>
      </w:pPr>
      <w:r>
        <w:rPr>
          <w:sz w:val="21"/>
          <w:szCs w:val="21"/>
        </w:rPr>
        <w:t>December</w:t>
      </w:r>
      <w:r w:rsidR="00A77C67" w:rsidRPr="00244210">
        <w:rPr>
          <w:sz w:val="21"/>
          <w:szCs w:val="21"/>
        </w:rPr>
        <w:t xml:space="preserve"> </w:t>
      </w:r>
      <w:r>
        <w:rPr>
          <w:sz w:val="21"/>
          <w:szCs w:val="21"/>
        </w:rPr>
        <w:t>14</w:t>
      </w:r>
      <w:r w:rsidR="00A77C67" w:rsidRPr="00244210">
        <w:rPr>
          <w:sz w:val="21"/>
          <w:szCs w:val="21"/>
          <w:vertAlign w:val="superscript"/>
        </w:rPr>
        <w:t>th</w:t>
      </w:r>
      <w:r w:rsidR="00A77C67" w:rsidRPr="00244210">
        <w:rPr>
          <w:sz w:val="21"/>
          <w:szCs w:val="21"/>
        </w:rPr>
        <w:t>, 2021</w:t>
      </w:r>
    </w:p>
    <w:p w14:paraId="55DE5CA6" w14:textId="77777777" w:rsidR="000607E2" w:rsidRPr="00244210" w:rsidRDefault="0006701F">
      <w:pPr>
        <w:spacing w:after="0"/>
        <w:jc w:val="both"/>
        <w:rPr>
          <w:sz w:val="21"/>
          <w:szCs w:val="21"/>
        </w:rPr>
      </w:pPr>
      <w:r w:rsidRPr="00244210">
        <w:rPr>
          <w:sz w:val="21"/>
          <w:szCs w:val="21"/>
        </w:rPr>
        <w:t xml:space="preserve">                                                                                                                                                                        </w:t>
      </w:r>
      <w:r w:rsidRPr="00244210">
        <w:rPr>
          <w:sz w:val="21"/>
          <w:szCs w:val="21"/>
        </w:rPr>
        <w:tab/>
      </w:r>
    </w:p>
    <w:p w14:paraId="6CF0376D" w14:textId="10DEFD74" w:rsidR="000607E2" w:rsidRPr="00244210" w:rsidRDefault="00A77C67">
      <w:pPr>
        <w:spacing w:after="0"/>
        <w:jc w:val="both"/>
        <w:rPr>
          <w:sz w:val="21"/>
          <w:szCs w:val="21"/>
        </w:rPr>
      </w:pPr>
      <w:r w:rsidRPr="00244210">
        <w:rPr>
          <w:sz w:val="21"/>
          <w:szCs w:val="21"/>
        </w:rPr>
        <w:t xml:space="preserve">Dr. </w:t>
      </w:r>
      <w:r w:rsidR="007E0975">
        <w:rPr>
          <w:sz w:val="21"/>
          <w:szCs w:val="21"/>
        </w:rPr>
        <w:t>Francois Galgani</w:t>
      </w:r>
      <w:r w:rsidR="0046621B">
        <w:rPr>
          <w:sz w:val="21"/>
          <w:szCs w:val="21"/>
        </w:rPr>
        <w:t xml:space="preserve">, Dr. </w:t>
      </w:r>
      <w:r w:rsidR="007E0975">
        <w:rPr>
          <w:sz w:val="21"/>
          <w:szCs w:val="21"/>
        </w:rPr>
        <w:t>Gui-Peng Yang</w:t>
      </w:r>
      <w:r w:rsidR="00FE541C">
        <w:rPr>
          <w:sz w:val="21"/>
          <w:szCs w:val="21"/>
        </w:rPr>
        <w:t xml:space="preserve">, Dr. </w:t>
      </w:r>
      <w:r w:rsidR="007E0975">
        <w:rPr>
          <w:sz w:val="21"/>
          <w:szCs w:val="21"/>
        </w:rPr>
        <w:t>Michel Boufadel</w:t>
      </w:r>
    </w:p>
    <w:p w14:paraId="441745F9" w14:textId="0154EA9F" w:rsidR="00A77C67" w:rsidRPr="00244210" w:rsidRDefault="0046621B">
      <w:pPr>
        <w:spacing w:after="0"/>
        <w:jc w:val="both"/>
        <w:rPr>
          <w:sz w:val="21"/>
          <w:szCs w:val="21"/>
        </w:rPr>
      </w:pPr>
      <w:r>
        <w:rPr>
          <w:sz w:val="21"/>
          <w:szCs w:val="21"/>
        </w:rPr>
        <w:t>Co-</w:t>
      </w:r>
      <w:r w:rsidR="00A77C67" w:rsidRPr="00244210">
        <w:rPr>
          <w:sz w:val="21"/>
          <w:szCs w:val="21"/>
        </w:rPr>
        <w:t>Editor</w:t>
      </w:r>
      <w:r>
        <w:rPr>
          <w:sz w:val="21"/>
          <w:szCs w:val="21"/>
        </w:rPr>
        <w:t>s</w:t>
      </w:r>
      <w:r w:rsidR="00A77C67" w:rsidRPr="00244210">
        <w:rPr>
          <w:sz w:val="21"/>
          <w:szCs w:val="21"/>
        </w:rPr>
        <w:t>-in-Chief</w:t>
      </w:r>
    </w:p>
    <w:p w14:paraId="568B4A6E" w14:textId="22B2958B" w:rsidR="000607E2" w:rsidRPr="00244210" w:rsidRDefault="007E0975">
      <w:pPr>
        <w:spacing w:after="0"/>
        <w:jc w:val="both"/>
        <w:rPr>
          <w:sz w:val="21"/>
          <w:szCs w:val="21"/>
        </w:rPr>
      </w:pPr>
      <w:r>
        <w:rPr>
          <w:sz w:val="21"/>
          <w:szCs w:val="21"/>
        </w:rPr>
        <w:t>Marine Pollution Bulletin</w:t>
      </w:r>
    </w:p>
    <w:p w14:paraId="7FA2EC9B" w14:textId="0B4C8B05" w:rsidR="00AB17A4" w:rsidRPr="00FA5210" w:rsidRDefault="00244210" w:rsidP="00AB17A4">
      <w:pPr>
        <w:spacing w:before="240"/>
        <w:rPr>
          <w:rFonts w:cs="Times New Roman"/>
          <w:bCs/>
          <w:sz w:val="21"/>
          <w:szCs w:val="21"/>
        </w:rPr>
      </w:pPr>
      <w:r w:rsidRPr="00FA5210">
        <w:rPr>
          <w:rFonts w:cs="Times New Roman"/>
          <w:bCs/>
          <w:sz w:val="21"/>
          <w:szCs w:val="21"/>
        </w:rPr>
        <w:t>We are pleased to submit our manuscript, “</w:t>
      </w:r>
      <w:r w:rsidR="001051EB">
        <w:rPr>
          <w:rFonts w:cs="Times New Roman"/>
          <w:bCs/>
          <w:sz w:val="21"/>
          <w:szCs w:val="21"/>
        </w:rPr>
        <w:t>Initial estuarine response to the nutrient-rich Piney Point release into Tampa Bay, Florida</w:t>
      </w:r>
      <w:r w:rsidRPr="00FA5210">
        <w:rPr>
          <w:rFonts w:cs="Times New Roman"/>
          <w:bCs/>
          <w:sz w:val="21"/>
          <w:szCs w:val="21"/>
        </w:rPr>
        <w:t>” to be considered as an original research</w:t>
      </w:r>
      <w:r w:rsidR="00C42F3B">
        <w:rPr>
          <w:rFonts w:cs="Times New Roman"/>
          <w:bCs/>
          <w:sz w:val="21"/>
          <w:szCs w:val="21"/>
        </w:rPr>
        <w:t xml:space="preserve"> </w:t>
      </w:r>
      <w:r w:rsidR="007E0975">
        <w:rPr>
          <w:rFonts w:cs="Times New Roman"/>
          <w:bCs/>
          <w:sz w:val="21"/>
          <w:szCs w:val="21"/>
        </w:rPr>
        <w:t xml:space="preserve">article </w:t>
      </w:r>
      <w:r w:rsidRPr="00FA5210">
        <w:rPr>
          <w:rFonts w:cs="Times New Roman"/>
          <w:bCs/>
          <w:sz w:val="21"/>
          <w:szCs w:val="21"/>
        </w:rPr>
        <w:t xml:space="preserve">in </w:t>
      </w:r>
      <w:r w:rsidR="007E0975">
        <w:rPr>
          <w:rFonts w:cs="Times New Roman"/>
          <w:bCs/>
          <w:sz w:val="21"/>
          <w:szCs w:val="21"/>
        </w:rPr>
        <w:t>Marine Pollution Bulletin</w:t>
      </w:r>
      <w:r w:rsidRPr="00FA5210">
        <w:rPr>
          <w:rFonts w:cs="Times New Roman"/>
          <w:bCs/>
          <w:sz w:val="21"/>
          <w:szCs w:val="21"/>
        </w:rPr>
        <w:t>.</w:t>
      </w:r>
    </w:p>
    <w:p w14:paraId="084D515C" w14:textId="3652FB15" w:rsidR="001051EB" w:rsidRDefault="001051EB" w:rsidP="00AB17A4">
      <w:pPr>
        <w:spacing w:before="240"/>
        <w:rPr>
          <w:rFonts w:cs="Times New Roman"/>
          <w:bCs/>
          <w:sz w:val="21"/>
          <w:szCs w:val="21"/>
        </w:rPr>
      </w:pPr>
      <w:r>
        <w:rPr>
          <w:rFonts w:cs="Times New Roman"/>
          <w:bCs/>
          <w:sz w:val="21"/>
          <w:szCs w:val="21"/>
        </w:rPr>
        <w:t xml:space="preserve">The Piney Point facility is located </w:t>
      </w:r>
      <w:r w:rsidR="00FE1EBB">
        <w:rPr>
          <w:rFonts w:cs="Times New Roman"/>
          <w:bCs/>
          <w:sz w:val="21"/>
          <w:szCs w:val="21"/>
        </w:rPr>
        <w:t>three kilometers</w:t>
      </w:r>
      <w:r>
        <w:rPr>
          <w:rFonts w:cs="Times New Roman"/>
          <w:bCs/>
          <w:sz w:val="21"/>
          <w:szCs w:val="21"/>
        </w:rPr>
        <w:t xml:space="preserve"> from </w:t>
      </w:r>
      <w:r w:rsidR="00FE1EBB">
        <w:rPr>
          <w:rFonts w:cs="Times New Roman"/>
          <w:bCs/>
          <w:sz w:val="21"/>
          <w:szCs w:val="21"/>
        </w:rPr>
        <w:t xml:space="preserve">the </w:t>
      </w:r>
      <w:r>
        <w:rPr>
          <w:rFonts w:cs="Times New Roman"/>
          <w:bCs/>
          <w:sz w:val="21"/>
          <w:szCs w:val="21"/>
        </w:rPr>
        <w:t>shore of Tampa Bay, Florida.  Mining activities have not occurred at the site for over twenty years</w:t>
      </w:r>
      <w:r w:rsidR="0098409E">
        <w:rPr>
          <w:rFonts w:cs="Times New Roman"/>
          <w:bCs/>
          <w:sz w:val="21"/>
          <w:szCs w:val="21"/>
        </w:rPr>
        <w:t xml:space="preserve"> and</w:t>
      </w:r>
      <w:r>
        <w:rPr>
          <w:rFonts w:cs="Times New Roman"/>
          <w:bCs/>
          <w:sz w:val="21"/>
          <w:szCs w:val="21"/>
        </w:rPr>
        <w:t xml:space="preserve"> legacy wastewater stored on-site has posed a significant risk to human health and the environment.  On March</w:t>
      </w:r>
      <w:r w:rsidRPr="001051EB">
        <w:rPr>
          <w:rFonts w:cs="Times New Roman"/>
          <w:bCs/>
          <w:sz w:val="21"/>
          <w:szCs w:val="21"/>
        </w:rPr>
        <w:t xml:space="preserve"> 29th, 2021</w:t>
      </w:r>
      <w:r>
        <w:rPr>
          <w:rFonts w:cs="Times New Roman"/>
          <w:bCs/>
          <w:sz w:val="21"/>
          <w:szCs w:val="21"/>
        </w:rPr>
        <w:t xml:space="preserve">, the Florida Department of Environmental Protection authorized release of </w:t>
      </w:r>
      <w:r w:rsidR="00FE1EBB">
        <w:rPr>
          <w:rFonts w:cs="Times New Roman"/>
          <w:bCs/>
          <w:sz w:val="21"/>
          <w:szCs w:val="21"/>
        </w:rPr>
        <w:t xml:space="preserve">water from Piney Point directly to lower Tampa Bay to prevent catastrophic failure of </w:t>
      </w:r>
      <w:r w:rsidR="001C01CA">
        <w:rPr>
          <w:rFonts w:cs="Times New Roman"/>
          <w:bCs/>
          <w:sz w:val="21"/>
          <w:szCs w:val="21"/>
        </w:rPr>
        <w:t>a</w:t>
      </w:r>
      <w:r w:rsidR="00FE1EBB">
        <w:rPr>
          <w:rFonts w:cs="Times New Roman"/>
          <w:bCs/>
          <w:sz w:val="21"/>
          <w:szCs w:val="21"/>
        </w:rPr>
        <w:t xml:space="preserve"> large holding po</w:t>
      </w:r>
      <w:r w:rsidR="001C01CA">
        <w:rPr>
          <w:rFonts w:cs="Times New Roman"/>
          <w:bCs/>
          <w:sz w:val="21"/>
          <w:szCs w:val="21"/>
        </w:rPr>
        <w:t>nd</w:t>
      </w:r>
      <w:r w:rsidR="00FE1EBB">
        <w:rPr>
          <w:rFonts w:cs="Times New Roman"/>
          <w:bCs/>
          <w:sz w:val="21"/>
          <w:szCs w:val="21"/>
        </w:rPr>
        <w:t xml:space="preserve"> at the facility.  Over a ten day period, an estimated 186 metric tons of total nitrogen were released to the bay, exceeding annual external average nutrient loads</w:t>
      </w:r>
      <w:r w:rsidR="004368CA">
        <w:rPr>
          <w:rFonts w:cs="Times New Roman"/>
          <w:bCs/>
          <w:sz w:val="21"/>
          <w:szCs w:val="21"/>
        </w:rPr>
        <w:t xml:space="preserve"> </w:t>
      </w:r>
      <w:r w:rsidR="00FE1EBB">
        <w:rPr>
          <w:rFonts w:cs="Times New Roman"/>
          <w:bCs/>
          <w:sz w:val="21"/>
          <w:szCs w:val="21"/>
        </w:rPr>
        <w:t xml:space="preserve">in a matter of days. This manuscript documents the initial estuarine response to this large inorganic nutrient release, covering a range of </w:t>
      </w:r>
      <w:r w:rsidR="00E45E1B">
        <w:rPr>
          <w:rFonts w:cs="Times New Roman"/>
          <w:bCs/>
          <w:sz w:val="21"/>
          <w:szCs w:val="21"/>
        </w:rPr>
        <w:t xml:space="preserve">data types, including water quality, phytoplankton, macroalgae, and seagrasses.  Results from these datasets over a six month study period are evaluated relative to the decades of baseline monitoring data available for Tampa Bay.  </w:t>
      </w:r>
    </w:p>
    <w:p w14:paraId="254421E1" w14:textId="094C8C5C" w:rsidR="00AB17A4" w:rsidRPr="00FA5210" w:rsidRDefault="00244210" w:rsidP="00AB17A4">
      <w:pPr>
        <w:spacing w:before="240" w:after="0"/>
        <w:jc w:val="both"/>
        <w:rPr>
          <w:sz w:val="21"/>
          <w:szCs w:val="21"/>
        </w:rPr>
      </w:pPr>
      <w:r w:rsidRPr="00FA5210">
        <w:rPr>
          <w:sz w:val="21"/>
          <w:szCs w:val="21"/>
        </w:rPr>
        <w:t xml:space="preserve">Our </w:t>
      </w:r>
      <w:r w:rsidR="00E45E1B">
        <w:rPr>
          <w:sz w:val="21"/>
          <w:szCs w:val="21"/>
        </w:rPr>
        <w:t>results</w:t>
      </w:r>
      <w:r w:rsidR="00AB17A4" w:rsidRPr="00FA5210">
        <w:rPr>
          <w:sz w:val="21"/>
          <w:szCs w:val="21"/>
        </w:rPr>
        <w:t xml:space="preserve"> ha</w:t>
      </w:r>
      <w:r w:rsidR="00E45E1B">
        <w:rPr>
          <w:sz w:val="21"/>
          <w:szCs w:val="21"/>
        </w:rPr>
        <w:t>ve</w:t>
      </w:r>
      <w:r w:rsidRPr="00FA5210">
        <w:rPr>
          <w:sz w:val="21"/>
          <w:szCs w:val="21"/>
        </w:rPr>
        <w:t xml:space="preserve"> broad appeal</w:t>
      </w:r>
      <w:r w:rsidR="001051EB">
        <w:rPr>
          <w:sz w:val="21"/>
          <w:szCs w:val="21"/>
        </w:rPr>
        <w:t xml:space="preserve"> for the environmental concerns of legacy mining activities on </w:t>
      </w:r>
      <w:r w:rsidR="004368CA">
        <w:rPr>
          <w:sz w:val="21"/>
          <w:szCs w:val="21"/>
        </w:rPr>
        <w:t>coastal resources</w:t>
      </w:r>
      <w:r w:rsidR="001051EB">
        <w:rPr>
          <w:sz w:val="21"/>
          <w:szCs w:val="21"/>
        </w:rPr>
        <w:t xml:space="preserve">.  </w:t>
      </w:r>
      <w:r w:rsidR="00510F84">
        <w:rPr>
          <w:sz w:val="21"/>
          <w:szCs w:val="21"/>
        </w:rPr>
        <w:t>T</w:t>
      </w:r>
      <w:r w:rsidR="00E45E1B">
        <w:rPr>
          <w:sz w:val="21"/>
          <w:szCs w:val="21"/>
        </w:rPr>
        <w:t xml:space="preserve">he US state of Florida has historically supported a large fertilizer industry, </w:t>
      </w:r>
      <w:r w:rsidR="004368CA">
        <w:rPr>
          <w:sz w:val="21"/>
          <w:szCs w:val="21"/>
        </w:rPr>
        <w:t>whereas t</w:t>
      </w:r>
      <w:r w:rsidR="00E45E1B">
        <w:rPr>
          <w:sz w:val="21"/>
          <w:szCs w:val="21"/>
        </w:rPr>
        <w:t>hese mining activities ar</w:t>
      </w:r>
      <w:r w:rsidR="004368CA">
        <w:rPr>
          <w:sz w:val="21"/>
          <w:szCs w:val="21"/>
        </w:rPr>
        <w:t>e also</w:t>
      </w:r>
      <w:r w:rsidR="00E45E1B">
        <w:rPr>
          <w:sz w:val="21"/>
          <w:szCs w:val="21"/>
        </w:rPr>
        <w:t xml:space="preserve"> a global phenomenon.  </w:t>
      </w:r>
      <w:r w:rsidR="00FC2484">
        <w:rPr>
          <w:sz w:val="21"/>
          <w:szCs w:val="21"/>
        </w:rPr>
        <w:t xml:space="preserve">Fertilizer production generates a large amount of waste relative to the commercially viable product and many facilities have had insufficient planning to dispose of </w:t>
      </w:r>
      <w:r w:rsidR="004368CA">
        <w:rPr>
          <w:sz w:val="21"/>
          <w:szCs w:val="21"/>
        </w:rPr>
        <w:t xml:space="preserve">this </w:t>
      </w:r>
      <w:r w:rsidR="00FC2484">
        <w:rPr>
          <w:sz w:val="21"/>
          <w:szCs w:val="21"/>
        </w:rPr>
        <w:t xml:space="preserve">waste in an environmentally responsible manner.  Regulatory oversight has also been insufficient to safely and effectively close </w:t>
      </w:r>
      <w:r w:rsidR="00510F84">
        <w:rPr>
          <w:sz w:val="21"/>
          <w:szCs w:val="21"/>
        </w:rPr>
        <w:t>these</w:t>
      </w:r>
      <w:r w:rsidR="00FC2484">
        <w:rPr>
          <w:sz w:val="21"/>
          <w:szCs w:val="21"/>
        </w:rPr>
        <w:t xml:space="preserve"> facilities.  As a result, environmental resources and taxpayers </w:t>
      </w:r>
      <w:r w:rsidR="00510F84">
        <w:rPr>
          <w:sz w:val="21"/>
          <w:szCs w:val="21"/>
        </w:rPr>
        <w:t xml:space="preserve">are left to pay the cost of legacy mining facilities that have not been actively used for many years.  Piney Point is only one example of this broader phenomenon.  The results in this paper support the larger conversation of how insufficient oversight and planning can lead to unintended environmental impacts. </w:t>
      </w:r>
    </w:p>
    <w:p w14:paraId="533728C3" w14:textId="780A738D" w:rsidR="00244210" w:rsidRPr="00FA5210" w:rsidRDefault="00244210" w:rsidP="00AB17A4">
      <w:pPr>
        <w:spacing w:before="240"/>
        <w:rPr>
          <w:rFonts w:cs="Times New Roman"/>
          <w:bCs/>
          <w:sz w:val="21"/>
          <w:szCs w:val="21"/>
        </w:rPr>
      </w:pPr>
      <w:r w:rsidRPr="00FA5210">
        <w:rPr>
          <w:rFonts w:cs="Times New Roman"/>
          <w:bCs/>
          <w:sz w:val="21"/>
          <w:szCs w:val="21"/>
        </w:rPr>
        <w:t xml:space="preserve">We are confident that readers of </w:t>
      </w:r>
      <w:r w:rsidR="001051EB">
        <w:rPr>
          <w:rFonts w:cs="Times New Roman"/>
          <w:bCs/>
          <w:sz w:val="21"/>
          <w:szCs w:val="21"/>
        </w:rPr>
        <w:t>Marine Pollution Bulletin</w:t>
      </w:r>
      <w:r w:rsidRPr="00FA5210">
        <w:rPr>
          <w:rFonts w:cs="Times New Roman"/>
          <w:bCs/>
          <w:sz w:val="21"/>
          <w:szCs w:val="21"/>
        </w:rPr>
        <w:t xml:space="preserve"> will find this manuscript informative</w:t>
      </w:r>
      <w:r w:rsidR="001051EB">
        <w:rPr>
          <w:rFonts w:cs="Times New Roman"/>
          <w:bCs/>
          <w:sz w:val="21"/>
          <w:szCs w:val="21"/>
        </w:rPr>
        <w:t xml:space="preserve">.  We </w:t>
      </w:r>
      <w:r w:rsidRPr="00FA5210">
        <w:rPr>
          <w:rFonts w:cs="Times New Roman"/>
          <w:bCs/>
          <w:sz w:val="21"/>
          <w:szCs w:val="21"/>
        </w:rPr>
        <w:t xml:space="preserve">appreciate the opportunity to publish our work in this venue. </w:t>
      </w:r>
    </w:p>
    <w:p w14:paraId="49D4D103" w14:textId="77777777" w:rsidR="000607E2" w:rsidRPr="00FA5210" w:rsidRDefault="000607E2">
      <w:pPr>
        <w:spacing w:after="0"/>
        <w:rPr>
          <w:sz w:val="21"/>
          <w:szCs w:val="21"/>
        </w:rPr>
      </w:pPr>
    </w:p>
    <w:p w14:paraId="046344F3" w14:textId="77777777" w:rsidR="000607E2" w:rsidRPr="00FA5210" w:rsidRDefault="0006701F">
      <w:pPr>
        <w:spacing w:after="0"/>
        <w:rPr>
          <w:sz w:val="21"/>
          <w:szCs w:val="21"/>
        </w:rPr>
      </w:pPr>
      <w:r w:rsidRPr="00FA5210">
        <w:rPr>
          <w:sz w:val="21"/>
          <w:szCs w:val="21"/>
        </w:rPr>
        <w:t>Sincerely,</w:t>
      </w:r>
    </w:p>
    <w:p w14:paraId="3D5B5B0E" w14:textId="02A80F4E" w:rsidR="000607E2" w:rsidRPr="00244210" w:rsidRDefault="000607E2">
      <w:pPr>
        <w:spacing w:after="0"/>
        <w:rPr>
          <w:sz w:val="21"/>
          <w:szCs w:val="21"/>
        </w:rPr>
      </w:pPr>
    </w:p>
    <w:p w14:paraId="14D6E293" w14:textId="44E7B40F" w:rsidR="00CB7063" w:rsidRPr="00244210" w:rsidRDefault="00A77C67">
      <w:pPr>
        <w:spacing w:after="0"/>
        <w:rPr>
          <w:sz w:val="21"/>
          <w:szCs w:val="21"/>
        </w:rPr>
      </w:pPr>
      <w:r w:rsidRPr="00244210">
        <w:rPr>
          <w:noProof/>
          <w:sz w:val="21"/>
          <w:szCs w:val="21"/>
        </w:rPr>
        <w:drawing>
          <wp:inline distT="0" distB="0" distL="0" distR="0" wp14:anchorId="07F378A5" wp14:editId="1106B68A">
            <wp:extent cx="1171575" cy="5435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0285" cy="556909"/>
                    </a:xfrm>
                    <a:prstGeom prst="rect">
                      <a:avLst/>
                    </a:prstGeom>
                  </pic:spPr>
                </pic:pic>
              </a:graphicData>
            </a:graphic>
          </wp:inline>
        </w:drawing>
      </w:r>
    </w:p>
    <w:p w14:paraId="0FA784FC" w14:textId="77777777" w:rsidR="00A77C67" w:rsidRPr="00244210" w:rsidRDefault="00A77C67">
      <w:pPr>
        <w:spacing w:after="0"/>
        <w:rPr>
          <w:sz w:val="21"/>
          <w:szCs w:val="21"/>
        </w:rPr>
      </w:pPr>
      <w:r w:rsidRPr="00244210">
        <w:rPr>
          <w:sz w:val="21"/>
          <w:szCs w:val="21"/>
        </w:rPr>
        <w:t>Dr. Marcus W. Beck</w:t>
      </w:r>
    </w:p>
    <w:p w14:paraId="2C3FC997" w14:textId="22C736DD" w:rsidR="000607E2" w:rsidRPr="00244210" w:rsidRDefault="00A77C67">
      <w:pPr>
        <w:spacing w:after="0"/>
        <w:rPr>
          <w:sz w:val="21"/>
          <w:szCs w:val="21"/>
        </w:rPr>
      </w:pPr>
      <w:r w:rsidRPr="00244210">
        <w:rPr>
          <w:sz w:val="21"/>
          <w:szCs w:val="21"/>
        </w:rPr>
        <w:t>Program Scientist</w:t>
      </w:r>
    </w:p>
    <w:p w14:paraId="18C85BEE" w14:textId="2C770472" w:rsidR="00A77C67" w:rsidRPr="00244210" w:rsidRDefault="0006701F">
      <w:pPr>
        <w:spacing w:after="0"/>
        <w:jc w:val="both"/>
        <w:rPr>
          <w:sz w:val="21"/>
          <w:szCs w:val="21"/>
        </w:rPr>
      </w:pPr>
      <w:r w:rsidRPr="00244210">
        <w:rPr>
          <w:sz w:val="21"/>
          <w:szCs w:val="21"/>
        </w:rPr>
        <w:t>Tampa Bay Estuary Program</w:t>
      </w:r>
    </w:p>
    <w:sectPr w:rsidR="00A77C67" w:rsidRPr="00244210">
      <w:headerReference w:type="default" r:id="rId7"/>
      <w:footerReference w:type="default" r:id="rId8"/>
      <w:headerReference w:type="first" r:id="rId9"/>
      <w:footerReference w:type="first" r:id="rId10"/>
      <w:pgSz w:w="12240" w:h="15840"/>
      <w:pgMar w:top="1440" w:right="720" w:bottom="1440" w:left="720" w:header="36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89C8D" w14:textId="77777777" w:rsidR="008C6F19" w:rsidRDefault="008C6F19">
      <w:pPr>
        <w:spacing w:after="0"/>
      </w:pPr>
      <w:r>
        <w:separator/>
      </w:r>
    </w:p>
  </w:endnote>
  <w:endnote w:type="continuationSeparator" w:id="0">
    <w:p w14:paraId="2693EEE7" w14:textId="77777777" w:rsidR="008C6F19" w:rsidRDefault="008C6F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7556" w14:textId="25DE9CBE" w:rsidR="000607E2" w:rsidRDefault="0006701F">
    <w:pPr>
      <w:jc w:val="center"/>
    </w:pPr>
    <w:r>
      <w:t>-</w:t>
    </w:r>
    <w:r>
      <w:fldChar w:fldCharType="begin"/>
    </w:r>
    <w:r>
      <w:instrText>PAGE</w:instrText>
    </w:r>
    <w:r>
      <w:fldChar w:fldCharType="separate"/>
    </w:r>
    <w:r w:rsidR="00244210">
      <w:rPr>
        <w:noProof/>
      </w:rPr>
      <w:t>2</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86AF4" w14:textId="77777777" w:rsidR="000607E2" w:rsidRDefault="0006701F">
    <w:pPr>
      <w:widowControl w:val="0"/>
      <w:spacing w:before="200" w:after="0"/>
      <w:jc w:val="center"/>
      <w:rPr>
        <w:color w:val="008080"/>
      </w:rPr>
    </w:pPr>
    <w:r>
      <w:rPr>
        <w:color w:val="008080"/>
      </w:rPr>
      <w:t>TAMPA BAY ESTUARY PROGRAM</w:t>
    </w:r>
  </w:p>
  <w:p w14:paraId="781BCD15" w14:textId="77777777" w:rsidR="000607E2" w:rsidRDefault="0098409E">
    <w:pPr>
      <w:widowControl w:val="0"/>
      <w:spacing w:after="0" w:line="14" w:lineRule="auto"/>
      <w:jc w:val="center"/>
      <w:rPr>
        <w:rFonts w:ascii="Calibri" w:eastAsia="Calibri" w:hAnsi="Calibri" w:cs="Calibri"/>
        <w:color w:val="006699"/>
        <w:sz w:val="18"/>
        <w:szCs w:val="18"/>
      </w:rPr>
    </w:pPr>
    <w:r>
      <w:pict w14:anchorId="66EA4282">
        <v:rect id="_x0000_i1025" style="width:0;height:1.5pt" o:hralign="center" o:hrstd="t" o:hr="t" fillcolor="#a0a0a0" stroked="f"/>
      </w:pict>
    </w:r>
  </w:p>
  <w:p w14:paraId="5D97928B" w14:textId="77777777" w:rsidR="000607E2" w:rsidRDefault="0006701F">
    <w:pPr>
      <w:widowControl w:val="0"/>
      <w:spacing w:after="0"/>
      <w:jc w:val="center"/>
      <w:rPr>
        <w:rFonts w:ascii="Calibri" w:eastAsia="Calibri" w:hAnsi="Calibri" w:cs="Calibri"/>
        <w:color w:val="006699"/>
        <w:sz w:val="18"/>
        <w:szCs w:val="18"/>
        <w:u w:val="single"/>
      </w:rPr>
    </w:pPr>
    <w:r>
      <w:rPr>
        <w:rFonts w:ascii="Calibri" w:eastAsia="Calibri" w:hAnsi="Calibri" w:cs="Calibri"/>
        <w:color w:val="006699"/>
        <w:sz w:val="18"/>
        <w:szCs w:val="18"/>
      </w:rPr>
      <w:t>263 13</w:t>
    </w:r>
    <w:r>
      <w:rPr>
        <w:rFonts w:ascii="Calibri" w:eastAsia="Calibri" w:hAnsi="Calibri" w:cs="Calibri"/>
        <w:color w:val="006699"/>
        <w:sz w:val="18"/>
        <w:szCs w:val="18"/>
        <w:vertAlign w:val="superscript"/>
      </w:rPr>
      <w:t>TH</w:t>
    </w:r>
    <w:r>
      <w:rPr>
        <w:rFonts w:ascii="Calibri" w:eastAsia="Calibri" w:hAnsi="Calibri" w:cs="Calibri"/>
        <w:color w:val="006699"/>
        <w:sz w:val="18"/>
        <w:szCs w:val="18"/>
      </w:rPr>
      <w:t xml:space="preserve"> AVENUE SOUTH; SUITE 350; ST. PETERSBURG, FL 33701; (727) 893-2765; FAX (727) 893-2767;</w:t>
    </w:r>
    <w:hyperlink r:id="rId1">
      <w:r>
        <w:rPr>
          <w:rFonts w:ascii="Calibri" w:eastAsia="Calibri" w:hAnsi="Calibri" w:cs="Calibri"/>
          <w:color w:val="006699"/>
          <w:sz w:val="18"/>
          <w:szCs w:val="18"/>
        </w:rPr>
        <w:t xml:space="preserve"> </w:t>
      </w:r>
    </w:hyperlink>
    <w:hyperlink r:id="rId2">
      <w:r>
        <w:rPr>
          <w:rFonts w:ascii="Calibri" w:eastAsia="Calibri" w:hAnsi="Calibri" w:cs="Calibri"/>
          <w:color w:val="006699"/>
          <w:sz w:val="18"/>
          <w:szCs w:val="18"/>
          <w:u w:val="single"/>
        </w:rPr>
        <w:t>WWW.TBEP.ORG</w:t>
      </w:r>
    </w:hyperlink>
  </w:p>
  <w:p w14:paraId="1ADDB856"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POLICY BOARD: HILLSBOROUGH COUNTY, MANATEE COUNTY, PINELLAS COUNTY, PASCO COUNTY, CITY OF CLEARWATER, CITY OF ST. PETERSBURG,</w:t>
    </w:r>
  </w:p>
  <w:p w14:paraId="46F58CEA"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 xml:space="preserve"> CITY OF TAMPA, FLORIDA DEPARTMENT OF ENVIRONMENTAL PROTECTION, SOUTHWEST FLORIDA WATER MANAGEMENT DISTRICT,</w:t>
    </w:r>
  </w:p>
  <w:p w14:paraId="552BC665"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U.S. ENVIRONMENTAL PROTECTION AGENCY.</w:t>
    </w:r>
  </w:p>
  <w:p w14:paraId="0B670549" w14:textId="77777777" w:rsidR="000607E2" w:rsidRDefault="000607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581BF" w14:textId="77777777" w:rsidR="008C6F19" w:rsidRDefault="008C6F19">
      <w:pPr>
        <w:spacing w:after="0"/>
      </w:pPr>
      <w:r>
        <w:separator/>
      </w:r>
    </w:p>
  </w:footnote>
  <w:footnote w:type="continuationSeparator" w:id="0">
    <w:p w14:paraId="7D3EF18E" w14:textId="77777777" w:rsidR="008C6F19" w:rsidRDefault="008C6F1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573B9" w14:textId="77777777" w:rsidR="000607E2" w:rsidRDefault="000607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8586" w14:textId="77777777" w:rsidR="000607E2" w:rsidRDefault="0006701F">
    <w:r>
      <w:rPr>
        <w:noProof/>
      </w:rPr>
      <w:drawing>
        <wp:inline distT="114300" distB="114300" distL="114300" distR="114300" wp14:anchorId="3DEDE8A5" wp14:editId="6B02D675">
          <wp:extent cx="1495425" cy="1009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5425" cy="100965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7E2"/>
    <w:rsid w:val="000607E2"/>
    <w:rsid w:val="0006701F"/>
    <w:rsid w:val="001051EB"/>
    <w:rsid w:val="001C01CA"/>
    <w:rsid w:val="001C48B0"/>
    <w:rsid w:val="00244210"/>
    <w:rsid w:val="003F5CFD"/>
    <w:rsid w:val="004368CA"/>
    <w:rsid w:val="0046621B"/>
    <w:rsid w:val="004A66FE"/>
    <w:rsid w:val="00510F84"/>
    <w:rsid w:val="00566F8A"/>
    <w:rsid w:val="005B6A38"/>
    <w:rsid w:val="005C64DD"/>
    <w:rsid w:val="007E0975"/>
    <w:rsid w:val="008C6F19"/>
    <w:rsid w:val="0098409E"/>
    <w:rsid w:val="00A77C67"/>
    <w:rsid w:val="00AB17A4"/>
    <w:rsid w:val="00C42F3B"/>
    <w:rsid w:val="00CB7063"/>
    <w:rsid w:val="00D60EC5"/>
    <w:rsid w:val="00E45E1B"/>
    <w:rsid w:val="00FA5210"/>
    <w:rsid w:val="00FC2484"/>
    <w:rsid w:val="00FE1EBB"/>
    <w:rsid w:val="00FE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44A067FB"/>
  <w15:docId w15:val="{64995BD5-223C-46DA-A149-3941518C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ind w:left="360"/>
      <w:outlineLvl w:val="0"/>
    </w:pPr>
    <w:rPr>
      <w:b/>
      <w:color w:val="00806F"/>
      <w:sz w:val="30"/>
      <w:szCs w:val="30"/>
    </w:rPr>
  </w:style>
  <w:style w:type="paragraph" w:styleId="Heading2">
    <w:name w:val="heading 2"/>
    <w:basedOn w:val="Normal"/>
    <w:next w:val="Normal"/>
    <w:uiPriority w:val="9"/>
    <w:semiHidden/>
    <w:unhideWhenUsed/>
    <w:qFormat/>
    <w:pPr>
      <w:keepNext/>
      <w:keepLines/>
      <w:spacing w:before="120"/>
      <w:ind w:left="900" w:hanging="720"/>
      <w:outlineLvl w:val="1"/>
    </w:pPr>
    <w:rPr>
      <w:b/>
      <w:sz w:val="28"/>
      <w:szCs w:val="28"/>
    </w:rPr>
  </w:style>
  <w:style w:type="paragraph" w:styleId="Heading3">
    <w:name w:val="heading 3"/>
    <w:basedOn w:val="Normal"/>
    <w:next w:val="Normal"/>
    <w:uiPriority w:val="9"/>
    <w:semiHidden/>
    <w:unhideWhenUsed/>
    <w:qFormat/>
    <w:pPr>
      <w:keepNext/>
      <w:keepLines/>
      <w:spacing w:before="120"/>
      <w:ind w:left="1260" w:hanging="900"/>
      <w:outlineLvl w:val="2"/>
    </w:pPr>
    <w:rPr>
      <w:b/>
      <w:color w:val="004F7E"/>
      <w:sz w:val="28"/>
      <w:szCs w:val="28"/>
    </w:rPr>
  </w:style>
  <w:style w:type="paragraph" w:styleId="Heading4">
    <w:name w:val="heading 4"/>
    <w:basedOn w:val="Normal"/>
    <w:next w:val="Normal"/>
    <w:uiPriority w:val="9"/>
    <w:semiHidden/>
    <w:unhideWhenUsed/>
    <w:qFormat/>
    <w:pPr>
      <w:keepNext/>
      <w:keepLines/>
      <w:spacing w:before="120"/>
      <w:ind w:left="1620" w:hanging="1080"/>
      <w:outlineLvl w:val="3"/>
    </w:pPr>
    <w:rPr>
      <w:b/>
      <w:color w:val="958984"/>
      <w:sz w:val="28"/>
      <w:szCs w:val="28"/>
    </w:rPr>
  </w:style>
  <w:style w:type="paragraph" w:styleId="Heading5">
    <w:name w:val="heading 5"/>
    <w:basedOn w:val="Normal"/>
    <w:next w:val="Normal"/>
    <w:uiPriority w:val="9"/>
    <w:semiHidden/>
    <w:unhideWhenUsed/>
    <w:qFormat/>
    <w:pPr>
      <w:keepNext/>
      <w:keepLines/>
      <w:spacing w:before="240"/>
      <w:jc w:val="center"/>
      <w:outlineLvl w:val="4"/>
    </w:pPr>
    <w:rPr>
      <w:b/>
      <w:sz w:val="28"/>
      <w:szCs w:val="28"/>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004F7E"/>
      <w:sz w:val="36"/>
      <w:szCs w:val="36"/>
    </w:rPr>
  </w:style>
  <w:style w:type="paragraph" w:styleId="Subtitle">
    <w:name w:val="Subtitle"/>
    <w:basedOn w:val="Normal"/>
    <w:next w:val="Normal"/>
    <w:uiPriority w:val="11"/>
    <w:qFormat/>
    <w:pPr>
      <w:keepNext/>
      <w:keepLines/>
      <w:spacing w:after="320"/>
      <w:jc w:val="center"/>
    </w:pPr>
    <w:rPr>
      <w:b/>
      <w:color w:val="666666"/>
      <w:sz w:val="32"/>
      <w:szCs w:val="32"/>
    </w:rPr>
  </w:style>
  <w:style w:type="character" w:styleId="Hyperlink">
    <w:name w:val="Hyperlink"/>
    <w:basedOn w:val="DefaultParagraphFont"/>
    <w:rsid w:val="00A77C67"/>
    <w:rPr>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544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tbep.org/" TargetMode="External"/><Relationship Id="rId1" Type="http://schemas.openxmlformats.org/officeDocument/2006/relationships/hyperlink" Target="http://www.tbep.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mbeck</cp:lastModifiedBy>
  <cp:revision>16</cp:revision>
  <dcterms:created xsi:type="dcterms:W3CDTF">2021-04-09T11:38:00Z</dcterms:created>
  <dcterms:modified xsi:type="dcterms:W3CDTF">2021-12-09T13:45:00Z</dcterms:modified>
</cp:coreProperties>
</file>